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3740" w:right="1660" w:hanging="3732"/>
        <w:spacing w:after="0" w:line="501" w:lineRule="auto"/>
        <w:tabs>
          <w:tab w:leader="none" w:pos="61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2960" w:right="1220" w:hanging="2952"/>
        <w:spacing w:after="0" w:line="493" w:lineRule="auto"/>
        <w:tabs>
          <w:tab w:leader="none" w:pos="60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AND EXCHANGE ACT OF 1934 For the transition period from ________________ to ________________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GEVO,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20" w:type="dxa"/>
            <w:vAlign w:val="bottom"/>
          </w:tcPr>
          <w:p>
            <w:pPr>
              <w:jc w:val="right"/>
              <w:ind w:right="1830"/>
              <w:spacing w:after="0"/>
              <w:rPr>
                <w:sz w:val="20"/>
                <w:szCs w:val="20"/>
                <w:color w:val="auto"/>
              </w:rPr>
            </w:pPr>
            <w:r>
              <w:rPr>
                <w:rFonts w:ascii="Arial" w:cs="Arial" w:eastAsia="Arial" w:hAnsi="Arial"/>
                <w:sz w:val="18"/>
                <w:szCs w:val="18"/>
                <w:b w:val="1"/>
                <w:bCs w:val="1"/>
                <w:color w:val="auto"/>
              </w:rPr>
              <w:t>87-0747704</w:t>
            </w:r>
          </w:p>
        </w:tc>
        <w:tc>
          <w:tcPr>
            <w:tcW w:w="4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500" w:type="dxa"/>
            <w:vAlign w:val="bottom"/>
          </w:tcPr>
          <w:p>
            <w:pPr>
              <w:spacing w:after="0"/>
              <w:rPr>
                <w:sz w:val="20"/>
                <w:szCs w:val="20"/>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incorporation or organization)</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7460" w:type="dxa"/>
            <w:vAlign w:val="bottom"/>
            <w:gridSpan w:val="6"/>
          </w:tcPr>
          <w:p>
            <w:pPr>
              <w:jc w:val="center"/>
              <w:ind w:right="1840"/>
              <w:spacing w:after="0"/>
              <w:rPr>
                <w:sz w:val="20"/>
                <w:szCs w:val="20"/>
                <w:color w:val="auto"/>
              </w:rPr>
            </w:pPr>
            <w:r>
              <w:rPr>
                <w:rFonts w:ascii="Arial" w:cs="Arial" w:eastAsia="Arial" w:hAnsi="Arial"/>
                <w:sz w:val="18"/>
                <w:szCs w:val="18"/>
                <w:b w:val="1"/>
                <w:bCs w:val="1"/>
                <w:color w:val="auto"/>
                <w:w w:val="90"/>
              </w:rPr>
              <w:t>345 Inverness Drive South, Building C, Suite 310</w:t>
            </w: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Englewood, CO</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20" w:type="dxa"/>
            <w:vAlign w:val="bottom"/>
          </w:tcPr>
          <w:p>
            <w:pPr>
              <w:jc w:val="right"/>
              <w:ind w:right="2050"/>
              <w:spacing w:after="0"/>
              <w:rPr>
                <w:sz w:val="20"/>
                <w:szCs w:val="20"/>
                <w:color w:val="auto"/>
              </w:rPr>
            </w:pPr>
            <w:r>
              <w:rPr>
                <w:rFonts w:ascii="Arial" w:cs="Arial" w:eastAsia="Arial" w:hAnsi="Arial"/>
                <w:sz w:val="18"/>
                <w:szCs w:val="18"/>
                <w:b w:val="1"/>
                <w:bCs w:val="1"/>
                <w:color w:val="auto"/>
              </w:rPr>
              <w:t>80112</w:t>
            </w:r>
          </w:p>
        </w:tc>
        <w:tc>
          <w:tcPr>
            <w:tcW w:w="440" w:type="dxa"/>
            <w:vAlign w:val="bottom"/>
          </w:tcPr>
          <w:p>
            <w:pPr>
              <w:spacing w:after="0"/>
              <w:rPr>
                <w:sz w:val="18"/>
                <w:szCs w:val="18"/>
                <w:color w:val="auto"/>
              </w:rPr>
            </w:pPr>
          </w:p>
        </w:tc>
      </w:tr>
      <w:tr>
        <w:trPr>
          <w:trHeight w:val="234"/>
        </w:trPr>
        <w:tc>
          <w:tcPr>
            <w:tcW w:w="446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0"/>
              </w:rPr>
              <w:t>(303) 858-8358</w:t>
            </w:r>
          </w:p>
        </w:tc>
        <w:tc>
          <w:tcPr>
            <w:tcW w:w="1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(Registrant’s</w:t>
            </w:r>
          </w:p>
        </w:tc>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telephone number, including</w:t>
            </w:r>
          </w:p>
        </w:tc>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6"/>
              </w:rPr>
              <w:t>area code)</w:t>
            </w:r>
          </w:p>
        </w:tc>
        <w:tc>
          <w:tcPr>
            <w:tcW w:w="35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15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r>
      <w:tr>
        <w:trPr>
          <w:trHeight w:val="264"/>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6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92"/>
        </w:trPr>
        <w:tc>
          <w:tcPr>
            <w:tcW w:w="1500" w:type="dxa"/>
            <w:vAlign w:val="bottom"/>
          </w:tcPr>
          <w:p>
            <w:pPr>
              <w:spacing w:after="0"/>
              <w:rPr>
                <w:sz w:val="24"/>
                <w:szCs w:val="24"/>
                <w:color w:val="auto"/>
              </w:rPr>
            </w:pPr>
          </w:p>
        </w:tc>
        <w:tc>
          <w:tcPr>
            <w:tcW w:w="29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Title of Each Class</w:t>
            </w:r>
          </w:p>
        </w:tc>
        <w:tc>
          <w:tcPr>
            <w:tcW w:w="640" w:type="dxa"/>
            <w:vAlign w:val="bottom"/>
          </w:tcPr>
          <w:p>
            <w:pPr>
              <w:spacing w:after="0"/>
              <w:rPr>
                <w:sz w:val="24"/>
                <w:szCs w:val="24"/>
                <w:color w:val="auto"/>
              </w:rPr>
            </w:pPr>
          </w:p>
        </w:tc>
        <w:tc>
          <w:tcPr>
            <w:tcW w:w="236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1"/>
              </w:rPr>
              <w:t>Trading Symbol</w:t>
            </w:r>
          </w:p>
        </w:tc>
        <w:tc>
          <w:tcPr>
            <w:tcW w:w="3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0"/>
        </w:trPr>
        <w:tc>
          <w:tcPr>
            <w:tcW w:w="44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Common Stock, par value $0.01 per share</w:t>
            </w:r>
          </w:p>
        </w:tc>
        <w:tc>
          <w:tcPr>
            <w:tcW w:w="6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center"/>
              <w:ind w:right="1100"/>
              <w:spacing w:after="0"/>
              <w:rPr>
                <w:sz w:val="20"/>
                <w:szCs w:val="20"/>
                <w:color w:val="auto"/>
              </w:rPr>
            </w:pPr>
            <w:r>
              <w:rPr>
                <w:rFonts w:ascii="Arial" w:cs="Arial" w:eastAsia="Arial" w:hAnsi="Arial"/>
                <w:sz w:val="18"/>
                <w:szCs w:val="18"/>
                <w:color w:val="auto"/>
                <w:w w:val="96"/>
              </w:rPr>
              <w:t>GEVO</w:t>
            </w:r>
          </w:p>
        </w:tc>
        <w:tc>
          <w:tcPr>
            <w:tcW w:w="39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ind w:right="2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540"/>
              <w:spacing w:after="0"/>
              <w:rPr>
                <w:sz w:val="20"/>
                <w:szCs w:val="20"/>
                <w:color w:val="auto"/>
              </w:rPr>
            </w:pPr>
            <w:r>
              <w:rPr>
                <w:rFonts w:ascii="Arial" w:cs="Arial" w:eastAsia="Arial" w:hAnsi="Arial"/>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25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540"/>
              <w:spacing w:after="0"/>
              <w:rPr>
                <w:sz w:val="20"/>
                <w:szCs w:val="20"/>
                <w:color w:val="auto"/>
              </w:rPr>
            </w:pPr>
            <w:r>
              <w:rPr>
                <w:rFonts w:ascii="Arial" w:cs="Arial" w:eastAsia="Arial" w:hAnsi="Arial"/>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660" w:type="dxa"/>
            <w:vAlign w:val="bottom"/>
          </w:tcPr>
          <w:p>
            <w:pPr>
              <w:ind w:left="1540"/>
              <w:spacing w:after="0"/>
              <w:rPr>
                <w:sz w:val="20"/>
                <w:szCs w:val="20"/>
                <w:color w:val="auto"/>
              </w:rPr>
            </w:pPr>
            <w:r>
              <w:rPr>
                <w:rFonts w:ascii="Arial" w:cs="Arial" w:eastAsia="Arial" w:hAnsi="Arial"/>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692" w:right="239" w:bottom="11"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November 1, 2019, 13,545,859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201295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243840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19"/>
          </w:cols>
          <w:pgMar w:left="740" w:top="125" w:right="1440"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00" w:type="dxa"/>
            <w:vAlign w:val="bottom"/>
            <w:gridSpan w:val="10"/>
          </w:tcPr>
          <w:p>
            <w:pPr>
              <w:jc w:val="center"/>
              <w:ind w:right="4400"/>
              <w:spacing w:after="0"/>
              <w:rPr>
                <w:sz w:val="20"/>
                <w:szCs w:val="20"/>
                <w:color w:val="auto"/>
              </w:rPr>
            </w:pPr>
            <w:r>
              <w:rPr>
                <w:rFonts w:ascii="Arial" w:cs="Arial" w:eastAsia="Arial" w:hAnsi="Arial"/>
                <w:sz w:val="18"/>
                <w:szCs w:val="18"/>
                <w:b w:val="1"/>
                <w:bCs w:val="1"/>
                <w:color w:val="auto"/>
                <w:w w:val="99"/>
              </w:rPr>
              <w:t>GEVO, INC.</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500" w:type="dxa"/>
            <w:vAlign w:val="bottom"/>
            <w:gridSpan w:val="10"/>
          </w:tcPr>
          <w:p>
            <w:pPr>
              <w:jc w:val="center"/>
              <w:ind w:right="4400"/>
              <w:spacing w:after="0"/>
              <w:rPr>
                <w:sz w:val="20"/>
                <w:szCs w:val="20"/>
                <w:color w:val="auto"/>
              </w:rPr>
            </w:pPr>
            <w:r>
              <w:rPr>
                <w:rFonts w:ascii="Arial" w:cs="Arial" w:eastAsia="Arial" w:hAnsi="Arial"/>
                <w:sz w:val="18"/>
                <w:szCs w:val="18"/>
                <w:b w:val="1"/>
                <w:bCs w:val="1"/>
                <w:color w:val="auto"/>
                <w:w w:val="99"/>
              </w:rPr>
              <w:t>FORM 10-Q</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40" w:type="dxa"/>
            <w:vAlign w:val="bottom"/>
            <w:gridSpan w:val="14"/>
          </w:tcPr>
          <w:p>
            <w:pPr>
              <w:jc w:val="center"/>
              <w:ind w:right="2160"/>
              <w:spacing w:after="0"/>
              <w:rPr>
                <w:sz w:val="20"/>
                <w:szCs w:val="20"/>
                <w:color w:val="auto"/>
              </w:rPr>
            </w:pPr>
            <w:r>
              <w:rPr>
                <w:rFonts w:ascii="Arial" w:cs="Arial" w:eastAsia="Arial" w:hAnsi="Arial"/>
                <w:sz w:val="18"/>
                <w:szCs w:val="18"/>
                <w:b w:val="1"/>
                <w:bCs w:val="1"/>
                <w:color w:val="auto"/>
                <w:w w:val="98"/>
              </w:rPr>
              <w:t>FOR THE QUARTERLY PERIOD ENDED SEPTEMBER 30, 2019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60" w:type="dxa"/>
            <w:vAlign w:val="bottom"/>
            <w:gridSpan w:val="11"/>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00" w:type="dxa"/>
            <w:vAlign w:val="bottom"/>
            <w:gridSpan w:val="12"/>
            <w:vMerge w:val="restart"/>
          </w:tcPr>
          <w:p>
            <w:pPr>
              <w:jc w:val="center"/>
              <w:ind w:right="33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60" w:type="dxa"/>
            <w:vAlign w:val="bottom"/>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00" w:type="dxa"/>
            <w:vAlign w:val="bottom"/>
            <w:gridSpan w:val="12"/>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302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00" w:type="dxa"/>
            <w:vAlign w:val="bottom"/>
            <w:tcBorders>
              <w:top w:val="single" w:sz="8" w:color="0000EE"/>
            </w:tcBorders>
            <w:gridSpan w:val="6"/>
          </w:tcPr>
          <w:p>
            <w:pPr>
              <w:spacing w:after="0"/>
              <w:rPr>
                <w:sz w:val="24"/>
                <w:szCs w:val="24"/>
                <w:color w:val="auto"/>
              </w:rPr>
            </w:pPr>
          </w:p>
        </w:tc>
        <w:tc>
          <w:tcPr>
            <w:tcW w:w="3400" w:type="dxa"/>
            <w:vAlign w:val="bottom"/>
            <w:gridSpan w:val="6"/>
          </w:tcPr>
          <w:p>
            <w:pPr>
              <w:spacing w:after="0"/>
              <w:rPr>
                <w:sz w:val="24"/>
                <w:szCs w:val="24"/>
                <w:color w:val="auto"/>
              </w:rPr>
            </w:pPr>
          </w:p>
        </w:tc>
        <w:tc>
          <w:tcPr>
            <w:tcW w:w="760" w:type="dxa"/>
            <w:vAlign w:val="bottom"/>
          </w:tcPr>
          <w:p>
            <w:pPr>
              <w:jc w:val="center"/>
              <w:ind w:left="3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as of September 30, 2019 (unaudited) and December 31, 2018</w:t>
              </w:r>
            </w:hyperlink>
          </w:p>
        </w:tc>
        <w:tc>
          <w:tcPr>
            <w:tcW w:w="2900" w:type="dxa"/>
            <w:vAlign w:val="bottom"/>
            <w:gridSpan w:val="4"/>
          </w:tcPr>
          <w:p>
            <w:pPr>
              <w:spacing w:after="0"/>
              <w:rPr>
                <w:sz w:val="17"/>
                <w:szCs w:val="17"/>
                <w:color w:val="auto"/>
              </w:rPr>
            </w:pPr>
          </w:p>
        </w:tc>
        <w:tc>
          <w:tcPr>
            <w:tcW w:w="760" w:type="dxa"/>
            <w:vAlign w:val="bottom"/>
          </w:tcPr>
          <w:p>
            <w:pPr>
              <w:jc w:val="center"/>
              <w:ind w:left="30"/>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520" w:type="dxa"/>
            <w:vAlign w:val="bottom"/>
            <w:gridSpan w:val="21"/>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Operations for the three and nine months ended September 30, 2019 and 2018 (unaudited)</w:t>
              </w:r>
            </w:hyperlink>
          </w:p>
        </w:tc>
        <w:tc>
          <w:tcPr>
            <w:tcW w:w="760" w:type="dxa"/>
            <w:vAlign w:val="bottom"/>
          </w:tcPr>
          <w:p>
            <w:pPr>
              <w:jc w:val="center"/>
              <w:ind w:left="30"/>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520" w:type="dxa"/>
            <w:vAlign w:val="bottom"/>
            <w:gridSpan w:val="21"/>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Stockholders’ Equity for the three and nine months ended September 30, 2019 and 2018 (unaudited)</w:t>
              </w:r>
            </w:hyperlink>
          </w:p>
        </w:tc>
        <w:tc>
          <w:tcPr>
            <w:tcW w:w="760" w:type="dxa"/>
            <w:vAlign w:val="bottom"/>
          </w:tcPr>
          <w:p>
            <w:pPr>
              <w:jc w:val="center"/>
              <w:ind w:left="30"/>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nine months ended September 30, 2019 and 2018 (unaudited)</w:t>
              </w:r>
            </w:hyperlink>
          </w:p>
        </w:tc>
        <w:tc>
          <w:tcPr>
            <w:tcW w:w="138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center"/>
              <w:ind w:left="30"/>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52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760" w:type="dxa"/>
            <w:vAlign w:val="bottom"/>
          </w:tcPr>
          <w:p>
            <w:pPr>
              <w:jc w:val="center"/>
              <w:ind w:left="30"/>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060" w:type="dxa"/>
            <w:vAlign w:val="bottom"/>
            <w:gridSpan w:val="5"/>
          </w:tcPr>
          <w:p>
            <w:pPr>
              <w:spacing w:after="0"/>
              <w:rPr>
                <w:sz w:val="17"/>
                <w:szCs w:val="17"/>
                <w:color w:val="auto"/>
              </w:rPr>
            </w:pPr>
          </w:p>
        </w:tc>
        <w:tc>
          <w:tcPr>
            <w:tcW w:w="7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2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7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3540"/>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1820" w:type="dxa"/>
            <w:vAlign w:val="bottom"/>
            <w:gridSpan w:val="5"/>
          </w:tcPr>
          <w:p>
            <w:pPr>
              <w:spacing w:after="0"/>
              <w:rPr>
                <w:sz w:val="24"/>
                <w:szCs w:val="24"/>
                <w:color w:val="auto"/>
              </w:rPr>
            </w:pPr>
          </w:p>
        </w:tc>
        <w:tc>
          <w:tcPr>
            <w:tcW w:w="2820" w:type="dxa"/>
            <w:vAlign w:val="bottom"/>
            <w:tcBorders>
              <w:top w:val="single" w:sz="8" w:color="0000EE"/>
            </w:tcBorders>
            <w:gridSpan w:val="4"/>
          </w:tcPr>
          <w:p>
            <w:pPr>
              <w:spacing w:after="0"/>
              <w:rPr>
                <w:sz w:val="24"/>
                <w:szCs w:val="24"/>
                <w:color w:val="auto"/>
              </w:rPr>
            </w:pPr>
          </w:p>
        </w:tc>
        <w:tc>
          <w:tcPr>
            <w:tcW w:w="3540" w:type="dxa"/>
            <w:vAlign w:val="bottom"/>
            <w:gridSpan w:val="7"/>
          </w:tcPr>
          <w:p>
            <w:pPr>
              <w:spacing w:after="0"/>
              <w:rPr>
                <w:sz w:val="24"/>
                <w:szCs w:val="24"/>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52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7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5160" w:type="dxa"/>
            <w:vAlign w:val="bottom"/>
            <w:gridSpan w:val="9"/>
          </w:tcPr>
          <w:p>
            <w:pPr>
              <w:spacing w:after="0"/>
              <w:rPr>
                <w:sz w:val="17"/>
                <w:szCs w:val="17"/>
                <w:color w:val="auto"/>
              </w:rPr>
            </w:pPr>
          </w:p>
        </w:tc>
        <w:tc>
          <w:tcPr>
            <w:tcW w:w="7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52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7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200" w:type="dxa"/>
            <w:vAlign w:val="bottom"/>
            <w:gridSpan w:val="13"/>
          </w:tcPr>
          <w:p>
            <w:pPr>
              <w:spacing w:after="0"/>
              <w:rPr>
                <w:sz w:val="17"/>
                <w:szCs w:val="17"/>
                <w:color w:val="auto"/>
              </w:rPr>
            </w:pPr>
          </w:p>
        </w:tc>
        <w:tc>
          <w:tcPr>
            <w:tcW w:w="7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8200" w:type="dxa"/>
            <w:vAlign w:val="bottom"/>
            <w:gridSpan w:val="17"/>
          </w:tcPr>
          <w:p>
            <w:pPr>
              <w:spacing w:after="0"/>
              <w:rPr>
                <w:sz w:val="17"/>
                <w:szCs w:val="17"/>
                <w:color w:val="auto"/>
              </w:rPr>
            </w:pPr>
          </w:p>
        </w:tc>
        <w:tc>
          <w:tcPr>
            <w:tcW w:w="7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52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760" w:type="dxa"/>
            <w:vAlign w:val="bottom"/>
          </w:tcPr>
          <w:p>
            <w:pPr>
              <w:jc w:val="center"/>
              <w:ind w:left="5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60" w:type="dxa"/>
            <w:vAlign w:val="bottom"/>
            <w:gridSpan w:val="1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52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669"/>
        </w:trPr>
        <w:tc>
          <w:tcPr>
            <w:tcW w:w="11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220" w:type="dxa"/>
            <w:vAlign w:val="bottom"/>
            <w:gridSpan w:val="12"/>
          </w:tcPr>
          <w:p>
            <w:pPr>
              <w:jc w:val="center"/>
              <w:ind w:left="23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PART I. FINANCIAL INFORMATION</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520" w:type="dxa"/>
            <w:vAlign w:val="bottom"/>
          </w:tcPr>
          <w:p>
            <w:pPr>
              <w:spacing w:after="0"/>
              <w:rPr>
                <w:sz w:val="24"/>
                <w:szCs w:val="24"/>
                <w:color w:val="auto"/>
              </w:rPr>
            </w:pPr>
          </w:p>
        </w:tc>
        <w:tc>
          <w:tcPr>
            <w:tcW w:w="4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GEVO, INC.</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4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Consolidated Balance Sheets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4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5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Current assets:</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20,944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r>
      <w:tr>
        <w:trPr>
          <w:trHeight w:val="216"/>
        </w:trPr>
        <w:tc>
          <w:tcPr>
            <w:tcW w:w="35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r>
      <w:tr>
        <w:trPr>
          <w:trHeight w:val="216"/>
        </w:trPr>
        <w:tc>
          <w:tcPr>
            <w:tcW w:w="3520" w:type="dxa"/>
            <w:vAlign w:val="bottom"/>
          </w:tcPr>
          <w:p>
            <w:pPr>
              <w:ind w:left="340"/>
              <w:spacing w:after="0"/>
              <w:rPr>
                <w:sz w:val="20"/>
                <w:szCs w:val="20"/>
                <w:color w:val="auto"/>
              </w:rPr>
            </w:pPr>
            <w:r>
              <w:rPr>
                <w:rFonts w:ascii="Arial" w:cs="Arial" w:eastAsia="Arial" w:hAnsi="Arial"/>
                <w:sz w:val="18"/>
                <w:szCs w:val="18"/>
                <w:color w:val="auto"/>
                <w:w w:val="92"/>
              </w:rPr>
              <w:t>Prepaid expenses and other current assets</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1,284</w:t>
            </w:r>
          </w:p>
        </w:tc>
      </w:tr>
      <w:tr>
        <w:trPr>
          <w:trHeight w:val="20"/>
        </w:trPr>
        <w:tc>
          <w:tcPr>
            <w:tcW w:w="3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38,710</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in Juhl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Deposits and other assets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67,148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67,036</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1,289</w:t>
            </w:r>
          </w:p>
        </w:tc>
      </w:tr>
      <w:tr>
        <w:trPr>
          <w:trHeight w:val="210"/>
        </w:trPr>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-582295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-307975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4,434</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 Notes (current), net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2020 Notes embedded derivative liability</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warrant liability</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18,098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2020 Notes (long-term), net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18,548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Common stock, $0.01 par value per share; 250,000,000 authorized; 13,369,001 and 8,640,583 shares</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 at September 30, 2019 and December 31, 2018, respectively</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527,958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(451,171)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76,920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95,468</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Ethanol sales and related products, net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5,554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16,184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Hydrocarbon 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Grant and other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9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10,417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(6,108)</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(20,124)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Loss on exchange of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w w:val="96"/>
              </w:rPr>
              <w:t>Gain (loss) from change in fair value of 2020 Notes embedded derivative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960"/>
              <w:spacing w:after="0"/>
              <w:rPr>
                <w:sz w:val="20"/>
                <w:szCs w:val="20"/>
                <w:color w:val="auto"/>
              </w:rPr>
            </w:pPr>
            <w:r>
              <w:rPr>
                <w:rFonts w:ascii="Arial" w:cs="Arial" w:eastAsia="Arial" w:hAnsi="Arial"/>
                <w:sz w:val="18"/>
                <w:szCs w:val="18"/>
                <w:color w:val="auto"/>
              </w:rPr>
              <w:t>Total other expense,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(8,619)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(21,845)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(0.66)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w w:val="91"/>
              </w:rPr>
              <w:t>Weighted-average number of common shares outstanding - basic and diluted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12,968,265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8,087,397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11,679,530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3,629,370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0" w:type="dxa"/>
            <w:vAlign w:val="bottom"/>
            <w:gridSpan w:val="9"/>
          </w:tcPr>
          <w:p>
            <w:pPr>
              <w:jc w:val="center"/>
              <w:ind w:left="2510"/>
              <w:spacing w:after="0"/>
              <w:rPr>
                <w:sz w:val="20"/>
                <w:szCs w:val="20"/>
                <w:color w:val="auto"/>
              </w:rPr>
            </w:pPr>
            <w:r>
              <w:rPr>
                <w:rFonts w:ascii="Arial" w:cs="Arial" w:eastAsia="Arial" w:hAnsi="Arial"/>
                <w:sz w:val="18"/>
                <w:szCs w:val="18"/>
                <w:color w:val="auto"/>
                <w:w w:val="89"/>
              </w:rPr>
              <w:t>See the accompanying Notes to the Consolidated Financial Statements.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Borders>
              <w:bottom w:val="single" w:sz="8" w:color="auto"/>
            </w:tcBorders>
            <w:gridSpan w:val="6"/>
          </w:tcPr>
          <w:p>
            <w:pPr>
              <w:ind w:left="70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Paid-In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20"/>
                <w:szCs w:val="20"/>
                <w:color w:val="auto"/>
              </w:rPr>
            </w:pPr>
          </w:p>
        </w:tc>
        <w:tc>
          <w:tcPr>
            <w:tcW w:w="124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8,640,583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86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518,027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(429,326)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3,244,941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9,611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w w:val="86"/>
              </w:rPr>
              <w:t>234</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(6,136)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gridSpan w:val="2"/>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11,885,524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527,872</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(435,462)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99"/>
              </w:rPr>
              <w:t>(14)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w w:val="86"/>
              </w:rPr>
              <w:t>172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(7,090)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gridSpan w:val="2"/>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11,885,524</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528,030</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(442,552)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85,597</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9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w w:val="86"/>
              </w:rPr>
              <w:t>304</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Issuance of common stock under stock plans, net of taxes</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1,483,477</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14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(215)</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(8,619)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gridSpan w:val="2"/>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gridSpan w:val="2"/>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Balance, September 30, 2019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13,369,001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5"/>
          </w:tcPr>
          <w:p>
            <w:pPr>
              <w:jc w:val="right"/>
              <w:ind w:right="140"/>
              <w:spacing w:after="0"/>
              <w:rPr>
                <w:sz w:val="20"/>
                <w:szCs w:val="20"/>
                <w:color w:val="auto"/>
              </w:rPr>
            </w:pPr>
            <w:r>
              <w:rPr>
                <w:rFonts w:ascii="Arial" w:cs="Arial" w:eastAsia="Arial" w:hAnsi="Arial"/>
                <w:sz w:val="18"/>
                <w:szCs w:val="18"/>
                <w:color w:val="auto"/>
              </w:rPr>
              <w:t>133</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10"/>
              <w:spacing w:after="0"/>
              <w:rPr>
                <w:sz w:val="20"/>
                <w:szCs w:val="20"/>
                <w:color w:val="auto"/>
              </w:rPr>
            </w:pPr>
            <w:r>
              <w:rPr>
                <w:rFonts w:ascii="Arial" w:cs="Arial" w:eastAsia="Arial" w:hAnsi="Arial"/>
                <w:sz w:val="18"/>
                <w:szCs w:val="18"/>
                <w:color w:val="auto"/>
              </w:rPr>
              <w:t>527,958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(451,171)</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76,920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24"/>
                <w:szCs w:val="24"/>
                <w:color w:val="auto"/>
              </w:rPr>
            </w:pPr>
          </w:p>
        </w:tc>
        <w:tc>
          <w:tcPr>
            <w:tcW w:w="152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1"/>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8"/>
              </w:rPr>
              <w:t>Deficit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5"/>
          </w:tcPr>
          <w:p>
            <w:pPr>
              <w:ind w:left="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1,090,553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464,870</w:t>
            </w:r>
          </w:p>
        </w:tc>
        <w:tc>
          <w:tcPr>
            <w:tcW w:w="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(401,350)</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under stock plans,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8"/>
              </w:rPr>
              <w:t>Issuance of common stock, net of issue costs and warrants</w:t>
            </w:r>
          </w:p>
        </w:tc>
        <w:tc>
          <w:tcPr>
            <w:tcW w:w="960" w:type="dxa"/>
            <w:vAlign w:val="bottom"/>
          </w:tcPr>
          <w:p>
            <w:pPr>
              <w:jc w:val="right"/>
              <w:spacing w:after="0"/>
              <w:rPr>
                <w:sz w:val="20"/>
                <w:szCs w:val="20"/>
                <w:color w:val="auto"/>
              </w:rPr>
            </w:pPr>
            <w:r>
              <w:rPr>
                <w:rFonts w:ascii="Arial" w:cs="Arial" w:eastAsia="Arial" w:hAnsi="Arial"/>
                <w:sz w:val="18"/>
                <w:szCs w:val="18"/>
                <w:color w:val="auto"/>
              </w:rPr>
              <w:t>5,208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Issuance of common stock upon exchange of debt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39,016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465,389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(403,852)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61,548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upon reverse stock split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12,261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Issuance of common stock under stock plans, net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Issuance of common stock, net of issue costs and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6,281,409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upon exercise of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Issuance of common stock upon exchange of debt</w:t>
            </w:r>
          </w:p>
        </w:tc>
        <w:tc>
          <w:tcPr>
            <w:tcW w:w="960" w:type="dxa"/>
            <w:vAlign w:val="bottom"/>
          </w:tcPr>
          <w:p>
            <w:pPr>
              <w:jc w:val="right"/>
              <w:spacing w:after="0"/>
              <w:rPr>
                <w:sz w:val="20"/>
                <w:szCs w:val="20"/>
                <w:color w:val="auto"/>
              </w:rPr>
            </w:pPr>
            <w:r>
              <w:rPr>
                <w:rFonts w:ascii="Arial" w:cs="Arial" w:eastAsia="Arial" w:hAnsi="Arial"/>
                <w:sz w:val="18"/>
                <w:szCs w:val="18"/>
                <w:color w:val="auto"/>
              </w:rPr>
              <w:t>260,793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7,990,050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514,859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(415,344)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under stock plans,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8"/>
              </w:rPr>
              <w:t>Issuance of common stock, net of issue costs and warrants</w:t>
            </w:r>
          </w:p>
        </w:tc>
        <w:tc>
          <w:tcPr>
            <w:tcW w:w="960" w:type="dxa"/>
            <w:vAlign w:val="bottom"/>
          </w:tcPr>
          <w:p>
            <w:pPr>
              <w:jc w:val="right"/>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Balance, September 30, 2018</w:t>
            </w:r>
          </w:p>
        </w:tc>
        <w:tc>
          <w:tcPr>
            <w:tcW w:w="960" w:type="dxa"/>
            <w:vAlign w:val="bottom"/>
          </w:tcPr>
          <w:p>
            <w:pPr>
              <w:jc w:val="right"/>
              <w:spacing w:after="0"/>
              <w:rPr>
                <w:sz w:val="20"/>
                <w:szCs w:val="20"/>
                <w:color w:val="auto"/>
              </w:rPr>
            </w:pPr>
            <w:r>
              <w:rPr>
                <w:rFonts w:ascii="Arial" w:cs="Arial" w:eastAsia="Arial" w:hAnsi="Arial"/>
                <w:sz w:val="18"/>
                <w:szCs w:val="18"/>
                <w:color w:val="auto"/>
              </w:rPr>
              <w:t>8,095,120</w:t>
            </w:r>
          </w:p>
        </w:tc>
        <w:tc>
          <w:tcPr>
            <w:tcW w:w="2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81</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515,367</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(422,224)</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93,224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0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22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(21,845)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from change in fair value of 2020 Notes embedded derivative</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(Gain) on sale of property, plant and equipment</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exchange of debt</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Non-cash interest expense</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non-cash expense</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Accounts payable, accrued expenses and long-term liabilities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(14,798)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Acquisitions of property, plant and equipment</w:t>
            </w: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(5,779)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 of property, plant and equipment</w:t>
            </w: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Investment in Juhl</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issuance of common stock</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Proceeds from exercise of common stock warrants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settlement of common stock under stock plans</w:t>
            </w: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Debt and equity offering costs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(12,790)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 and restricted cash</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Beginning of period</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33,734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End of period</w:t>
            </w:r>
          </w:p>
        </w:tc>
        <w:tc>
          <w:tcPr>
            <w:tcW w:w="1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20,944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and non-cash investing and financing transactions</w:t>
            </w:r>
          </w:p>
        </w:tc>
        <w:tc>
          <w:tcPr>
            <w:tcW w:w="740" w:type="dxa"/>
            <w:vAlign w:val="bottom"/>
          </w:tcPr>
          <w:p>
            <w:pPr>
              <w:spacing w:after="0"/>
              <w:rPr>
                <w:sz w:val="20"/>
                <w:szCs w:val="20"/>
                <w:color w:val="auto"/>
              </w:rPr>
            </w:pPr>
          </w:p>
        </w:tc>
        <w:tc>
          <w:tcPr>
            <w:tcW w:w="3300" w:type="dxa"/>
            <w:vAlign w:val="bottom"/>
            <w:gridSpan w:val="7"/>
          </w:tcPr>
          <w:p>
            <w:pPr>
              <w:ind w:left="26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7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7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Non-cash purchase of property, plant and equipment</w:t>
            </w:r>
          </w:p>
        </w:tc>
        <w:tc>
          <w:tcPr>
            <w:tcW w:w="17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Exchange of convertible debt into common stock</w:t>
            </w:r>
          </w:p>
        </w:tc>
        <w:tc>
          <w:tcPr>
            <w:tcW w:w="17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Fair value of 2020 Notes embedded derivative liability upon conversion into common stock</w:t>
            </w:r>
          </w:p>
        </w:tc>
        <w:tc>
          <w:tcPr>
            <w:tcW w:w="17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at issuance and upon exercise, net</w:t>
            </w:r>
          </w:p>
        </w:tc>
        <w:tc>
          <w:tcPr>
            <w:tcW w:w="17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Financial Condition and Basis of Presentation</w:t>
      </w:r>
    </w:p>
    <w:p>
      <w:pPr>
        <w:spacing w:after="0" w:line="22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i w:val="1"/>
          <w:iCs w:val="1"/>
          <w:color w:val="auto"/>
        </w:rPr>
        <w:t xml:space="preserve">Nature of Business. </w:t>
      </w:r>
      <w:r>
        <w:rPr>
          <w:rFonts w:ascii="Arial" w:cs="Arial" w:eastAsia="Arial" w:hAnsi="Arial"/>
          <w:sz w:val="18"/>
          <w:szCs w:val="18"/>
          <w:color w:val="auto"/>
        </w:rPr>
        <w:t>Gevo, Inc. (“Gevo” or the “Company,” which, unless otherwise indicated, refers to Gevo, Inc. and its subsidiaries) is a next-generation, low-carbon fuel company focused on the development and commercialization of renewable biofuel alternatives to fossil-based products. Low-carbon fuels reduce the carbon intensity, or the level of greenhouse gas emissions (“GHG”), compared to standard petroleum, fossil-based, fuels across their lifecycle. The most common low-carbon fuels are renewable fuels. Gevo is focused on the development and production of mainstream fuels like jet fuel and gasoline, using renewable feedstocks to produce sustainable aviation fuel and renewable gasoline that have the potential to lower GHG at a meaningful scale and enhance sustainable agricultural, including food and other related products. In addition to serving the low-carbon fuel markets, through Gevo's technology, Gevo can also serve markets for the production of intermediate chemical products for solvents, plastics and building-block chemicals using our technologies.</w:t>
      </w:r>
    </w:p>
    <w:p>
      <w:pPr>
        <w:spacing w:after="0" w:line="192" w:lineRule="exact"/>
        <w:rPr>
          <w:sz w:val="20"/>
          <w:szCs w:val="20"/>
          <w:color w:val="auto"/>
        </w:rPr>
      </w:pPr>
    </w:p>
    <w:p>
      <w:pPr>
        <w:ind w:right="120" w:firstLine="454"/>
        <w:spacing w:after="0" w:line="272" w:lineRule="auto"/>
        <w:rPr>
          <w:sz w:val="20"/>
          <w:szCs w:val="20"/>
          <w:color w:val="auto"/>
        </w:rPr>
      </w:pPr>
      <w:r>
        <w:rPr>
          <w:rFonts w:ascii="Arial" w:cs="Arial" w:eastAsia="Arial" w:hAnsi="Arial"/>
          <w:sz w:val="17"/>
          <w:szCs w:val="17"/>
          <w:color w:val="auto"/>
        </w:rPr>
        <w:t>In addition to its ethanol production capabilities, the Company developed proprietary technology that uses a combination of synthetic biology, metabolic engineering, chemistry and chemical engineering to make isobutanol and hydrocarbon products from isobutanol that can displace petrochemical incumbent products. The Company has been able to genetically engineer yeast, whereby the yeast produces isobutanol from carbohydrates. The Company’s technology converts its renewable isobutanol to alcohol-to-jet (“ATJ”), isooctane, isooctene and para-xylene (building block for polyester) at its hydrocarbons demonstration plant located at South Hampton Resources, Inc’s facility in Silsbee, Texas (the “South Hampton Facility”). In addition, the Company’s production facility located in Luverne, Minnesota (the “Luverne Facility”) has production capacity of about 20 million gallons per year of ethanol, 45-50 kilotons of animal feed and 3 million pounds of corn oil.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2019, the Company continues to engage in research and development, business development, business and financial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planning, optimizing operations for low-carbon ethanol, isobutanol and related hydrocarbons production, and raising capital to fund future expansion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its Luverne Facility. Ultimately, the Company believes that the attainment of profitable operations is dependent upon future events, including (i) completing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capital improvements at the Luverne Facility to produce low-carbon ethanol side-by-side with low-carbon isobutanol; (ii) completing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resulting in commercial production and sales of low-carbon ethanol, isobutanol, or isobutanol derived products and/or technology; (iii)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obtaining adequate financing to complete the Company’s development activities, including the build out of low-carbon ethanol capacity and further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isobutanol and hydrocarbon capacity; (iv) gaining market acceptance and demand for the Company’s products and services; (v) attracting and retaining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qualified personnel; and (vi) the achievement of a level of revenues adequate to support the Company’s cost structure.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Financial Condition</w:t>
      </w:r>
      <w:r>
        <w:rPr>
          <w:rFonts w:ascii="Arial" w:cs="Arial" w:eastAsia="Arial" w:hAnsi="Arial"/>
          <w:sz w:val="16"/>
          <w:szCs w:val="16"/>
          <w:color w:val="auto"/>
        </w:rPr>
        <w:t>. For the nine months ended September 30, 2019 and 2018, the Company incurred a consolidated net loss of $21.8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$20.9 million, respectively, and had an accumulated deficit of $451.2 million at September 30, 2019. The Company’s cash and cash equivalents at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2019 totaled $20.9 million and are expected to be used for the following purposes: (i) operating activities of the Luverne Facility; (ii)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the Company’s corporate headquarters in Colorado, including research and development work; (iii) capital expenditures primarily associated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Luverne Facility, including capital expenditures to “de-carbonize” the Luverne Facility; (iv) exploration of strategic alternatives and new financings; and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service and repayment obligations. The Company is actively working on refinancing its 2020 Notes (as defined below) that mature on March 15, 2020.</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60" w:firstLine="454"/>
        <w:spacing w:after="0" w:line="290"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multiple sales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cash. Management intends to fund future operations through additional private and/or public offerings of debt or equity securities. In addition, the Company may seek additional capital through arrangements with strategic partners or from other sources. The Company may seek to restructure its debt and will continue to address its cost structure. Notwithstanding, there can be no assurance that the Company will be able to raise additional funds or achieve or sustain profitability or positive cash flows from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At-the-Market Offering Program. </w:t>
      </w:r>
      <w:r>
        <w:rPr>
          <w:rFonts w:ascii="Arial" w:cs="Arial" w:eastAsia="Arial" w:hAnsi="Arial"/>
          <w:sz w:val="17"/>
          <w:szCs w:val="17"/>
          <w:color w:val="auto"/>
        </w:rPr>
        <w:t>In February 2018, the Company commenced an at-the-market offering program, which allows it to sell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issue shares of its common stock from time-to-time. The at-the-market offering program was amended multiple times during 2018 to increase the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under the at-the-market offering program by an aggregate of approximately $84.9 million. In August 2019, the at-the-market offering was amended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increase the available capacity under the at-the-market offering program by $10.7 million. During the nine months ended September 30, 2019,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issued 3,244,941 shares of common stock under the at-the-market offering program for gross proceeds of $9.9 million. The Company 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incurred other offering related expenses totaling $0.4 million during the nine months ended September 30, 2019. There were no sales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at-the-market offering program during the third quarter of 2019. As of September 30, 2019, the Company had the capacity to issue up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$10.7 million of common stock under the at-the-market offering program.</w:t>
      </w:r>
    </w:p>
    <w:p>
      <w:pPr>
        <w:spacing w:after="0" w:line="211"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From October 1, 2019 to November 11, 2019, the Company issued 322,899 shares of common stock under the at-the-market offering program for gross proceeds of $0.9 million, net of $0.03 million of commissions and offering related expenses.</w:t>
      </w:r>
    </w:p>
    <w:p>
      <w:pPr>
        <w:spacing w:after="0" w:line="170" w:lineRule="exact"/>
        <w:rPr>
          <w:sz w:val="20"/>
          <w:szCs w:val="20"/>
          <w:color w:val="auto"/>
        </w:rPr>
      </w:pPr>
    </w:p>
    <w:p>
      <w:pPr>
        <w:ind w:firstLine="454"/>
        <w:spacing w:after="0" w:line="271"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unaudited consolidated financial statements of the Company (which include the accounts of its wholly-owned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Gevo Development, LLC (“Gevo Development”) and Agri-Energy, LLC (“Agri-Energy”)) have been prepared, without audit, pursuant to the rules and regulations of the Securities and Exchange Commission. Accordingly, they do not include all information and footnotes required by accounting principles generally accepted in the United States for complete financial statements. These statements reflect all normal and recurring adjustments which, in the opinion of management, are necessary to present fairly the financial position, results of operations and cash flows of the Company at September 30, 2019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2018.</w:t>
      </w:r>
    </w:p>
    <w:p>
      <w:pPr>
        <w:spacing w:after="0" w:line="172" w:lineRule="exact"/>
        <w:rPr>
          <w:sz w:val="20"/>
          <w:szCs w:val="20"/>
          <w:color w:val="auto"/>
        </w:rPr>
      </w:pPr>
    </w:p>
    <w:p>
      <w:pPr>
        <w:ind w:firstLine="540"/>
        <w:spacing w:after="0" w:line="236" w:lineRule="auto"/>
        <w:rPr>
          <w:sz w:val="20"/>
          <w:szCs w:val="20"/>
          <w:color w:val="auto"/>
        </w:rPr>
      </w:pPr>
      <w:r>
        <w:rPr>
          <w:rFonts w:ascii="Arial" w:cs="Arial" w:eastAsia="Arial" w:hAnsi="Arial"/>
          <w:sz w:val="22"/>
          <w:szCs w:val="22"/>
          <w:i w:val="1"/>
          <w:iCs w:val="1"/>
          <w:color w:val="auto"/>
        </w:rPr>
        <w:t xml:space="preserve">Investment in Juhl. </w:t>
      </w:r>
      <w:r>
        <w:rPr>
          <w:rFonts w:ascii="Arial" w:cs="Arial" w:eastAsia="Arial" w:hAnsi="Arial"/>
          <w:sz w:val="22"/>
          <w:szCs w:val="22"/>
          <w:color w:val="auto"/>
        </w:rPr>
        <w:t>In September 2019, Agri-Energy purchased 1.5 million shares of Series A preferred stock of Juhl Clean</w:t>
      </w:r>
      <w:r>
        <w:rPr>
          <w:rFonts w:ascii="Arial" w:cs="Arial" w:eastAsia="Arial" w:hAnsi="Arial"/>
          <w:sz w:val="22"/>
          <w:szCs w:val="22"/>
          <w:i w:val="1"/>
          <w:iCs w:val="1"/>
          <w:color w:val="auto"/>
        </w:rPr>
        <w:t xml:space="preserve"> </w:t>
      </w:r>
      <w:r>
        <w:rPr>
          <w:rFonts w:ascii="Arial" w:cs="Arial" w:eastAsia="Arial" w:hAnsi="Arial"/>
          <w:sz w:val="22"/>
          <w:szCs w:val="22"/>
          <w:color w:val="auto"/>
        </w:rPr>
        <w:t>Energy Assets, Inc. ("Juhl") for a purchase price of $1.00 per share in connection with the development of wind electrical energy generating facility project near the Luverne Facility. An affiliate of Juhl will construct, own and operate the wind project, and Agri-Energy will purchase the electricity directly from the City of Luverne. The investment in Juhl is accounted for under the cost method.</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There is no provision for income taxes because the Company has incurred operating losses since inception.</w:t>
      </w:r>
    </w:p>
    <w:p>
      <w:pPr>
        <w:spacing w:after="0" w:line="225" w:lineRule="exact"/>
        <w:rPr>
          <w:sz w:val="20"/>
          <w:szCs w:val="20"/>
          <w:color w:val="auto"/>
        </w:rPr>
      </w:pPr>
    </w:p>
    <w:p>
      <w:pPr>
        <w:jc w:val="both"/>
        <w:ind w:right="260" w:firstLine="475"/>
        <w:spacing w:after="0" w:line="264" w:lineRule="auto"/>
        <w:rPr>
          <w:sz w:val="20"/>
          <w:szCs w:val="20"/>
          <w:color w:val="auto"/>
        </w:rPr>
      </w:pPr>
      <w:r>
        <w:rPr>
          <w:rFonts w:ascii="Arial" w:cs="Arial" w:eastAsia="Arial" w:hAnsi="Arial"/>
          <w:sz w:val="18"/>
          <w:szCs w:val="18"/>
          <w:i w:val="1"/>
          <w:iCs w:val="1"/>
          <w:color w:val="auto"/>
        </w:rPr>
        <w:t xml:space="preserve">Concentration of Business Risk. </w:t>
      </w:r>
      <w:r>
        <w:rPr>
          <w:rFonts w:ascii="Arial" w:cs="Arial" w:eastAsia="Arial" w:hAnsi="Arial"/>
          <w:sz w:val="18"/>
          <w:szCs w:val="18"/>
          <w:color w:val="auto"/>
        </w:rPr>
        <w:t>As of September 30, 2019, two customers, Coryton Advanced Fuels Ltd ("Coryton") and Eco-Energy, LLC ("Eco-Energy"), comprised 56% and 15% of accounts receivable, respectively. At December 31, 2018, two customers, Eco-Energy and Purina Animal Nutrition, LLC ("Purina") comprised 66% and 29% of trade accounts receivable, respectively.</w:t>
      </w:r>
    </w:p>
    <w:p>
      <w:pPr>
        <w:spacing w:after="0" w:line="181" w:lineRule="exact"/>
        <w:rPr>
          <w:sz w:val="20"/>
          <w:szCs w:val="20"/>
          <w:color w:val="auto"/>
        </w:rPr>
      </w:pPr>
    </w:p>
    <w:p>
      <w:pPr>
        <w:ind w:right="80" w:firstLine="475"/>
        <w:spacing w:after="0" w:line="279" w:lineRule="auto"/>
        <w:rPr>
          <w:sz w:val="20"/>
          <w:szCs w:val="20"/>
          <w:color w:val="auto"/>
        </w:rPr>
      </w:pPr>
      <w:r>
        <w:rPr>
          <w:rFonts w:ascii="Arial" w:cs="Arial" w:eastAsia="Arial" w:hAnsi="Arial"/>
          <w:sz w:val="17"/>
          <w:szCs w:val="17"/>
          <w:color w:val="auto"/>
        </w:rPr>
        <w:t>For the three months ended September 30, 2019 and 2018, sales to Eco-Energy represented approximately 73% and 72% of the Company's consolidated revenue and sales to Purina represented approximately 16% and 18% of the Company's consolidated revenue, respectively. For the nine months ended September 30, 2019 and 2018, sales to Eco-Energy represented approximately 72% and 72% of the Company's consolidated revenue and sales to Purina represented approximately 17% and 21% of the Company's consolidated revenue,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454"/>
        <w:spacing w:after="0" w:line="270" w:lineRule="auto"/>
        <w:rPr>
          <w:sz w:val="20"/>
          <w:szCs w:val="20"/>
          <w:color w:val="auto"/>
        </w:rPr>
      </w:pPr>
      <w:r>
        <w:rPr>
          <w:rFonts w:ascii="Arial" w:cs="Arial" w:eastAsia="Arial" w:hAnsi="Arial"/>
          <w:sz w:val="17"/>
          <w:szCs w:val="17"/>
          <w:b w:val="1"/>
          <w:bCs w:val="1"/>
          <w:i w:val="1"/>
          <w:iCs w:val="1"/>
          <w:color w:val="auto"/>
        </w:rPr>
        <w:t xml:space="preserve">Financial Instruments - Credit Losses. Measurement of Credit Losses on Financial Instruments. </w:t>
      </w:r>
      <w:r>
        <w:rPr>
          <w:rFonts w:ascii="Arial" w:cs="Arial" w:eastAsia="Arial" w:hAnsi="Arial"/>
          <w:sz w:val="17"/>
          <w:szCs w:val="17"/>
          <w:color w:val="auto"/>
        </w:rPr>
        <w:t>In June 2016, the Financial Accounting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Board ("FASB") issued Accounting Standards Update ("ASU") No. 2016-13, </w:t>
      </w:r>
      <w:r>
        <w:rPr>
          <w:rFonts w:ascii="Arial" w:cs="Arial" w:eastAsia="Arial" w:hAnsi="Arial"/>
          <w:sz w:val="17"/>
          <w:szCs w:val="17"/>
          <w:i w:val="1"/>
          <w:iCs w:val="1"/>
          <w:color w:val="auto"/>
        </w:rPr>
        <w:t>Financial Instruments - Credit Losses Measurement of Credits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(“ASU 2016-13”), which replaces accounting for credit losses for most financial assets, including trade accounts receivable,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other instruments that are not measured at fair value through income. ASU 2016-13 replaces the current “incurred loss” model, in which losses are recognized when a loss is incurred as of the date of the balance sheet, to an “expected credit loss” model, which includes a broader range of information to estimate expected credit losses over the lifetime of the financial asset. ASU 2016-13 is effective for fiscal years beginning after December 15, 2019. It is expected that the adoption of this standard will primarily apply to the valuation of the Company’s trade accounts receivables. The Company sells primarily to a small quantity of large customers with significant balance sheets and those financial assets are often settled within one-to-two weeks after the completion of the corresponding sales transaction. The Company does not anticipate that the adoption of this standard will have a material impact on the Company’s consolidated financial statements.</w:t>
      </w:r>
    </w:p>
    <w:p>
      <w:pPr>
        <w:sectPr>
          <w:pgSz w:w="11900" w:h="16838" w:orient="portrait"/>
          <w:cols w:equalWidth="0" w:num="1">
            <w:col w:w="11380"/>
          </w:cols>
          <w:pgMar w:left="240" w:top="118" w:right="27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New Accounting Pronouncements</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454"/>
        <w:spacing w:after="0" w:line="272"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2016, the FASB issued ASU No. 2016-02,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2016-02”). ASU 2016-02 requires most contracts which convey over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of time the right to use or control the use of an asset to be recognized on a company’s financial statements. The objective is to increase transparency and comparability among organizations by recognizing lease assets and lease liabilities on the balance sheet and disclosing key information about leasing arrangements. ASU 2016-02 was effective for fiscal years beginning after December 15, 2018, including interim periods within those fiscal years. The standard required using the modified retrospective transition method and applying ASU 2016-02 either at the (i) latter of the earliest comparative period presented in the financial statements or commencement date of the lease, or (ii) beginning of the period of adoption. The Company adopted the standard effective January 1, 2019 with no retrospective adjustment to prior periods presented in the financial statements. There was no impact to the opening balance of retained earnings as of January 1, 2019 as a result of the adoption of this standard.</w:t>
      </w:r>
    </w:p>
    <w:p>
      <w:pPr>
        <w:spacing w:after="0" w:line="176" w:lineRule="exact"/>
        <w:rPr>
          <w:sz w:val="20"/>
          <w:szCs w:val="20"/>
          <w:color w:val="auto"/>
        </w:rPr>
      </w:pPr>
    </w:p>
    <w:p>
      <w:pPr>
        <w:ind w:right="160" w:firstLine="454"/>
        <w:spacing w:after="0" w:line="302" w:lineRule="auto"/>
        <w:rPr>
          <w:sz w:val="20"/>
          <w:szCs w:val="20"/>
          <w:color w:val="auto"/>
        </w:rPr>
      </w:pPr>
      <w:r>
        <w:rPr>
          <w:rFonts w:ascii="Arial" w:cs="Arial" w:eastAsia="Arial" w:hAnsi="Arial"/>
          <w:sz w:val="16"/>
          <w:szCs w:val="16"/>
          <w:color w:val="auto"/>
        </w:rPr>
        <w:t>As a result of adopting ASU 2016-02, the Company recognized $1.2 million in right-to-use assets and related lease liabilities at January 1, 2019. The Company elected both (i) the short term lease scope exception for leases with original terms of twelve months or less and (ii) the package of practical expedients, which included the ability to classify leases as operating</w:t>
      </w:r>
      <w:r>
        <w:rPr>
          <w:rFonts w:ascii="Arial" w:cs="Arial" w:eastAsia="Arial" w:hAnsi="Arial"/>
          <w:sz w:val="16"/>
          <w:szCs w:val="16"/>
          <w:i w:val="1"/>
          <w:iCs w:val="1"/>
          <w:color w:val="auto"/>
        </w:rPr>
        <w:t>,</w:t>
      </w:r>
      <w:r>
        <w:rPr>
          <w:rFonts w:ascii="Arial" w:cs="Arial" w:eastAsia="Arial" w:hAnsi="Arial"/>
          <w:sz w:val="16"/>
          <w:szCs w:val="16"/>
          <w:color w:val="auto"/>
        </w:rPr>
        <w:t xml:space="preserve"> for those leases existing prior to January 1, 2019 that were previously classified as operating under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 the superseded accounting standard for the accounting for leases.</w:t>
      </w:r>
    </w:p>
    <w:p>
      <w:pPr>
        <w:spacing w:after="0" w:line="154" w:lineRule="exact"/>
        <w:rPr>
          <w:sz w:val="20"/>
          <w:szCs w:val="20"/>
          <w:color w:val="auto"/>
        </w:rPr>
      </w:pPr>
    </w:p>
    <w:p>
      <w:pPr>
        <w:ind w:firstLine="454"/>
        <w:spacing w:after="0" w:line="271" w:lineRule="auto"/>
        <w:rPr>
          <w:sz w:val="20"/>
          <w:szCs w:val="20"/>
          <w:color w:val="auto"/>
        </w:rPr>
      </w:pPr>
      <w:r>
        <w:rPr>
          <w:rFonts w:ascii="Arial" w:cs="Arial" w:eastAsia="Arial" w:hAnsi="Arial"/>
          <w:sz w:val="17"/>
          <w:szCs w:val="17"/>
          <w:b w:val="1"/>
          <w:bCs w:val="1"/>
          <w:i w:val="1"/>
          <w:iCs w:val="1"/>
          <w:color w:val="auto"/>
        </w:rPr>
        <w:t xml:space="preserve">Derivatives and Hedging. Accounting for Certain Financial Instruments with Down Round Provisions. </w:t>
      </w:r>
      <w:r>
        <w:rPr>
          <w:rFonts w:ascii="Arial" w:cs="Arial" w:eastAsia="Arial" w:hAnsi="Arial"/>
          <w:sz w:val="17"/>
          <w:szCs w:val="17"/>
          <w:color w:val="auto"/>
        </w:rPr>
        <w:t>In July 2017, the FASB issued ASU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2017-11, </w:t>
      </w:r>
      <w:r>
        <w:rPr>
          <w:rFonts w:ascii="Arial" w:cs="Arial" w:eastAsia="Arial" w:hAnsi="Arial"/>
          <w:sz w:val="17"/>
          <w:szCs w:val="17"/>
          <w:i w:val="1"/>
          <w:iCs w:val="1"/>
          <w:color w:val="auto"/>
        </w:rPr>
        <w:t>Derivatives and Hedging Accounting for Certain Financial Instruments with Down Round Provisions</w:t>
      </w:r>
      <w:r>
        <w:rPr>
          <w:rFonts w:ascii="Arial" w:cs="Arial" w:eastAsia="Arial" w:hAnsi="Arial"/>
          <w:sz w:val="17"/>
          <w:szCs w:val="17"/>
          <w:color w:val="auto"/>
        </w:rPr>
        <w:t xml:space="preserve"> (“ASU 2017-11”), which was effective for fiscal years beginning after December 15, 2018. The standard simplifies the accounting for certain equity-linked financial instruments and embedded features with down round features that reduce the exercise price when the pricing of a future round of financing is lower. Currently, the existence of such features requires classification outside of equity and recognition of changes in the fair value of the instrument in earnings each reporting period. This standard eliminates the need to remeasure the instruments at fair value and allows classification within equity. The adoption of this standard has not materially impacted the Company’s accounting, as current liability classified financial instruments and embedded derivatives that require separation from the host instrument have features other than down-round provisions that require current accounting and classification.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9" w:lineRule="exact"/>
        <w:rPr>
          <w:sz w:val="20"/>
          <w:szCs w:val="20"/>
          <w:color w:val="auto"/>
        </w:rPr>
      </w:pPr>
    </w:p>
    <w:p>
      <w:pPr>
        <w:ind w:right="320" w:firstLine="454"/>
        <w:spacing w:after="0" w:line="257" w:lineRule="auto"/>
        <w:rPr>
          <w:sz w:val="20"/>
          <w:szCs w:val="20"/>
          <w:color w:val="auto"/>
        </w:rPr>
      </w:pPr>
      <w:r>
        <w:rPr>
          <w:rFonts w:ascii="Arial" w:cs="Arial" w:eastAsia="Arial" w:hAnsi="Arial"/>
          <w:sz w:val="18"/>
          <w:szCs w:val="18"/>
          <w:color w:val="auto"/>
        </w:rPr>
        <w:t>Basic earnings (loss) per share ("EPS") is computed by dividing the net income (loss) for the period by the weighted-average number of common shares outstanding during the period. Diluted earnings (loss) per share includes the dilutive effect of common stock equivalents and is computed using the weighted-average number of common stock and common stock equivalents outstanding during the reporting period. Diluted EPS for the three and nine months ended September 30, 2019 and 2018 excluded common stock equivalents because the effect of their inclusion would be anti-dilutive or would decrease the reported loss per share.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securities outstanding that could potentially dilute the calculation of diluted EPS: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3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Three and Nine Months Ended</w:t>
            </w:r>
          </w:p>
        </w:tc>
      </w:tr>
      <w:tr>
        <w:trPr>
          <w:trHeight w:val="234"/>
        </w:trPr>
        <w:tc>
          <w:tcPr>
            <w:tcW w:w="812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20" w:type="dxa"/>
            <w:vAlign w:val="bottom"/>
          </w:tcPr>
          <w:p>
            <w:pPr>
              <w:spacing w:after="0"/>
              <w:rPr>
                <w:sz w:val="18"/>
                <w:szCs w:val="18"/>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 liability classified (see Note 7)</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54,989</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58,902</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Warrant to purchase common stock - equity classified</w:t>
            </w:r>
          </w:p>
        </w:tc>
        <w:tc>
          <w:tcPr>
            <w:tcW w:w="22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2020 Notes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997,914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1,094,282</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Outstanding options to purchase common stock (see Note 11)</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1,564</w:t>
            </w: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132,566</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132,559</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22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290,300</w:t>
            </w:r>
          </w:p>
        </w:tc>
      </w:tr>
      <w:tr>
        <w:trPr>
          <w:trHeight w:val="20"/>
        </w:trPr>
        <w:tc>
          <w:tcPr>
            <w:tcW w:w="8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1,187,033</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1,576,862</w:t>
            </w:r>
          </w:p>
        </w:tc>
      </w:tr>
      <w:tr>
        <w:trPr>
          <w:trHeight w:val="20"/>
        </w:trPr>
        <w:tc>
          <w:tcPr>
            <w:tcW w:w="8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Other Revenues</w:t>
      </w:r>
    </w:p>
    <w:p>
      <w:pPr>
        <w:spacing w:after="0" w:line="229" w:lineRule="exact"/>
        <w:rPr>
          <w:sz w:val="20"/>
          <w:szCs w:val="20"/>
          <w:color w:val="auto"/>
        </w:rPr>
      </w:pPr>
    </w:p>
    <w:p>
      <w:pPr>
        <w:ind w:right="300" w:firstLine="454"/>
        <w:spacing w:after="0" w:line="342" w:lineRule="auto"/>
        <w:rPr>
          <w:sz w:val="20"/>
          <w:szCs w:val="20"/>
          <w:color w:val="auto"/>
        </w:rPr>
      </w:pPr>
      <w:r>
        <w:rPr>
          <w:rFonts w:ascii="Arial" w:cs="Arial" w:eastAsia="Arial" w:hAnsi="Arial"/>
          <w:sz w:val="16"/>
          <w:szCs w:val="16"/>
          <w:color w:val="auto"/>
        </w:rPr>
        <w:t>The Company’s current and historical revenues have consisted of the following: (a) ethanol sales and related products revenue, net; (b) hydrocarbon revenue; and (c) grant and other revenue, which primarily has historically consisted of revenues from governmental and cooperative research grants.</w:t>
      </w:r>
    </w:p>
    <w:p>
      <w:pPr>
        <w:spacing w:after="0" w:line="124" w:lineRule="exact"/>
        <w:rPr>
          <w:sz w:val="20"/>
          <w:szCs w:val="20"/>
          <w:color w:val="auto"/>
        </w:rPr>
      </w:pPr>
    </w:p>
    <w:p>
      <w:pPr>
        <w:jc w:val="both"/>
        <w:ind w:right="260" w:firstLine="454"/>
        <w:spacing w:after="0" w:line="264" w:lineRule="auto"/>
        <w:rPr>
          <w:sz w:val="20"/>
          <w:szCs w:val="20"/>
          <w:color w:val="auto"/>
        </w:rPr>
      </w:pPr>
      <w:r>
        <w:rPr>
          <w:rFonts w:ascii="Arial" w:cs="Arial" w:eastAsia="Arial" w:hAnsi="Arial"/>
          <w:sz w:val="18"/>
          <w:szCs w:val="18"/>
          <w:i w:val="1"/>
          <w:iCs w:val="1"/>
          <w:color w:val="auto"/>
        </w:rPr>
        <w:t xml:space="preserve">Ethanol sales and related products revenues. </w:t>
      </w:r>
      <w:r>
        <w:rPr>
          <w:rFonts w:ascii="Arial" w:cs="Arial" w:eastAsia="Arial" w:hAnsi="Arial"/>
          <w:sz w:val="18"/>
          <w:szCs w:val="18"/>
          <w:color w:val="auto"/>
        </w:rPr>
        <w:t>Ethanol sales and related products revenues are sold to customers on a “free-on-board, shipping point”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Each transaction occurs independent of any other sale, and once sold, there are no future obligations on the part of the Company to provide post-sale support or promises to deliver future goods or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60" w:firstLine="454"/>
        <w:spacing w:after="0" w:line="264" w:lineRule="auto"/>
        <w:rPr>
          <w:sz w:val="20"/>
          <w:szCs w:val="20"/>
          <w:color w:val="auto"/>
        </w:rPr>
      </w:pPr>
      <w:r>
        <w:rPr>
          <w:rFonts w:ascii="Arial" w:cs="Arial" w:eastAsia="Arial" w:hAnsi="Arial"/>
          <w:sz w:val="18"/>
          <w:szCs w:val="18"/>
          <w:i w:val="1"/>
          <w:iCs w:val="1"/>
          <w:color w:val="auto"/>
        </w:rPr>
        <w:t xml:space="preserve">Hydrocarbon revenue. </w:t>
      </w:r>
      <w:r>
        <w:rPr>
          <w:rFonts w:ascii="Arial" w:cs="Arial" w:eastAsia="Arial" w:hAnsi="Arial"/>
          <w:sz w:val="18"/>
          <w:szCs w:val="18"/>
          <w:color w:val="auto"/>
        </w:rPr>
        <w:t>Hydrocarbon revenue includes sales of ATJ, isooctene and isooctane and is sold mostly on a “free-on-board, shipping point”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Each transaction occurs independent of any other sale, and once sold, there are no future obligations on the part of the Company to provide post-sale support or promises to deliver future goods or services.</w:t>
      </w:r>
    </w:p>
    <w:p>
      <w:pPr>
        <w:spacing w:after="0" w:line="181" w:lineRule="exact"/>
        <w:rPr>
          <w:sz w:val="20"/>
          <w:szCs w:val="20"/>
          <w:color w:val="auto"/>
        </w:rPr>
      </w:pPr>
    </w:p>
    <w:p>
      <w:pPr>
        <w:jc w:val="center"/>
        <w:ind w:right="440"/>
        <w:spacing w:after="0" w:line="342" w:lineRule="auto"/>
        <w:rPr>
          <w:sz w:val="20"/>
          <w:szCs w:val="20"/>
          <w:color w:val="auto"/>
        </w:rPr>
      </w:pPr>
      <w:r>
        <w:rPr>
          <w:rFonts w:ascii="Arial" w:cs="Arial" w:eastAsia="Arial" w:hAnsi="Arial"/>
          <w:sz w:val="16"/>
          <w:szCs w:val="16"/>
          <w:i w:val="1"/>
          <w:iCs w:val="1"/>
          <w:color w:val="auto"/>
        </w:rPr>
        <w:t xml:space="preserve">Grant and other revenues. </w:t>
      </w:r>
      <w:r>
        <w:rPr>
          <w:rFonts w:ascii="Arial" w:cs="Arial" w:eastAsia="Arial" w:hAnsi="Arial"/>
          <w:sz w:val="16"/>
          <w:szCs w:val="16"/>
          <w:color w:val="auto"/>
        </w:rPr>
        <w:t>Grant revenues have historically consisted of governmental and cooperative research grants. Other revenues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included occasional short-term (less than one-year) consulting services and leases of certain storage facilities located at the Luverne Facility.</w:t>
      </w:r>
    </w:p>
    <w:p>
      <w:pPr>
        <w:spacing w:after="0" w:line="124" w:lineRule="exact"/>
        <w:rPr>
          <w:sz w:val="20"/>
          <w:szCs w:val="20"/>
          <w:color w:val="auto"/>
        </w:rPr>
      </w:pPr>
    </w:p>
    <w:p>
      <w:pPr>
        <w:ind w:right="120" w:firstLine="454"/>
        <w:spacing w:after="0" w:line="277"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10"/>
          </w:tcPr>
          <w:p>
            <w:pPr>
              <w:ind w:left="720"/>
              <w:spacing w:after="0"/>
              <w:rPr>
                <w:sz w:val="20"/>
                <w:szCs w:val="20"/>
                <w:color w:val="auto"/>
              </w:rPr>
            </w:pPr>
            <w:r>
              <w:rPr>
                <w:rFonts w:ascii="Arial" w:cs="Arial" w:eastAsia="Arial" w:hAnsi="Arial"/>
                <w:sz w:val="18"/>
                <w:szCs w:val="18"/>
                <w:b w:val="1"/>
                <w:bCs w:val="1"/>
                <w:color w:val="auto"/>
              </w:rPr>
              <w:t>Three Months Ended September 30, 2019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Contracts with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Customers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jc w:val="center"/>
              <w:ind w:left="11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0"/>
          </w:tcPr>
          <w:p>
            <w:pPr>
              <w:ind w:left="720"/>
              <w:spacing w:after="0"/>
              <w:rPr>
                <w:sz w:val="20"/>
                <w:szCs w:val="20"/>
                <w:color w:val="auto"/>
              </w:rPr>
            </w:pPr>
            <w:r>
              <w:rPr>
                <w:rFonts w:ascii="Arial" w:cs="Arial" w:eastAsia="Arial" w:hAnsi="Arial"/>
                <w:sz w:val="18"/>
                <w:szCs w:val="18"/>
                <w:b w:val="1"/>
                <w:bCs w:val="1"/>
                <w:color w:val="auto"/>
              </w:rPr>
              <w:t>Three Months Ended September 30, 2018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Contracts with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Customers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8,575</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jc w:val="center"/>
              <w:ind w:left="11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8,575</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8,575</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9"/>
          </w:tcPr>
          <w:p>
            <w:pPr>
              <w:ind w:left="780"/>
              <w:spacing w:after="0"/>
              <w:rPr>
                <w:sz w:val="20"/>
                <w:szCs w:val="20"/>
                <w:color w:val="auto"/>
              </w:rPr>
            </w:pPr>
            <w:r>
              <w:rPr>
                <w:rFonts w:ascii="Arial" w:cs="Arial" w:eastAsia="Arial" w:hAnsi="Arial"/>
                <w:sz w:val="18"/>
                <w:szCs w:val="18"/>
                <w:b w:val="1"/>
                <w:bCs w:val="1"/>
                <w:color w:val="auto"/>
              </w:rPr>
              <w:t>Nine Months Ended September 30, 2019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Contracts with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Customers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17,565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34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jc w:val="center"/>
              <w:ind w:left="11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17,565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17,565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34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9"/>
          </w:tcPr>
          <w:p>
            <w:pPr>
              <w:ind w:left="780"/>
              <w:spacing w:after="0"/>
              <w:rPr>
                <w:sz w:val="20"/>
                <w:szCs w:val="20"/>
                <w:color w:val="auto"/>
              </w:rPr>
            </w:pPr>
            <w:r>
              <w:rPr>
                <w:rFonts w:ascii="Arial" w:cs="Arial" w:eastAsia="Arial" w:hAnsi="Arial"/>
                <w:sz w:val="18"/>
                <w:szCs w:val="18"/>
                <w:b w:val="1"/>
                <w:bCs w:val="1"/>
                <w:color w:val="auto"/>
              </w:rPr>
              <w:t>Nine Months Ended September 30, 2018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Contracts with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Customers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26,238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jc w:val="center"/>
              <w:ind w:left="11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26,213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26,238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firstLine="454"/>
        <w:spacing w:after="0" w:line="259" w:lineRule="auto"/>
        <w:rPr>
          <w:sz w:val="20"/>
          <w:szCs w:val="20"/>
          <w:color w:val="auto"/>
        </w:rPr>
      </w:pPr>
      <w:r>
        <w:rPr>
          <w:rFonts w:ascii="Arial" w:cs="Arial" w:eastAsia="Arial" w:hAnsi="Arial"/>
          <w:sz w:val="18"/>
          <w:szCs w:val="18"/>
          <w:i w:val="1"/>
          <w:iCs w:val="1"/>
          <w:color w:val="auto"/>
        </w:rPr>
        <w:t xml:space="preserve">Goods transferred at a point-in-time. </w:t>
      </w:r>
      <w:r>
        <w:rPr>
          <w:rFonts w:ascii="Arial" w:cs="Arial" w:eastAsia="Arial" w:hAnsi="Arial"/>
          <w:sz w:val="18"/>
          <w:szCs w:val="18"/>
          <w:color w:val="auto"/>
        </w:rPr>
        <w:t>For the three and nine months ended September 30, 2019 and 2018, there were no contracts with customers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consideration was variable or for which there were multiple performance obligations for any given contract. Accordingly, the entire transaction price is allocated to the goods transferred. As of September 30, 2019 and December 31, 2018, there were no remaining unfulfilled or partially fulfilled performance obligations.</w:t>
      </w:r>
    </w:p>
    <w:p>
      <w:pPr>
        <w:spacing w:after="0" w:line="187"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Arial" w:cs="Arial" w:eastAsia="Arial" w:hAnsi="Arial"/>
          <w:sz w:val="18"/>
          <w:szCs w:val="18"/>
          <w:i w:val="1"/>
          <w:iCs w:val="1"/>
          <w:color w:val="auto"/>
        </w:rPr>
        <w:t>free-on-board, shipping point".</w:t>
      </w:r>
      <w:r>
        <w:rPr>
          <w:rFonts w:ascii="Arial" w:cs="Arial" w:eastAsia="Arial" w:hAnsi="Arial"/>
          <w:sz w:val="18"/>
          <w:szCs w:val="18"/>
          <w:color w:val="auto"/>
        </w:rPr>
        <w:t xml:space="preserve"> All material contracts have payment terms of between one to three months and there are no return or refund rights.</w:t>
      </w:r>
    </w:p>
    <w:p>
      <w:pPr>
        <w:spacing w:after="0" w:line="181" w:lineRule="exact"/>
        <w:rPr>
          <w:sz w:val="20"/>
          <w:szCs w:val="20"/>
          <w:color w:val="auto"/>
        </w:rPr>
      </w:pPr>
    </w:p>
    <w:p>
      <w:pPr>
        <w:ind w:firstLine="454"/>
        <w:spacing w:after="0" w:line="259" w:lineRule="auto"/>
        <w:rPr>
          <w:sz w:val="20"/>
          <w:szCs w:val="20"/>
          <w:color w:val="auto"/>
        </w:rPr>
      </w:pPr>
      <w:r>
        <w:rPr>
          <w:rFonts w:ascii="Arial" w:cs="Arial" w:eastAsia="Arial" w:hAnsi="Arial"/>
          <w:sz w:val="18"/>
          <w:szCs w:val="18"/>
          <w:i w:val="1"/>
          <w:iCs w:val="1"/>
          <w:color w:val="auto"/>
        </w:rPr>
        <w:t xml:space="preserve">Services transferred over time. </w:t>
      </w:r>
      <w:r>
        <w:rPr>
          <w:rFonts w:ascii="Arial" w:cs="Arial" w:eastAsia="Arial" w:hAnsi="Arial"/>
          <w:sz w:val="18"/>
          <w:szCs w:val="18"/>
          <w:color w:val="auto"/>
        </w:rPr>
        <w:t>For the three and nine months ended September 30, 2019 and 2018, there were no contracts for which consideration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or for which there were multiple performance obligations for any given contract. Accordingly, the entire transaction price is allocated to the individual service performance obligation. As of September 30, 2019 and December 31, 2018, there were no material unfulfilled or partially fulfilled performance obligations.</w:t>
      </w:r>
    </w:p>
    <w:p>
      <w:pPr>
        <w:spacing w:after="0" w:line="187" w:lineRule="exact"/>
        <w:rPr>
          <w:sz w:val="20"/>
          <w:szCs w:val="20"/>
          <w:color w:val="auto"/>
        </w:rPr>
      </w:pPr>
    </w:p>
    <w:p>
      <w:pPr>
        <w:ind w:right="320" w:firstLine="454"/>
        <w:spacing w:after="0" w:line="277" w:lineRule="auto"/>
        <w:rPr>
          <w:sz w:val="20"/>
          <w:szCs w:val="20"/>
          <w:color w:val="auto"/>
        </w:rPr>
      </w:pPr>
      <w:r>
        <w:rPr>
          <w:rFonts w:ascii="Arial" w:cs="Arial" w:eastAsia="Arial" w:hAnsi="Arial"/>
          <w:sz w:val="18"/>
          <w:szCs w:val="18"/>
          <w:color w:val="auto"/>
        </w:rPr>
        <w:t>For the three and nine months ended September 30, 2019 and 2018, revenues were recognized ratably over time, as the performance obligation was satisfied and benefit to the customer was transferred on a ratable basis over time.</w:t>
      </w:r>
    </w:p>
    <w:p>
      <w:pPr>
        <w:spacing w:after="0" w:line="170" w:lineRule="exact"/>
        <w:rPr>
          <w:sz w:val="20"/>
          <w:szCs w:val="20"/>
          <w:color w:val="auto"/>
        </w:rPr>
      </w:pPr>
    </w:p>
    <w:p>
      <w:pPr>
        <w:ind w:firstLine="454"/>
        <w:spacing w:after="0" w:line="297" w:lineRule="auto"/>
        <w:rPr>
          <w:sz w:val="20"/>
          <w:szCs w:val="20"/>
          <w:color w:val="auto"/>
        </w:rPr>
      </w:pPr>
      <w:r>
        <w:rPr>
          <w:rFonts w:ascii="Arial" w:cs="Arial" w:eastAsia="Arial" w:hAnsi="Arial"/>
          <w:sz w:val="16"/>
          <w:szCs w:val="16"/>
          <w:i w:val="1"/>
          <w:iCs w:val="1"/>
          <w:color w:val="auto"/>
        </w:rPr>
        <w:t xml:space="preserve">Contract Assets and Trade Receivables. </w:t>
      </w:r>
      <w:r>
        <w:rPr>
          <w:rFonts w:ascii="Arial" w:cs="Arial" w:eastAsia="Arial" w:hAnsi="Arial"/>
          <w:sz w:val="16"/>
          <w:szCs w:val="16"/>
          <w:color w:val="auto"/>
        </w:rPr>
        <w:t>As of September 30, 2019 and December 31, 2018, there were no contract assets or liabilities as all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The Company did not incur any impairment losses on any receivables as all amounts owed were paid or current as of September 30,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Right-to-Use Assets and Related Liabilities</w:t>
      </w:r>
    </w:p>
    <w:p>
      <w:pPr>
        <w:spacing w:after="0" w:line="229" w:lineRule="exact"/>
        <w:rPr>
          <w:sz w:val="20"/>
          <w:szCs w:val="20"/>
          <w:color w:val="auto"/>
        </w:rPr>
      </w:pPr>
    </w:p>
    <w:p>
      <w:pPr>
        <w:jc w:val="both"/>
        <w:ind w:right="200" w:firstLine="454"/>
        <w:spacing w:after="0" w:line="257" w:lineRule="auto"/>
        <w:rPr>
          <w:sz w:val="20"/>
          <w:szCs w:val="20"/>
          <w:color w:val="auto"/>
        </w:rPr>
      </w:pPr>
      <w:r>
        <w:rPr>
          <w:rFonts w:ascii="Arial" w:cs="Arial" w:eastAsia="Arial" w:hAnsi="Arial"/>
          <w:sz w:val="18"/>
          <w:szCs w:val="18"/>
          <w:color w:val="auto"/>
        </w:rPr>
        <w:t xml:space="preserve">The Company enters into various arrangements which constitute a lease as defined by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right-to-use assets, which represent the Company’s right to use an underlying asset for the term of the contract; and (b) a corresponding lease liability which represents the Company’s obligation to make the lease payments arising from the contract, measured on a discounted basis.</w:t>
      </w:r>
    </w:p>
    <w:p>
      <w:pPr>
        <w:spacing w:after="0" w:line="188" w:lineRule="exact"/>
        <w:rPr>
          <w:sz w:val="20"/>
          <w:szCs w:val="20"/>
          <w:color w:val="auto"/>
        </w:rPr>
      </w:pPr>
    </w:p>
    <w:p>
      <w:pPr>
        <w:ind w:right="720" w:firstLine="454"/>
        <w:spacing w:after="0" w:line="277" w:lineRule="auto"/>
        <w:rPr>
          <w:sz w:val="20"/>
          <w:szCs w:val="20"/>
          <w:color w:val="auto"/>
        </w:rPr>
      </w:pPr>
      <w:r>
        <w:rPr>
          <w:rFonts w:ascii="Arial" w:cs="Arial" w:eastAsia="Arial" w:hAnsi="Arial"/>
          <w:sz w:val="18"/>
          <w:szCs w:val="18"/>
          <w:color w:val="auto"/>
        </w:rPr>
        <w:t>The contracts for the Company are comprised of facility, equipment and transportation leases necessary to conduct the Company’s day-to-day operations for which the Company maintains control of right-to-use assets and incurs the related liabilities.</w:t>
      </w:r>
    </w:p>
    <w:p>
      <w:pPr>
        <w:spacing w:after="0" w:line="170" w:lineRule="exact"/>
        <w:rPr>
          <w:sz w:val="20"/>
          <w:szCs w:val="20"/>
          <w:color w:val="auto"/>
        </w:rPr>
      </w:pPr>
    </w:p>
    <w:p>
      <w:pPr>
        <w:ind w:right="80" w:firstLine="454"/>
        <w:spacing w:after="0" w:line="273" w:lineRule="auto"/>
        <w:rPr>
          <w:sz w:val="20"/>
          <w:szCs w:val="20"/>
          <w:color w:val="auto"/>
        </w:rPr>
      </w:pPr>
      <w:r>
        <w:rPr>
          <w:rFonts w:ascii="Arial" w:cs="Arial" w:eastAsia="Arial" w:hAnsi="Arial"/>
          <w:sz w:val="17"/>
          <w:szCs w:val="17"/>
          <w:color w:val="auto"/>
        </w:rPr>
        <w:t>The Company elected to adopt both the (a) short-term lease exemption for those leases with initial terms of twelve months or less; and (b) the practical expedient to not separate lease components from non-lease components, if applicable. Leases which qualify for the short-term scope exception consist of certain residential rents for executive apartments, certain of the Company’s railcar leases and other equipment leases. There were no leases containing variable lease payments and none of the Company’s leases contained extension or termination options which were necessary in determining the value of the right-to-use asset and related liabilities. The Company assumed a 12.0% discount rate, which is consistent with the stated rate on the Company’s 2020 Notes and represents the best approximation of the rate implicit in the Company’s leases.</w:t>
      </w:r>
    </w:p>
    <w:p>
      <w:pPr>
        <w:spacing w:after="0" w:line="178" w:lineRule="exact"/>
        <w:rPr>
          <w:sz w:val="20"/>
          <w:szCs w:val="20"/>
          <w:color w:val="auto"/>
        </w:rPr>
      </w:pPr>
    </w:p>
    <w:p>
      <w:pPr>
        <w:ind w:right="140" w:firstLine="454"/>
        <w:spacing w:after="0" w:line="302" w:lineRule="auto"/>
        <w:rPr>
          <w:sz w:val="20"/>
          <w:szCs w:val="20"/>
          <w:color w:val="auto"/>
        </w:rPr>
      </w:pPr>
      <w:r>
        <w:rPr>
          <w:rFonts w:ascii="Arial" w:cs="Arial" w:eastAsia="Arial" w:hAnsi="Arial"/>
          <w:sz w:val="16"/>
          <w:szCs w:val="16"/>
          <w:color w:val="auto"/>
        </w:rPr>
        <w:t xml:space="preserve">Upon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was effective January 1, 2019, the Company recognized a total of $1.2 million of right-to-use assets and related lease liabilities. Within the unaudited consolidated balance sheet at September 30, 2019, (i) $0.4 million of right-to-use assets with a remaining term exceeding twelve months are included in </w:t>
      </w:r>
      <w:r>
        <w:rPr>
          <w:rFonts w:ascii="Arial" w:cs="Arial" w:eastAsia="Arial" w:hAnsi="Arial"/>
          <w:sz w:val="16"/>
          <w:szCs w:val="16"/>
          <w:i w:val="1"/>
          <w:iCs w:val="1"/>
          <w:color w:val="auto"/>
        </w:rPr>
        <w:t>"Deposits and other assets"</w:t>
      </w:r>
      <w:r>
        <w:rPr>
          <w:rFonts w:ascii="Arial" w:cs="Arial" w:eastAsia="Arial" w:hAnsi="Arial"/>
          <w:sz w:val="16"/>
          <w:szCs w:val="16"/>
          <w:color w:val="auto"/>
        </w:rPr>
        <w:t xml:space="preserve">, and for the related lease liabilities, (ii) $0.3 million are included in </w:t>
      </w:r>
      <w:r>
        <w:rPr>
          <w:rFonts w:ascii="Arial" w:cs="Arial" w:eastAsia="Arial" w:hAnsi="Arial"/>
          <w:sz w:val="16"/>
          <w:szCs w:val="16"/>
          <w:i w:val="1"/>
          <w:iCs w:val="1"/>
          <w:color w:val="auto"/>
        </w:rPr>
        <w:t>"Accounts payable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accrued liabilities" </w:t>
      </w:r>
      <w:r>
        <w:rPr>
          <w:rFonts w:ascii="Arial" w:cs="Arial" w:eastAsia="Arial" w:hAnsi="Arial"/>
          <w:sz w:val="16"/>
          <w:szCs w:val="16"/>
          <w:color w:val="auto"/>
        </w:rPr>
        <w:t>for the current portion, and (iii) $0.2 million are included in</w:t>
      </w:r>
      <w:r>
        <w:rPr>
          <w:rFonts w:ascii="Arial" w:cs="Arial" w:eastAsia="Arial" w:hAnsi="Arial"/>
          <w:sz w:val="16"/>
          <w:szCs w:val="16"/>
          <w:i w:val="1"/>
          <w:iCs w:val="1"/>
          <w:color w:val="auto"/>
        </w:rPr>
        <w:t xml:space="preserve"> "Other long-term liabilities" </w:t>
      </w:r>
      <w:r>
        <w:rPr>
          <w:rFonts w:ascii="Arial" w:cs="Arial" w:eastAsia="Arial" w:hAnsi="Arial"/>
          <w:sz w:val="16"/>
          <w:szCs w:val="16"/>
          <w:color w:val="auto"/>
        </w:rPr>
        <w:t>for the non-current portion.</w:t>
      </w:r>
    </w:p>
    <w:p>
      <w:pPr>
        <w:spacing w:after="0" w:line="154" w:lineRule="exact"/>
        <w:rPr>
          <w:sz w:val="20"/>
          <w:szCs w:val="20"/>
          <w:color w:val="auto"/>
        </w:rPr>
      </w:pPr>
    </w:p>
    <w:p>
      <w:pPr>
        <w:jc w:val="both"/>
        <w:ind w:right="60" w:firstLine="454"/>
        <w:spacing w:after="0" w:line="312" w:lineRule="auto"/>
        <w:rPr>
          <w:sz w:val="20"/>
          <w:szCs w:val="20"/>
          <w:color w:val="auto"/>
        </w:rPr>
      </w:pPr>
      <w:r>
        <w:rPr>
          <w:rFonts w:ascii="Arial" w:cs="Arial" w:eastAsia="Arial" w:hAnsi="Arial"/>
          <w:sz w:val="16"/>
          <w:szCs w:val="16"/>
          <w:color w:val="auto"/>
        </w:rPr>
        <w:t>There are two contractual agreements related to equipment improvements at the Luverne Facility that were not recognized as of September 30, 2019 as a result of operating contingencies which must be satisfied before the Company is obligated under the terms of the contract. The total estimated fair value of unrecognized right-to-use assets and related lease liabilities relating to these contracts was approximately $3.0 million as of September 30, 2019.</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 costs by lease category and (b) other quantitative information relating to the Company’s leases: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lease cost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Short-Term lease cost</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lease cost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left="-1"/>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1"/>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1"/>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ind w:left="-1"/>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5715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ind w:left="1202" w:hanging="1202"/>
        <w:spacing w:after="0"/>
        <w:tabs>
          <w:tab w:leader="none" w:pos="1202" w:val="left"/>
        </w:tabs>
        <w:numPr>
          <w:ilvl w:val="0"/>
          <w:numId w:val="3"/>
        </w:numPr>
        <w:rPr>
          <w:rFonts w:ascii="Arial" w:cs="Arial" w:eastAsia="Arial" w:hAnsi="Arial"/>
          <w:sz w:val="15"/>
          <w:szCs w:val="15"/>
          <w:color w:val="auto"/>
        </w:rPr>
      </w:pPr>
      <w:r>
        <w:rPr>
          <w:rFonts w:ascii="Arial" w:cs="Arial" w:eastAsia="Arial" w:hAnsi="Arial"/>
          <w:sz w:val="15"/>
          <w:szCs w:val="15"/>
          <w:color w:val="auto"/>
        </w:rPr>
        <w:t>435</w:t>
      </w:r>
    </w:p>
    <w:p>
      <w:pPr>
        <w:spacing w:after="0" w:line="57" w:lineRule="exact"/>
        <w:rPr>
          <w:rFonts w:ascii="Arial" w:cs="Arial" w:eastAsia="Arial" w:hAnsi="Arial"/>
          <w:sz w:val="15"/>
          <w:szCs w:val="15"/>
          <w:color w:val="auto"/>
        </w:rPr>
      </w:pPr>
    </w:p>
    <w:p>
      <w:pPr>
        <w:ind w:left="1282"/>
        <w:spacing w:after="0"/>
        <w:rPr>
          <w:rFonts w:ascii="Arial" w:cs="Arial" w:eastAsia="Arial" w:hAnsi="Arial"/>
          <w:sz w:val="15"/>
          <w:szCs w:val="15"/>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-116205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ind w:left="1202" w:hanging="1202"/>
        <w:spacing w:after="0"/>
        <w:tabs>
          <w:tab w:leader="none" w:pos="1202" w:val="left"/>
        </w:tabs>
        <w:numPr>
          <w:ilvl w:val="0"/>
          <w:numId w:val="4"/>
        </w:numPr>
        <w:rPr>
          <w:rFonts w:ascii="Arial" w:cs="Arial" w:eastAsia="Arial" w:hAnsi="Arial"/>
          <w:sz w:val="15"/>
          <w:szCs w:val="15"/>
          <w:color w:val="auto"/>
        </w:rPr>
      </w:pPr>
      <w:r>
        <w:rPr>
          <w:rFonts w:ascii="Arial" w:cs="Arial" w:eastAsia="Arial" w:hAnsi="Arial"/>
          <w:sz w:val="15"/>
          <w:szCs w:val="15"/>
          <w:color w:val="auto"/>
        </w:rPr>
        <w:t>453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4" w:lineRule="exact"/>
        <w:rPr>
          <w:sz w:val="20"/>
          <w:szCs w:val="20"/>
          <w:color w:val="auto"/>
        </w:rPr>
      </w:pPr>
    </w:p>
    <w:p>
      <w:pPr>
        <w:ind w:left="1080" w:hanging="1074"/>
        <w:spacing w:after="0"/>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1,166</w:t>
      </w:r>
    </w:p>
    <w:p>
      <w:pPr>
        <w:spacing w:after="0" w:line="57" w:lineRule="exact"/>
        <w:rPr>
          <w:rFonts w:ascii="Arial" w:cs="Arial" w:eastAsia="Arial" w:hAnsi="Arial"/>
          <w:sz w:val="15"/>
          <w:szCs w:val="15"/>
          <w:color w:val="auto"/>
        </w:rPr>
      </w:pPr>
    </w:p>
    <w:p>
      <w:pPr>
        <w:ind w:left="1300"/>
        <w:spacing w:after="0"/>
        <w:rPr>
          <w:rFonts w:ascii="Arial" w:cs="Arial" w:eastAsia="Arial" w:hAnsi="Arial"/>
          <w:sz w:val="15"/>
          <w:szCs w:val="15"/>
          <w:color w:val="auto"/>
        </w:rPr>
      </w:pPr>
      <w:r>
        <w:rPr>
          <w:rFonts w:ascii="Arial" w:cs="Arial" w:eastAsia="Arial" w:hAnsi="Arial"/>
          <w:sz w:val="16"/>
          <w:szCs w:val="16"/>
          <w:color w:val="auto"/>
        </w:rPr>
        <w:t>50</w:t>
      </w:r>
    </w:p>
    <w:p>
      <w:pPr>
        <w:spacing w:after="0" w:line="32" w:lineRule="exact"/>
        <w:rPr>
          <w:sz w:val="20"/>
          <w:szCs w:val="20"/>
          <w:color w:val="auto"/>
        </w:rPr>
      </w:pPr>
    </w:p>
    <w:p>
      <w:pPr>
        <w:ind w:left="1080" w:hanging="1074"/>
        <w:spacing w:after="0"/>
        <w:tabs>
          <w:tab w:leader="none" w:pos="1080" w:val="left"/>
        </w:tabs>
        <w:numPr>
          <w:ilvl w:val="0"/>
          <w:numId w:val="6"/>
        </w:numPr>
        <w:rPr>
          <w:rFonts w:ascii="Arial" w:cs="Arial" w:eastAsia="Arial" w:hAnsi="Arial"/>
          <w:sz w:val="15"/>
          <w:szCs w:val="15"/>
          <w:color w:val="auto"/>
        </w:rPr>
      </w:pPr>
      <w:r>
        <w:rPr>
          <w:rFonts w:ascii="Arial" w:cs="Arial" w:eastAsia="Arial" w:hAnsi="Arial"/>
          <w:sz w:val="15"/>
          <w:szCs w:val="15"/>
          <w:color w:val="auto"/>
        </w:rPr>
        <w:t>1,216</w:t>
      </w:r>
    </w:p>
    <w:p>
      <w:pPr>
        <w:spacing w:after="0" w:line="58" w:lineRule="exact"/>
        <w:rPr>
          <w:sz w:val="20"/>
          <w:szCs w:val="20"/>
          <w:color w:val="auto"/>
        </w:rPr>
      </w:pPr>
    </w:p>
    <w:p>
      <w:pPr>
        <w:sectPr>
          <w:pgSz w:w="11900" w:h="16838" w:orient="portrait"/>
          <w:cols w:equalWidth="0" w:num="3">
            <w:col w:w="7378" w:space="720"/>
            <w:col w:w="1462" w:space="220"/>
            <w:col w:w="164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00" w:type="dxa"/>
            <w:vAlign w:val="bottom"/>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the measurement of lease liabilities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100" w:type="dxa"/>
            <w:vAlign w:val="bottom"/>
          </w:tcPr>
          <w:p>
            <w:pPr>
              <w:ind w:left="660"/>
              <w:spacing w:after="0"/>
              <w:rPr>
                <w:sz w:val="20"/>
                <w:szCs w:val="20"/>
                <w:color w:val="auto"/>
              </w:rPr>
            </w:pPr>
            <w:r>
              <w:rPr>
                <w:rFonts w:ascii="Arial" w:cs="Arial" w:eastAsia="Arial" w:hAnsi="Arial"/>
                <w:sz w:val="18"/>
                <w:szCs w:val="18"/>
                <w:color w:val="auto"/>
              </w:rPr>
              <w:t>Operating cash flows from operating leases</w:t>
            </w:r>
          </w:p>
        </w:tc>
        <w:tc>
          <w:tcPr>
            <w:tcW w:w="22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r>
      <w:tr>
        <w:trPr>
          <w:trHeight w:val="216"/>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remaining lease term, operating leases (months)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Weighted-average discount rate - operating leases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20" w:type="dxa"/>
            <w:vAlign w:val="bottom"/>
          </w:tcPr>
          <w:p>
            <w:pPr>
              <w:ind w:left="460"/>
              <w:spacing w:after="0"/>
              <w:rPr>
                <w:sz w:val="20"/>
                <w:szCs w:val="20"/>
                <w:color w:val="auto"/>
              </w:rPr>
            </w:pPr>
            <w:r>
              <w:rPr>
                <w:rFonts w:ascii="Arial" w:cs="Arial" w:eastAsia="Arial" w:hAnsi="Arial"/>
                <w:sz w:val="18"/>
                <w:szCs w:val="18"/>
                <w:color w:val="auto"/>
                <w:w w:val="97"/>
              </w:rPr>
              <w:t>The following table sets forth the components of the Company’s inventory balances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Corn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Enzymes and other inputs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Ethanol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Isobutanol</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Jet Fuels, Isooctane and Isooctene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Distiller's grains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 - Agri-Energy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Work in process - Gevo</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Spare parts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 inventories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3,166</w:t>
            </w: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Work in process inventory includes unfinished jet fuel, isooctane and isooctene inventory.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642"/>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Luverne retrofit asset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70,820</w:t>
            </w:r>
          </w:p>
        </w:tc>
        <w:tc>
          <w:tcPr>
            <w:tcW w:w="14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70,842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Plant machinery and equipment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16,285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Site improvements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w:t>
            </w:r>
          </w:p>
        </w:tc>
      </w:tr>
      <w:tr>
        <w:trPr>
          <w:trHeight w:val="648"/>
        </w:trPr>
        <w:tc>
          <w:tcPr>
            <w:tcW w:w="6400" w:type="dxa"/>
            <w:vAlign w:val="bottom"/>
          </w:tcPr>
          <w:p>
            <w:pPr>
              <w:spacing w:after="0"/>
              <w:rPr>
                <w:sz w:val="20"/>
                <w:szCs w:val="20"/>
                <w:color w:val="auto"/>
              </w:rPr>
            </w:pPr>
            <w:r>
              <w:rPr>
                <w:rFonts w:ascii="Arial" w:cs="Arial" w:eastAsia="Arial" w:hAnsi="Arial"/>
                <w:sz w:val="18"/>
                <w:szCs w:val="18"/>
                <w:color w:val="auto"/>
              </w:rPr>
              <w:t>Lab equipment, furniture and fixtures and vehicles</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r>
      <w:tr>
        <w:trPr>
          <w:trHeight w:val="64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Demonstration plant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r>
      <w:tr>
        <w:trPr>
          <w:trHeight w:val="648"/>
        </w:trPr>
        <w:tc>
          <w:tcPr>
            <w:tcW w:w="6400" w:type="dxa"/>
            <w:vAlign w:val="bottom"/>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1500" w:type="dxa"/>
            <w:vAlign w:val="bottom"/>
          </w:tcPr>
          <w:p>
            <w:pPr>
              <w:jc w:val="center"/>
              <w:spacing w:after="0"/>
              <w:rPr>
                <w:sz w:val="20"/>
                <w:szCs w:val="20"/>
                <w:color w:val="auto"/>
              </w:rPr>
            </w:pPr>
            <w:r>
              <w:rPr>
                <w:rFonts w:ascii="Arial" w:cs="Arial" w:eastAsia="Arial" w:hAnsi="Arial"/>
                <w:sz w:val="18"/>
                <w:szCs w:val="18"/>
                <w:color w:val="auto"/>
              </w:rPr>
              <w:t>2  to  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Computer, office equipment and software</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r>
      <w:tr>
        <w:trPr>
          <w:trHeight w:val="648"/>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5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114,764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(47,728)</w:t>
            </w:r>
          </w:p>
        </w:tc>
      </w:tr>
      <w:tr>
        <w:trPr>
          <w:trHeight w:val="20"/>
        </w:trPr>
        <w:tc>
          <w:tcPr>
            <w:tcW w:w="64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67,148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67,036</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54"/>
        <w:spacing w:after="0" w:line="277" w:lineRule="auto"/>
        <w:rPr>
          <w:sz w:val="20"/>
          <w:szCs w:val="20"/>
          <w:color w:val="auto"/>
        </w:rPr>
      </w:pPr>
      <w:r>
        <w:rPr>
          <w:rFonts w:ascii="Arial" w:cs="Arial" w:eastAsia="Arial" w:hAnsi="Arial"/>
          <w:sz w:val="18"/>
          <w:szCs w:val="18"/>
          <w:color w:val="auto"/>
        </w:rPr>
        <w:t>Included in cost of goods sold is depreciation of $1.6 million during the three months ended September 30, 2019 and 2018; and $4.7 million during the nine months ended September 30, 2019 and 2018.</w:t>
      </w:r>
    </w:p>
    <w:p>
      <w:pPr>
        <w:spacing w:after="0" w:line="170" w:lineRule="exact"/>
        <w:rPr>
          <w:sz w:val="20"/>
          <w:szCs w:val="20"/>
          <w:color w:val="auto"/>
        </w:rPr>
      </w:pPr>
    </w:p>
    <w:p>
      <w:pPr>
        <w:ind w:right="700" w:firstLine="454"/>
        <w:spacing w:after="0" w:line="308" w:lineRule="auto"/>
        <w:rPr>
          <w:sz w:val="20"/>
          <w:szCs w:val="20"/>
          <w:color w:val="auto"/>
        </w:rPr>
      </w:pPr>
      <w:r>
        <w:rPr>
          <w:rFonts w:ascii="Arial" w:cs="Arial" w:eastAsia="Arial" w:hAnsi="Arial"/>
          <w:sz w:val="17"/>
          <w:szCs w:val="17"/>
          <w:color w:val="auto"/>
        </w:rPr>
        <w:t>Included in operating expenses is depreciation of $0.03 million and $0.1 million during the three months ended September 30, 2019 and 2018, respectively; and $0.1 million and $0.2 million during the nine months ended September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 and Derivative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 Embedded Derivative</w:t>
      </w:r>
    </w:p>
    <w:p>
      <w:pPr>
        <w:spacing w:after="0" w:line="225" w:lineRule="exact"/>
        <w:rPr>
          <w:sz w:val="20"/>
          <w:szCs w:val="20"/>
          <w:color w:val="auto"/>
        </w:rPr>
      </w:pPr>
    </w:p>
    <w:p>
      <w:pPr>
        <w:ind w:right="40" w:firstLine="454"/>
        <w:spacing w:after="0" w:line="255" w:lineRule="auto"/>
        <w:rPr>
          <w:sz w:val="20"/>
          <w:szCs w:val="20"/>
          <w:color w:val="auto"/>
        </w:rPr>
      </w:pPr>
      <w:r>
        <w:rPr>
          <w:rFonts w:ascii="Arial" w:cs="Arial" w:eastAsia="Arial" w:hAnsi="Arial"/>
          <w:sz w:val="18"/>
          <w:szCs w:val="18"/>
          <w:color w:val="auto"/>
        </w:rPr>
        <w:t>In June 2017, the Company issued 12% convertible senior secured notes due 2020 (the “2020 Notes”) in exchange for its 12.0% convertible senior secured notes due 2017 (the “2017 Notes”). The 2020 Notes contain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 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89" w:lineRule="exact"/>
        <w:rPr>
          <w:sz w:val="20"/>
          <w:szCs w:val="20"/>
          <w:color w:val="auto"/>
        </w:rPr>
      </w:pPr>
    </w:p>
    <w:p>
      <w:pPr>
        <w:ind w:right="60" w:firstLine="454"/>
        <w:spacing w:after="0" w:line="257" w:lineRule="auto"/>
        <w:rPr>
          <w:sz w:val="20"/>
          <w:szCs w:val="20"/>
          <w:color w:val="auto"/>
        </w:rPr>
      </w:pPr>
      <w:r>
        <w:rPr>
          <w:rFonts w:ascii="Arial" w:cs="Arial" w:eastAsia="Arial" w:hAnsi="Arial"/>
          <w:sz w:val="18"/>
          <w:szCs w:val="18"/>
          <w:color w:val="auto"/>
        </w:rPr>
        <w:t>Embedded derivatives are separated from the host contract and the 2020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meet these criteria and, as such, must be valued separate and apart from the 2020 Notes as one embedded derivative and recorded at fair value each reporting period.</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495"/>
        <w:spacing w:after="0" w:line="293" w:lineRule="auto"/>
        <w:rPr>
          <w:sz w:val="20"/>
          <w:szCs w:val="20"/>
          <w:color w:val="auto"/>
        </w:rPr>
      </w:pPr>
      <w:r>
        <w:rPr>
          <w:rFonts w:ascii="Arial" w:cs="Arial" w:eastAsia="Arial" w:hAnsi="Arial"/>
          <w:sz w:val="16"/>
          <w:szCs w:val="16"/>
          <w:color w:val="auto"/>
        </w:rPr>
        <w:t>The Company used a binomial lattice model in order to estimate the fair value of the embedded derivative in the 2020 Notes. A binomial lattice model generates two probable outcomes, whether up or down, arising at each point in time, starting from the date of valuation until the maturity date. A lattice was initially used to determine if the 2020 Notes would be converted by the holder, called by the issuer, or held at each decision point. Within the lattice model, the following assumptions are made: (i) the 2020 Notes will be converted by the holder if the conversion value plus the holder’s Make-Whole Payment is greater than the holding value; or (ii) the 2020 Notes will be called by the issuer if (a) the stock price exceeds 150% of the then in-effect conversion price over a ten-business day period and (b) if the holding value is greater than the conversion value plus the Make-Whole Payment at the time.</w:t>
      </w:r>
    </w:p>
    <w:p>
      <w:pPr>
        <w:spacing w:after="0" w:line="165" w:lineRule="exact"/>
        <w:rPr>
          <w:sz w:val="20"/>
          <w:szCs w:val="20"/>
          <w:color w:val="auto"/>
        </w:rPr>
      </w:pPr>
    </w:p>
    <w:p>
      <w:pPr>
        <w:ind w:right="100" w:firstLine="499"/>
        <w:spacing w:after="0" w:line="273" w:lineRule="auto"/>
        <w:rPr>
          <w:sz w:val="20"/>
          <w:szCs w:val="20"/>
          <w:color w:val="auto"/>
        </w:rPr>
      </w:pPr>
      <w:r>
        <w:rPr>
          <w:rFonts w:ascii="Arial" w:cs="Arial" w:eastAsia="Arial" w:hAnsi="Arial"/>
          <w:sz w:val="17"/>
          <w:szCs w:val="17"/>
          <w:color w:val="auto"/>
        </w:rPr>
        <w:t>Using this lattice model, the Company valued the embedded derivative using a “with-and-without method”, where the value of the 2020 Notes including the embedded derivative is defined as the “with” and the value of the 2020 Notes excluding the embedded derivative is defined as the “without”. This method estimates the value of the embedded derivative by comparing the difference in the values between the 2020 Notes with the embedded derivative and the value of the 2020 Notes without the embedded derivative. The lattice model requires the following inputs: (i) price of Gevo common stock; (ii) Conversion Rate (as defined in the 2020 Notes Indenture); (iii) Conversion Price (as defined in the 2020 Notes Indenture); (iv) maturity date; (v) risk-free interest rate; (vi) estimated stock volatility; and (vii) estimated credit spread for the Company.</w:t>
      </w:r>
    </w:p>
    <w:p>
      <w:pPr>
        <w:spacing w:after="0" w:line="178" w:lineRule="exact"/>
        <w:rPr>
          <w:sz w:val="20"/>
          <w:szCs w:val="20"/>
          <w:color w:val="auto"/>
        </w:rPr>
      </w:pPr>
    </w:p>
    <w:p>
      <w:pPr>
        <w:ind w:right="260" w:firstLine="454"/>
        <w:spacing w:after="0" w:line="264" w:lineRule="auto"/>
        <w:rPr>
          <w:sz w:val="20"/>
          <w:szCs w:val="20"/>
          <w:color w:val="auto"/>
        </w:rPr>
      </w:pPr>
      <w:r>
        <w:rPr>
          <w:rFonts w:ascii="Arial" w:cs="Arial" w:eastAsia="Arial" w:hAnsi="Arial"/>
          <w:sz w:val="18"/>
          <w:szCs w:val="18"/>
          <w:color w:val="auto"/>
        </w:rPr>
        <w:t>As of September 30, 2019, the estimated fair value of the embedded derivatives was $0. Any change in the estimated fair value of the embedded derivatives represents an unrealized gain which has been recorded as $0 and $0.4 million gain from the change in fair value of embedded derivatives in the consolidated statements of operations for the three and nine months ended September 30, 2019, respectively.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sets forth the inputs to the lattice model that were used to value the embedded derivatives: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0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Conversion Rate per $1,000</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67.95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67.95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Conversion Price</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Maturity date</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March 15, 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March 15, 2020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Estimated stock volatility</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spread</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jc w:val="both"/>
        <w:ind w:firstLine="454"/>
        <w:spacing w:after="0" w:line="264" w:lineRule="auto"/>
        <w:rPr>
          <w:sz w:val="20"/>
          <w:szCs w:val="20"/>
          <w:color w:val="auto"/>
        </w:rPr>
      </w:pPr>
      <w:r>
        <w:rPr>
          <w:rFonts w:ascii="Arial" w:cs="Arial" w:eastAsia="Arial" w:hAnsi="Arial"/>
          <w:sz w:val="18"/>
          <w:szCs w:val="18"/>
          <w:color w:val="auto"/>
        </w:rPr>
        <w:t>Changes in certain inputs into the lattice model can have a significant impact on changes in the estimated fair value of the embedded featured within the 2020 Notes. For example, the estimated fair value will generally decrease with: (1) a decline in the stock price; (2) decreases in the estimated stock volatility; and (3) a decrease in the estimated credit spread.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pertaining to shares issued upon the exercise of such warrants as of September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Issued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Warrants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upon Warrant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 as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Price as of</w:t>
            </w: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Exercises as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Warrants 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3100" w:type="dxa"/>
            <w:vAlign w:val="bottom"/>
            <w:vMerge w:val="restart"/>
          </w:tcPr>
          <w:p>
            <w:pPr>
              <w:spacing w:after="0"/>
              <w:rPr>
                <w:sz w:val="20"/>
                <w:szCs w:val="20"/>
                <w:color w:val="auto"/>
              </w:rPr>
            </w:pPr>
            <w:r>
              <w:rPr>
                <w:rFonts w:ascii="Arial" w:cs="Arial" w:eastAsia="Arial" w:hAnsi="Arial"/>
                <w:sz w:val="18"/>
                <w:szCs w:val="18"/>
                <w:color w:val="auto"/>
              </w:rPr>
              <w:t>Series A Warrants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Issuance Date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02/03/2015</w:t>
            </w:r>
          </w:p>
        </w:tc>
        <w:tc>
          <w:tcPr>
            <w:tcW w:w="1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02/03/2020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05/19/2015</w:t>
            </w:r>
          </w:p>
        </w:tc>
        <w:tc>
          <w:tcPr>
            <w:tcW w:w="12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05/19/2020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Series D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12/11/2015</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12/11/2020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25,125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25,078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Series F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04/01/2016</w:t>
            </w:r>
          </w:p>
        </w:tc>
        <w:tc>
          <w:tcPr>
            <w:tcW w:w="12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04/01/2021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25,733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Series I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09/13/2016</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09/13/2021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220.00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35,650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35,650</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K Warrants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02/17/2017</w:t>
            </w:r>
          </w:p>
        </w:tc>
        <w:tc>
          <w:tcPr>
            <w:tcW w:w="12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02/17/2022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312,516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308,660</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405,641</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350,652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54,989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agreements governing the above warrants include the following terms:</w:t>
      </w:r>
    </w:p>
    <w:p>
      <w:pPr>
        <w:spacing w:after="0" w:line="225" w:lineRule="exact"/>
        <w:rPr>
          <w:sz w:val="20"/>
          <w:szCs w:val="20"/>
          <w:color w:val="auto"/>
        </w:rPr>
      </w:pPr>
    </w:p>
    <w:p>
      <w:pPr>
        <w:ind w:left="920" w:right="40" w:hanging="250"/>
        <w:spacing w:after="0" w:line="264"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81" w:lineRule="exact"/>
        <w:rPr>
          <w:rFonts w:ascii="Arial" w:cs="Arial" w:eastAsia="Arial" w:hAnsi="Arial"/>
          <w:sz w:val="18"/>
          <w:szCs w:val="18"/>
          <w:color w:val="auto"/>
        </w:rPr>
      </w:pPr>
    </w:p>
    <w:p>
      <w:pPr>
        <w:ind w:left="920" w:right="200" w:hanging="250"/>
        <w:spacing w:after="0" w:line="264"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81" w:lineRule="exact"/>
        <w:rPr>
          <w:rFonts w:ascii="Arial" w:cs="Arial" w:eastAsia="Arial" w:hAnsi="Arial"/>
          <w:sz w:val="18"/>
          <w:szCs w:val="18"/>
          <w:color w:val="auto"/>
        </w:rPr>
      </w:pPr>
    </w:p>
    <w:p>
      <w:pPr>
        <w:ind w:left="900" w:right="100" w:hanging="230"/>
        <w:spacing w:after="0" w:line="28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900" w:right="20" w:hanging="230"/>
        <w:spacing w:after="0" w:line="290"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warrants exercised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9" w:lineRule="exact"/>
        <w:rPr>
          <w:sz w:val="20"/>
          <w:szCs w:val="20"/>
          <w:color w:val="auto"/>
        </w:rPr>
      </w:pPr>
    </w:p>
    <w:p>
      <w:pPr>
        <w:ind w:right="700" w:firstLine="454"/>
        <w:spacing w:after="0" w:line="277"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4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Accrued legal-related fees</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Accrued production fees</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utilities and supplies payable</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Accrued taxes payable</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Current lease obligations</w:t>
            </w:r>
          </w:p>
        </w:tc>
        <w:tc>
          <w:tcPr>
            <w:tcW w:w="3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0"/>
        </w:trPr>
        <w:tc>
          <w:tcPr>
            <w:tcW w:w="4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36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r>
      <w:tr>
        <w:trPr>
          <w:trHeight w:val="629"/>
        </w:trPr>
        <w:tc>
          <w:tcPr>
            <w:tcW w:w="446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jc w:val="right"/>
              <w:ind w:right="2230"/>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pertaining to the 2020 Notes which is included in the Company’s consolidated balance sheets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2020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Notes and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Principal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Notes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Notes</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Debt Issue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2020</w:t>
            </w: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Embedded</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of 2020 Notes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Discount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Notes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Derivative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issue costs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Paid-in-kind interest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2020 Notes</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Balance - September 30, 2019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13,983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13,643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54"/>
        <w:spacing w:after="0" w:line="257" w:lineRule="auto"/>
        <w:rPr>
          <w:sz w:val="20"/>
          <w:szCs w:val="20"/>
          <w:color w:val="auto"/>
        </w:rPr>
      </w:pPr>
      <w:r>
        <w:rPr>
          <w:rFonts w:ascii="Arial" w:cs="Arial" w:eastAsia="Arial" w:hAnsi="Arial"/>
          <w:sz w:val="18"/>
          <w:szCs w:val="18"/>
          <w:color w:val="auto"/>
        </w:rPr>
        <w:t>On April 19, 2017, the Company entered into an Exchange and Purchase Agreement (the “Purchase Agreement”) with WB Gevo, LTD, (the “Holder”), the holder of the 2017 Notes, and Whitebox Advisors LLC, in its capacity as representative of the Holder (“Whitebox”). Pursuant to the terms of the Purchase Agreement, the Holder agreed to exchange all of the outstanding principal amount of the 2017 Notes for an equal principal amount of the 2020 Notes, plus an amount in cash equal to the accrued and unpaid interest (other than interest paid in kind) on the 2017 Notes. On June 20, 2017, the Company cancelled the 2017 Notes.</w:t>
      </w:r>
    </w:p>
    <w:p>
      <w:pPr>
        <w:spacing w:after="0" w:line="188" w:lineRule="exact"/>
        <w:rPr>
          <w:sz w:val="20"/>
          <w:szCs w:val="20"/>
          <w:color w:val="auto"/>
        </w:rPr>
      </w:pPr>
    </w:p>
    <w:p>
      <w:pPr>
        <w:ind w:right="220" w:firstLine="454"/>
        <w:spacing w:after="0" w:line="290" w:lineRule="auto"/>
        <w:rPr>
          <w:sz w:val="20"/>
          <w:szCs w:val="20"/>
          <w:color w:val="auto"/>
        </w:rPr>
      </w:pPr>
      <w:r>
        <w:rPr>
          <w:rFonts w:ascii="Arial" w:cs="Arial" w:eastAsia="Arial" w:hAnsi="Arial"/>
          <w:sz w:val="16"/>
          <w:szCs w:val="16"/>
          <w:color w:val="auto"/>
        </w:rPr>
        <w:t>The 2020 Notes will mature on March 15, 2020 and are secured by a first lien on substantially all of the Company’s assets. The 2020 Notes bear interest at 12% per annum (with 2% potentially payable as PIK Interest (as defined and described below) at the Company’s option), payable on March 31, June 30, September 30 and December 31 of each year. Under certain circumstances, the Company has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 In the event the Company pays any portion of the interest due on the 2020 Notes as PIK Interest, the maximum aggregate principal amount of 2020 Notes that could be convertible into shares of the Company’s common stock will be increased. Additional shares of the Company’s common stock may also become issuable pursuant to the 2020 Notes in the event the Company is required to make certain make-whole payments as provided in the 2020 Notes Indenture.</w:t>
      </w:r>
    </w:p>
    <w:p>
      <w:pPr>
        <w:spacing w:after="0" w:line="166" w:lineRule="exact"/>
        <w:rPr>
          <w:sz w:val="20"/>
          <w:szCs w:val="20"/>
          <w:color w:val="auto"/>
        </w:rPr>
      </w:pPr>
    </w:p>
    <w:p>
      <w:pPr>
        <w:ind w:right="40" w:firstLine="454"/>
        <w:spacing w:after="0" w:line="342" w:lineRule="auto"/>
        <w:rPr>
          <w:sz w:val="20"/>
          <w:szCs w:val="20"/>
          <w:color w:val="auto"/>
        </w:rPr>
      </w:pPr>
      <w:r>
        <w:rPr>
          <w:rFonts w:ascii="Arial" w:cs="Arial" w:eastAsia="Arial" w:hAnsi="Arial"/>
          <w:sz w:val="16"/>
          <w:szCs w:val="16"/>
          <w:color w:val="auto"/>
        </w:rPr>
        <w:t>The 2020 Notes are convertible into shares of the Company’s common stock, subject to certain terms and conditions. The initial conversion price of the 2020 Notes is $14.72 per share of common stock, or 0.0679 shares of common stock per $1 principal amount of 2020 Notes (the “Conversion Price”).</w:t>
      </w:r>
    </w:p>
    <w:p>
      <w:pPr>
        <w:spacing w:after="0" w:line="124" w:lineRule="exact"/>
        <w:rPr>
          <w:sz w:val="20"/>
          <w:szCs w:val="20"/>
          <w:color w:val="auto"/>
        </w:rPr>
      </w:pPr>
    </w:p>
    <w:p>
      <w:pPr>
        <w:ind w:right="20" w:firstLine="454"/>
        <w:spacing w:after="0" w:line="293" w:lineRule="auto"/>
        <w:rPr>
          <w:sz w:val="20"/>
          <w:szCs w:val="20"/>
          <w:color w:val="auto"/>
        </w:rPr>
      </w:pPr>
      <w:r>
        <w:rPr>
          <w:rFonts w:ascii="Arial" w:cs="Arial" w:eastAsia="Arial" w:hAnsi="Arial"/>
          <w:sz w:val="16"/>
          <w:szCs w:val="16"/>
          <w:color w:val="auto"/>
        </w:rPr>
        <w:t>Each Holder has agreed not to convert its 2020 Notes into shares of the Company's common stock to the extent that, after giving effect to such conversion, the number of shares of common stock beneficially owned by such Holder and its affiliates would exceed 4.99% of the Company's common stock outstanding at the time of such conversion (the “4.99% Ownership Limitation”); provided that a Holder may, at its option and upon sixty-one (61) days’ prior notice to the Company, increase such threshold to 9.99% (the “9.99% Ownership Limitation”). If a conversion of 2020 Notes by Whitebox would exceed the 4.99% Ownership Limitation or the 9.99% Ownership Limitation, as applicable, the Purchase Agreement contains a provision granting the holder a fully funded prepaid warrant for such common stock with a term of nine months, subject to a six month extension, which it can draw down from time to time.</w:t>
      </w:r>
    </w:p>
    <w:p>
      <w:pPr>
        <w:spacing w:after="0" w:line="165" w:lineRule="exact"/>
        <w:rPr>
          <w:sz w:val="20"/>
          <w:szCs w:val="20"/>
          <w:color w:val="auto"/>
        </w:rPr>
      </w:pPr>
    </w:p>
    <w:p>
      <w:pPr>
        <w:ind w:right="320" w:firstLine="454"/>
        <w:spacing w:after="0" w:line="259" w:lineRule="auto"/>
        <w:rPr>
          <w:sz w:val="20"/>
          <w:szCs w:val="20"/>
          <w:color w:val="auto"/>
        </w:rPr>
      </w:pPr>
      <w:r>
        <w:rPr>
          <w:rFonts w:ascii="Arial" w:cs="Arial" w:eastAsia="Arial" w:hAnsi="Arial"/>
          <w:sz w:val="18"/>
          <w:szCs w:val="18"/>
          <w:color w:val="auto"/>
        </w:rPr>
        <w:t>The 2020 Notes do not contain any anti-dilution adjustments for future equity issuances that are below the Conversion Price, and adjustments to the Conversion Price will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7" w:lineRule="exact"/>
        <w:rPr>
          <w:sz w:val="20"/>
          <w:szCs w:val="20"/>
          <w:color w:val="auto"/>
        </w:rPr>
      </w:pPr>
    </w:p>
    <w:p>
      <w:pPr>
        <w:ind w:right="380" w:firstLine="454"/>
        <w:spacing w:after="0" w:line="277" w:lineRule="auto"/>
        <w:rPr>
          <w:sz w:val="20"/>
          <w:szCs w:val="20"/>
          <w:color w:val="auto"/>
        </w:rPr>
      </w:pPr>
      <w:r>
        <w:rPr>
          <w:rFonts w:ascii="Arial" w:cs="Arial" w:eastAsia="Arial" w:hAnsi="Arial"/>
          <w:sz w:val="18"/>
          <w:szCs w:val="18"/>
          <w:color w:val="auto"/>
        </w:rPr>
        <w:t>Under certain circumstances, the Company may file one or more registration statements on Form S-3 or amend filings in order to register shares of common stock for sale or resale, as necessary, in connection with the 2020 Notes.</w:t>
      </w:r>
    </w:p>
    <w:p>
      <w:pPr>
        <w:sectPr>
          <w:pgSz w:w="11900" w:h="16838" w:orient="portrait"/>
          <w:cols w:equalWidth="0" w:num="1">
            <w:col w:w="11420"/>
          </w:cols>
          <w:pgMar w:left="240" w:top="118"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22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i w:val="1"/>
          <w:iCs w:val="1"/>
          <w:color w:val="auto"/>
        </w:rPr>
        <w:t>2010 Stock Incentive Plan</w:t>
      </w:r>
      <w:r>
        <w:rPr>
          <w:rFonts w:ascii="Arial" w:cs="Arial" w:eastAsia="Arial" w:hAnsi="Arial"/>
          <w:sz w:val="16"/>
          <w:szCs w:val="16"/>
          <w:color w:val="auto"/>
        </w:rPr>
        <w:t>. In February 2011, the Company’s stockholders approved the Gevo, Inc. 2010 Stock Incentive Plan (as amended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the "2010 Plan"). The 2010 Plan provides for the grant of non-qualified stock options, incentive stock options, stock appreciation rights, restricted stock awards, restricted stock units and other equity awards to employees and directors of the Company. On June 10, 2019, the 2010 Plan was amended and restated, which increased the number of shares of common stock reserved for issuance to 3,266,661 shares. In July 2019, the Company issued 254,500 shares of common stock in relation to restricted stock awards granted on August 9, 2018. In July 2019, the Company also issued 1,283,032 shares of common stock in relation to restricted stock awards granted on June 24, 2019 and 25,581 shares of common stock in relation to restricted stock awards granted on August 8, 2019, in each case vesting over two years, to its employees and directors. In August 2019, the Company withheld 79,790 shares of common stock to settle income taxes related to the vested restricted stock awards for certain employees. At September 30, 2019, an additional 1,804,891 shares were available for issuance upon the exercise of outstanding stock option awards or the grant of stock appreciation rights and restricted stock awards under the 2010 Plan.</w:t>
      </w:r>
    </w:p>
    <w:p>
      <w:pPr>
        <w:spacing w:after="0" w:line="167"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 In February 2011, the Company’s stockholders approved the Employee Stock Purchase Plan (the "ESPP").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periods for the ESPP are from January 1 to June 30 and from July 1 to December 31 of each calendar year. The Company has reserved 190 shares of common stock for issuance under the ESPP, of which 190 shares as of September 30, 2019 are available for future issuance. The purchase price of the common stock under the ESPP is 85% of the lower of the fair market value of a share of common stock on the first or last day of the purchase period. There were no purchases of common stock under the ESPP during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Company records stock-based compensation expense during the requisite service period for share-based payment awards granted to employees and non-employees.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Company’s stock-based compensation expense (reversal)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1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1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employee stock purchase plan awards</w:t>
            </w: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tcPr>
          <w:p>
            <w:pPr>
              <w:spacing w:after="0"/>
              <w:rPr>
                <w:sz w:val="20"/>
                <w:szCs w:val="20"/>
                <w:color w:val="auto"/>
              </w:rPr>
            </w:pPr>
            <w:r>
              <w:rPr>
                <w:rFonts w:ascii="Arial" w:cs="Arial" w:eastAsia="Arial" w:hAnsi="Arial"/>
                <w:sz w:val="18"/>
                <w:szCs w:val="18"/>
                <w:color w:val="auto"/>
              </w:rPr>
              <w:t>Total stock-based compensation</w:t>
            </w:r>
          </w:p>
        </w:tc>
        <w:tc>
          <w:tcPr>
            <w:tcW w:w="80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568</w:t>
            </w:r>
          </w:p>
        </w:tc>
        <w:tc>
          <w:tcPr>
            <w:tcW w:w="1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Determining the Fair Value of Share-Based Payment Awards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fair value for stock options granted. There were no stock options granted during the three and nine months ended September 30, 2019 and 2018.</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 annual forfeiture rate is estimated at the time of grant for all stock-based payment awards, and revised if necessary, in subsequent periods if the actual forfeiture rate differs from the Company's estimate. Forfeitures have been estimated by the Company based on historical and expected forfeiture experience. Estimated forfeiture rates used for the periods presented were from 0% to 5%.</w:t>
      </w:r>
    </w:p>
    <w:p>
      <w:pPr>
        <w:sectPr>
          <w:pgSz w:w="11900" w:h="16838" w:orient="portrait"/>
          <w:cols w:equalWidth="0" w:num="1">
            <w:col w:w="11420"/>
          </w:cols>
          <w:pgMar w:left="240" w:top="118" w:right="239" w:bottom="109"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 option activity during the nine months ended September 30, 2019 was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Canceled or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at September 30, 2019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contractual life (in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Number of</w:t>
      </w:r>
    </w:p>
    <w:p>
      <w:pPr>
        <w:spacing w:after="0" w:line="50"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Options</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934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(749)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934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934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31750</wp:posOffset>
            </wp:positionV>
            <wp:extent cx="934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9440" w:space="720"/>
            <w:col w:w="1260"/>
          </w:cols>
          <w:pgMar w:left="240" w:top="118" w:right="239" w:bottom="109" w:gutter="0" w:footer="0" w:header="0"/>
          <w:type w:val="continuous"/>
        </w:sectPr>
      </w:pPr>
    </w:p>
    <w:p>
      <w:pPr>
        <w:spacing w:after="0" w:line="1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As of September 30, 2019, the Company had no unrecognized share-based compensation related to unvested stock option.</w:t>
      </w:r>
    </w:p>
    <w:p>
      <w:pPr>
        <w:sectPr>
          <w:pgSz w:w="11900" w:h="16838" w:orient="portrait"/>
          <w:cols w:equalWidth="0" w:num="1">
            <w:col w:w="11420"/>
          </w:cols>
          <w:pgMar w:left="240" w:top="118" w:right="239" w:bottom="109"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98425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Restricted Stock</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Company grants service-condition restricted stock awards ("RSAs"). RSA activity during the nine months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2019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5"/>
              </w:rPr>
              <w:t>Weighted -Average</w:t>
            </w: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rPr>
              <w:t>Grant</w:t>
            </w:r>
          </w:p>
        </w:tc>
      </w:tr>
      <w:tr>
        <w:trPr>
          <w:trHeight w:val="234"/>
        </w:trPr>
        <w:tc>
          <w:tcPr>
            <w:tcW w:w="8120" w:type="dxa"/>
            <w:vAlign w:val="bottom"/>
          </w:tcPr>
          <w:p>
            <w:pPr>
              <w:spacing w:after="0"/>
              <w:rPr>
                <w:sz w:val="20"/>
                <w:szCs w:val="20"/>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Date Fair Value</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Unvested RSAs at December 31, 2018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1,308,613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(35,800)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0"/>
        </w:trPr>
        <w:tc>
          <w:tcPr>
            <w:tcW w:w="8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Unvested RSAs at September 30, 2019</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1,308,613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0"/>
        </w:trPr>
        <w:tc>
          <w:tcPr>
            <w:tcW w:w="8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As of September 30, 2019, unrecognized share-based compensation for RSAs was $2.2 million, which is expected to amortize over a remaining average period of 1.74 years. The value of RSAs vested during the nine months ended September 30, 2019 totaled $0.9 million.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right="440" w:firstLine="486"/>
        <w:spacing w:after="0" w:line="312" w:lineRule="auto"/>
        <w:rPr>
          <w:sz w:val="20"/>
          <w:szCs w:val="20"/>
          <w:color w:val="auto"/>
        </w:rPr>
      </w:pPr>
      <w:r>
        <w:rPr>
          <w:rFonts w:ascii="Arial" w:cs="Arial" w:eastAsia="Arial" w:hAnsi="Arial"/>
          <w:sz w:val="16"/>
          <w:szCs w:val="16"/>
          <w:i w:val="1"/>
          <w:iCs w:val="1"/>
          <w:color w:val="auto"/>
        </w:rPr>
        <w:t>Legal Matters</w:t>
      </w:r>
      <w:r>
        <w:rPr>
          <w:rFonts w:ascii="Arial" w:cs="Arial" w:eastAsia="Arial" w:hAnsi="Arial"/>
          <w:sz w:val="16"/>
          <w:szCs w:val="16"/>
          <w:color w:val="auto"/>
        </w:rPr>
        <w:t>. From time to time, the Company has been, and may again become, involved in legal proceedings arising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business. The Company is not presently a party to any litigation that it believes to be material and is not aware of any pending or threatened litigation against the Company that it believes could have a material adverse effect on its business, operating results, financial condition or cash flows.</w:t>
      </w:r>
    </w:p>
    <w:p>
      <w:pPr>
        <w:spacing w:after="0" w:line="14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 Upon adoption of ASU 2016-02, the Company identified three lease agreements that qualify as “operating” based on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commencement date for each lease. These include the lease for the Company’s office and research facility in Englewood, Colorado, with a term expiring in July 2021 a lease of plant equipment with a term expiring in January 2021 used by Agri-Energy at the Luverne Facility and a lease of transportation equipment with a term expiring in June 2020 used by Agri-Energy at the Luverne Facility.</w:t>
      </w:r>
    </w:p>
    <w:p>
      <w:pPr>
        <w:spacing w:after="0" w:line="187"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All other leases qualified for the short-term scope exemption. These consist of corporate apartments in Colorado, which have initial lease terms of less than twelve months, and additional leases of transportation equipment located at both the Luverne Facility and the South Hampton Facility with original lease terms of less than twelve months.</w:t>
      </w:r>
    </w:p>
    <w:p>
      <w:pPr>
        <w:spacing w:after="0" w:line="181" w:lineRule="exact"/>
        <w:rPr>
          <w:sz w:val="20"/>
          <w:szCs w:val="20"/>
          <w:color w:val="auto"/>
        </w:rPr>
      </w:pPr>
    </w:p>
    <w:p>
      <w:pPr>
        <w:ind w:right="80" w:firstLine="454"/>
        <w:spacing w:after="0" w:line="277" w:lineRule="auto"/>
        <w:rPr>
          <w:sz w:val="20"/>
          <w:szCs w:val="20"/>
          <w:color w:val="auto"/>
        </w:rPr>
      </w:pPr>
      <w:r>
        <w:rPr>
          <w:rFonts w:ascii="Arial" w:cs="Arial" w:eastAsia="Arial" w:hAnsi="Arial"/>
          <w:sz w:val="18"/>
          <w:szCs w:val="18"/>
          <w:color w:val="auto"/>
        </w:rPr>
        <w:t>Rent expense for the three months ended September 30, 2019 and 2018 was $0.4 million in both periods, and for the nine months ended September 30, 2019 and 2018 was $1.2 million and $1.3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shows the future minimum payments under non-cancelable short-term and operating leases and at September 30, 2019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Short-Term</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w:t>
            </w:r>
          </w:p>
        </w:tc>
      </w:tr>
      <w:tr>
        <w:trPr>
          <w:trHeight w:val="234"/>
        </w:trPr>
        <w:tc>
          <w:tcPr>
            <w:tcW w:w="47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Leases</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Leases</w:t>
            </w:r>
          </w:p>
        </w:tc>
        <w:tc>
          <w:tcPr>
            <w:tcW w:w="10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2019 (remaining)</w:t>
            </w:r>
          </w:p>
        </w:tc>
        <w:tc>
          <w:tcPr>
            <w:tcW w:w="45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2020</w:t>
            </w: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2022 and thereafter</w:t>
            </w: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408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100" w:firstLine="454"/>
        <w:spacing w:after="0" w:line="342" w:lineRule="auto"/>
        <w:rPr>
          <w:sz w:val="20"/>
          <w:szCs w:val="20"/>
          <w:color w:val="auto"/>
        </w:rPr>
      </w:pPr>
      <w:r>
        <w:rPr>
          <w:rFonts w:ascii="Arial" w:cs="Arial" w:eastAsia="Arial" w:hAnsi="Arial"/>
          <w:sz w:val="16"/>
          <w:szCs w:val="16"/>
          <w:color w:val="auto"/>
        </w:rPr>
        <w:t xml:space="preserve">The Company entered into a five-year software licensing agreement on April 2, 2018. Future contractual payment obligations total approximately $0.3 million as of September 30, 2019. This licensing agreement is accounted for as an intangible asset and is out of the scope of ASU 2016-02, </w:t>
      </w:r>
      <w:r>
        <w:rPr>
          <w:rFonts w:ascii="Arial" w:cs="Arial" w:eastAsia="Arial" w:hAnsi="Arial"/>
          <w:sz w:val="16"/>
          <w:szCs w:val="16"/>
          <w:i w:val="1"/>
          <w:iCs w:val="1"/>
          <w:color w:val="auto"/>
        </w:rPr>
        <w:t>Leases.</w:t>
      </w:r>
    </w:p>
    <w:p>
      <w:pPr>
        <w:spacing w:after="0" w:line="124" w:lineRule="exact"/>
        <w:rPr>
          <w:sz w:val="20"/>
          <w:szCs w:val="20"/>
          <w:color w:val="auto"/>
        </w:rPr>
      </w:pPr>
    </w:p>
    <w:p>
      <w:pPr>
        <w:ind w:right="200" w:firstLine="454"/>
        <w:spacing w:after="0" w:line="342" w:lineRule="auto"/>
        <w:rPr>
          <w:sz w:val="20"/>
          <w:szCs w:val="20"/>
          <w:color w:val="auto"/>
        </w:rPr>
      </w:pPr>
      <w:r>
        <w:rPr>
          <w:rFonts w:ascii="Arial" w:cs="Arial" w:eastAsia="Arial" w:hAnsi="Arial"/>
          <w:sz w:val="16"/>
          <w:szCs w:val="16"/>
          <w:i w:val="1"/>
          <w:iCs w:val="1"/>
          <w:color w:val="auto"/>
        </w:rPr>
        <w:t>Indemnifications</w:t>
      </w:r>
      <w:r>
        <w:rPr>
          <w:rFonts w:ascii="Arial" w:cs="Arial" w:eastAsia="Arial" w:hAnsi="Arial"/>
          <w:sz w:val="16"/>
          <w:szCs w:val="16"/>
          <w:color w:val="auto"/>
        </w:rPr>
        <w:t>. In the ordinary course of its business, the Company makes certain indemnities under which it may be required to make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certain transactions. As of September 30, 2019 and December 31, 2018, the Company did not have any liabilities associated with indemnities.</w:t>
      </w:r>
    </w:p>
    <w:p>
      <w:pPr>
        <w:spacing w:after="0" w:line="124" w:lineRule="exact"/>
        <w:rPr>
          <w:sz w:val="20"/>
          <w:szCs w:val="20"/>
          <w:color w:val="auto"/>
        </w:rPr>
      </w:pPr>
    </w:p>
    <w:p>
      <w:pPr>
        <w:ind w:right="60" w:firstLine="454"/>
        <w:spacing w:after="0" w:line="273" w:lineRule="auto"/>
        <w:rPr>
          <w:sz w:val="20"/>
          <w:szCs w:val="20"/>
          <w:color w:val="auto"/>
        </w:rPr>
      </w:pPr>
      <w:r>
        <w:rPr>
          <w:rFonts w:ascii="Arial" w:cs="Arial" w:eastAsia="Arial" w:hAnsi="Arial"/>
          <w:sz w:val="17"/>
          <w:szCs w:val="17"/>
          <w:color w:val="auto"/>
        </w:rPr>
        <w:t>The Company, as permitted under Delaware law and in accordance with its amended and restated certificate of incorporation and amended and restated bylaws,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78" w:lineRule="exact"/>
        <w:rPr>
          <w:sz w:val="20"/>
          <w:szCs w:val="20"/>
          <w:color w:val="auto"/>
        </w:rPr>
      </w:pPr>
    </w:p>
    <w:p>
      <w:pPr>
        <w:ind w:right="40" w:firstLine="454"/>
        <w:spacing w:after="0" w:line="27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September 30, 2019 or December 31, 2018.</w:t>
      </w:r>
    </w:p>
    <w:p>
      <w:pPr>
        <w:sectPr>
          <w:pgSz w:w="11900" w:h="16838" w:orient="portrait"/>
          <w:cols w:equalWidth="0" w:num="1">
            <w:col w:w="11420"/>
          </w:cols>
          <w:pgMar w:left="240" w:top="118"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right="40" w:firstLine="454"/>
        <w:spacing w:after="0" w:line="257"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5" w:lineRule="exact"/>
        <w:rPr>
          <w:sz w:val="20"/>
          <w:szCs w:val="20"/>
          <w:color w:val="auto"/>
        </w:rPr>
      </w:pPr>
    </w:p>
    <w:p>
      <w:pPr>
        <w:ind w:right="320" w:firstLine="454"/>
        <w:spacing w:after="0" w:line="342"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5" w:lineRule="exact"/>
        <w:rPr>
          <w:sz w:val="20"/>
          <w:szCs w:val="20"/>
          <w:color w:val="auto"/>
        </w:rPr>
      </w:pPr>
    </w:p>
    <w:p>
      <w:pPr>
        <w:ind w:right="580" w:firstLine="454"/>
        <w:spacing w:after="0" w:line="308" w:lineRule="auto"/>
        <w:rPr>
          <w:sz w:val="20"/>
          <w:szCs w:val="20"/>
          <w:color w:val="auto"/>
        </w:rPr>
      </w:pPr>
      <w:r>
        <w:rPr>
          <w:rFonts w:ascii="Arial" w:cs="Arial" w:eastAsia="Arial" w:hAnsi="Arial"/>
          <w:sz w:val="17"/>
          <w:szCs w:val="17"/>
          <w:color w:val="auto"/>
        </w:rPr>
        <w:t>These tables present the carrying value and fair value, by fair value hierarchy, of our financial instruments, excluding cash and cash equivalents, accounts receivable and accounts payable at September 30, 2019 and December 31, 2018, respectively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0"/>
              </w:rPr>
              <w:t>Fair Value Measurements at September 30,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Inputs (Level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warrant liability</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Total Recurring Fair Value Measurements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79"/>
              </w:rPr>
              <w:t>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Non-Recurring Fair Value Measurements</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79"/>
              </w:rPr>
              <w:t>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0"/>
              </w:rPr>
              <w:t>Fair Value Measurements at December 31,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Inputs (Level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embedded derivative liability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Total Recurring Fair Value Measurements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79"/>
              </w:rPr>
              <w:t>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Non-Recurring Fair Value Measurements</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79"/>
              </w:rPr>
              <w:t>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changes to those fair value measurements using Level 3 inputs for the nine months ended September 30,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4"/>
              </w:rPr>
              <w:t>Fair Value Measurements Using Significant</w:t>
            </w:r>
          </w:p>
        </w:tc>
      </w:tr>
      <w:tr>
        <w:trPr>
          <w:trHeight w:val="234"/>
        </w:trPr>
        <w:tc>
          <w:tcPr>
            <w:tcW w:w="7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8"/>
                <w:szCs w:val="18"/>
                <w:b w:val="1"/>
                <w:bCs w:val="1"/>
                <w:color w:val="auto"/>
              </w:rPr>
              <w:t>Unobservable Inputs</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407"/>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Derivative Warrant</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2020 Notes Embedded</w:t>
            </w:r>
          </w:p>
        </w:tc>
      </w:tr>
      <w:tr>
        <w:trPr>
          <w:trHeight w:val="234"/>
        </w:trPr>
        <w:tc>
          <w:tcPr>
            <w:tcW w:w="7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Derivative</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Total (gains) or losses for the period included in earnings</w:t>
            </w:r>
          </w:p>
        </w:tc>
        <w:tc>
          <w:tcPr>
            <w:tcW w:w="1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(394)</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360" w:type="dxa"/>
            <w:vAlign w:val="bottom"/>
          </w:tcPr>
          <w:p>
            <w:pPr>
              <w:jc w:val="right"/>
              <w:ind w:right="119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54"/>
        <w:spacing w:after="0" w:line="277" w:lineRule="auto"/>
        <w:rPr>
          <w:sz w:val="20"/>
          <w:szCs w:val="20"/>
          <w:color w:val="auto"/>
        </w:rPr>
      </w:pPr>
      <w:r>
        <w:rPr>
          <w:rFonts w:ascii="Arial" w:cs="Arial" w:eastAsia="Arial" w:hAnsi="Arial"/>
          <w:sz w:val="18"/>
          <w:szCs w:val="18"/>
          <w:color w:val="auto"/>
        </w:rPr>
        <w:t>There were no transfers in or out of Level 3 inputs. There were no issuances, purchases, sales or settlements of Level 3 inputs during the nine months ended September 30, 2019.</w:t>
      </w:r>
    </w:p>
    <w:p>
      <w:pPr>
        <w:spacing w:after="0" w:line="170" w:lineRule="exact"/>
        <w:rPr>
          <w:sz w:val="20"/>
          <w:szCs w:val="20"/>
          <w:color w:val="auto"/>
        </w:rPr>
      </w:pPr>
    </w:p>
    <w:p>
      <w:pPr>
        <w:jc w:val="both"/>
        <w:ind w:right="120" w:firstLine="454"/>
        <w:spacing w:after="0" w:line="264"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inventory at fair value only when the Company’s cost of corn purchased exceeds the market value for corn.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determines the market value of corn and dry distiller’s grain based upon Level 1 inputs using quoted market prices. The Company records its ethanol, isobutanol and hydrocarbon inventory at market using Level 2 inputs.</w:t>
      </w:r>
    </w:p>
    <w:p>
      <w:pPr>
        <w:spacing w:after="0" w:line="181" w:lineRule="exact"/>
        <w:rPr>
          <w:sz w:val="20"/>
          <w:szCs w:val="20"/>
          <w:color w:val="auto"/>
        </w:rPr>
      </w:pPr>
    </w:p>
    <w:p>
      <w:pPr>
        <w:ind w:firstLine="454"/>
        <w:spacing w:after="0" w:line="302" w:lineRule="auto"/>
        <w:rPr>
          <w:sz w:val="20"/>
          <w:szCs w:val="20"/>
          <w:color w:val="auto"/>
        </w:rPr>
      </w:pPr>
      <w:r>
        <w:rPr>
          <w:rFonts w:ascii="Arial" w:cs="Arial" w:eastAsia="Arial" w:hAnsi="Arial"/>
          <w:sz w:val="16"/>
          <w:szCs w:val="16"/>
          <w:color w:val="auto"/>
        </w:rPr>
        <w:t xml:space="preserve">2020 </w:t>
      </w:r>
      <w:r>
        <w:rPr>
          <w:rFonts w:ascii="Arial" w:cs="Arial" w:eastAsia="Arial" w:hAnsi="Arial"/>
          <w:sz w:val="16"/>
          <w:szCs w:val="16"/>
          <w:i w:val="1"/>
          <w:iCs w:val="1"/>
          <w:color w:val="auto"/>
        </w:rPr>
        <w:t>Notes Embedded Derivative</w:t>
      </w:r>
      <w:r>
        <w:rPr>
          <w:rFonts w:ascii="Arial" w:cs="Arial" w:eastAsia="Arial" w:hAnsi="Arial"/>
          <w:sz w:val="16"/>
          <w:szCs w:val="16"/>
          <w:color w:val="auto"/>
        </w:rPr>
        <w:t>. The Company had estimated the fair value of the embedded derivative on a stand-alone basis to be nil at September 30, 2019 and $0.4 million at December 31, 2018 based upon Level 3 inputs. Changes in the fair value of the embedded derivative is recognized each reporting period as a “</w:t>
      </w:r>
      <w:r>
        <w:rPr>
          <w:rFonts w:ascii="Arial" w:cs="Arial" w:eastAsia="Arial" w:hAnsi="Arial"/>
          <w:sz w:val="16"/>
          <w:szCs w:val="16"/>
          <w:i w:val="1"/>
          <w:iCs w:val="1"/>
          <w:color w:val="auto"/>
        </w:rPr>
        <w:t>Change in fair value of 2020 Notes embedded derivative</w:t>
      </w:r>
      <w:r>
        <w:rPr>
          <w:rFonts w:ascii="Arial" w:cs="Arial" w:eastAsia="Arial" w:hAnsi="Arial"/>
          <w:sz w:val="16"/>
          <w:szCs w:val="16"/>
          <w:color w:val="auto"/>
        </w:rPr>
        <w:t>” in the consolidated statements of operations and statements of cash flows. See Note 7, Embedded Derivatives and Derivative Warrant Liabilities, for the fair value inputs used to estimate the fair value of the embedded derivative.</w:t>
      </w:r>
    </w:p>
    <w:p>
      <w:pPr>
        <w:spacing w:after="0" w:line="154" w:lineRule="exact"/>
        <w:rPr>
          <w:sz w:val="20"/>
          <w:szCs w:val="20"/>
          <w:color w:val="auto"/>
        </w:rPr>
      </w:pPr>
    </w:p>
    <w:p>
      <w:pPr>
        <w:ind w:right="420" w:firstLine="454"/>
        <w:spacing w:after="0" w:line="286" w:lineRule="auto"/>
        <w:rPr>
          <w:sz w:val="20"/>
          <w:szCs w:val="20"/>
          <w:color w:val="auto"/>
        </w:rPr>
      </w:pPr>
      <w:r>
        <w:rPr>
          <w:rFonts w:ascii="Arial" w:cs="Arial" w:eastAsia="Arial" w:hAnsi="Arial"/>
          <w:sz w:val="17"/>
          <w:szCs w:val="17"/>
          <w:i w:val="1"/>
          <w:iCs w:val="1"/>
          <w:color w:val="auto"/>
        </w:rPr>
        <w:t>Derivative Warrant Liability</w:t>
      </w:r>
      <w:r>
        <w:rPr>
          <w:rFonts w:ascii="Arial" w:cs="Arial" w:eastAsia="Arial" w:hAnsi="Arial"/>
          <w:sz w:val="17"/>
          <w:szCs w:val="17"/>
          <w:color w:val="auto"/>
        </w:rPr>
        <w:t>. The Company valued the Series F Warrants and Series K Warrants using a Monte-Carlo model (Level 3)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using Black-Scholes models comprised of some inputs requiring the use of Monte-Carlo models (Level 3). The Company has estimated the fair value of the derivative warrant liability to be $0.02 million as of September 30, 2019 and December 31, 2018.</w:t>
      </w:r>
    </w:p>
    <w:p>
      <w:pPr>
        <w:spacing w:after="0" w:line="166" w:lineRule="exact"/>
        <w:rPr>
          <w:sz w:val="20"/>
          <w:szCs w:val="20"/>
          <w:color w:val="auto"/>
        </w:rPr>
      </w:pPr>
    </w:p>
    <w:p>
      <w:pPr>
        <w:ind w:right="160" w:firstLine="454"/>
        <w:spacing w:after="0" w:line="277" w:lineRule="auto"/>
        <w:rPr>
          <w:sz w:val="20"/>
          <w:szCs w:val="20"/>
          <w:color w:val="auto"/>
        </w:rPr>
      </w:pPr>
      <w:r>
        <w:rPr>
          <w:rFonts w:ascii="Arial" w:cs="Arial" w:eastAsia="Arial" w:hAnsi="Arial"/>
          <w:sz w:val="18"/>
          <w:szCs w:val="18"/>
          <w:color w:val="auto"/>
        </w:rPr>
        <w:t>Certain of the Company’s financial instruments consist of cash and cash equivalents, accounts receivable, accounts payable and 2020 Notes for which the carrying value on the Company’s consolidated balance sheets approximates their fair values due to the short maturities.</w:t>
      </w:r>
    </w:p>
    <w:p>
      <w:pPr>
        <w:spacing w:after="0" w:line="170" w:lineRule="exact"/>
        <w:rPr>
          <w:sz w:val="20"/>
          <w:szCs w:val="20"/>
          <w:color w:val="auto"/>
        </w:rPr>
      </w:pPr>
    </w:p>
    <w:p>
      <w:pPr>
        <w:jc w:val="both"/>
        <w:ind w:right="460" w:firstLine="454"/>
        <w:spacing w:after="0" w:line="264"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determined that it has two operating segments: (i) Gevo segment; and (ii) Gevo Development/Agri-Energy segment.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organizes its business segments based on the nature of the products and services offered through each of its consolidated legal entities.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segments are eliminated in consolidation.</w:t>
      </w:r>
    </w:p>
    <w:p>
      <w:pPr>
        <w:spacing w:after="0" w:line="211" w:lineRule="exact"/>
        <w:rPr>
          <w:sz w:val="20"/>
          <w:szCs w:val="20"/>
          <w:color w:val="auto"/>
        </w:rPr>
      </w:pPr>
    </w:p>
    <w:p>
      <w:pPr>
        <w:ind w:firstLine="454"/>
        <w:spacing w:after="0" w:line="259" w:lineRule="auto"/>
        <w:rPr>
          <w:sz w:val="20"/>
          <w:szCs w:val="20"/>
          <w:color w:val="auto"/>
        </w:rPr>
      </w:pPr>
      <w:r>
        <w:rPr>
          <w:rFonts w:ascii="Arial" w:cs="Arial" w:eastAsia="Arial" w:hAnsi="Arial"/>
          <w:sz w:val="18"/>
          <w:szCs w:val="18"/>
          <w:b w:val="1"/>
          <w:bCs w:val="1"/>
          <w:i w:val="1"/>
          <w:iCs w:val="1"/>
          <w:color w:val="auto"/>
        </w:rPr>
        <w:t>Gevo Segment</w:t>
      </w:r>
      <w:r>
        <w:rPr>
          <w:rFonts w:ascii="Arial" w:cs="Arial" w:eastAsia="Arial" w:hAnsi="Arial"/>
          <w:sz w:val="18"/>
          <w:szCs w:val="18"/>
          <w:color w:val="auto"/>
        </w:rPr>
        <w:t>. The Gevo segment is responsible for all research and development activities related to the future production of isobutanol,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0" w:firstLine="454"/>
        <w:spacing w:after="0" w:line="277" w:lineRule="auto"/>
        <w:rPr>
          <w:sz w:val="20"/>
          <w:szCs w:val="20"/>
          <w:color w:val="auto"/>
        </w:rPr>
      </w:pPr>
      <w:r>
        <w:rPr>
          <w:rFonts w:ascii="Arial" w:cs="Arial" w:eastAsia="Arial" w:hAnsi="Arial"/>
          <w:sz w:val="18"/>
          <w:szCs w:val="18"/>
          <w:b w:val="1"/>
          <w:bCs w:val="1"/>
          <w:i w:val="1"/>
          <w:iCs w:val="1"/>
          <w:color w:val="auto"/>
        </w:rPr>
        <w:t>Gevo Development/Agri-Energy Segment</w:t>
      </w:r>
      <w:r>
        <w:rPr>
          <w:rFonts w:ascii="Arial" w:cs="Arial" w:eastAsia="Arial" w:hAnsi="Arial"/>
          <w:sz w:val="18"/>
          <w:szCs w:val="18"/>
          <w:color w:val="auto"/>
        </w:rPr>
        <w:t>. The Gevo Development/Agri-Energy segment is currently responsible for the operation of the Luverne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the production of ethanol, isobutanol and related products.</w:t>
      </w:r>
    </w:p>
    <w:p>
      <w:pPr>
        <w:spacing w:after="0" w:line="170" w:lineRule="exact"/>
        <w:rPr>
          <w:sz w:val="20"/>
          <w:szCs w:val="20"/>
          <w:color w:val="auto"/>
        </w:rPr>
      </w:pPr>
    </w:p>
    <w:p>
      <w:pPr>
        <w:jc w:val="both"/>
        <w:ind w:right="140" w:firstLine="454"/>
        <w:spacing w:after="0" w:line="286" w:lineRule="auto"/>
        <w:rPr>
          <w:sz w:val="20"/>
          <w:szCs w:val="20"/>
          <w:color w:val="auto"/>
        </w:rPr>
      </w:pPr>
      <w:r>
        <w:rPr>
          <w:rFonts w:ascii="Arial" w:cs="Arial" w:eastAsia="Arial" w:hAnsi="Arial"/>
          <w:sz w:val="17"/>
          <w:szCs w:val="17"/>
          <w:color w:val="auto"/>
        </w:rPr>
        <w:t>The Company's chief operating decision maker is provided with and reviews the financial results of each of the Company's consolidated legal entities, Gevo, Inc., Gevo Development, LLC and Agri-Energy, LLC. The Company organizes its business segments based on the nature of the products and services offered through each of its consolidated legal entities. All revenue is earned, and all assets are held, in the 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September</w:t>
            </w:r>
          </w:p>
        </w:tc>
        <w:tc>
          <w:tcPr>
            <w:tcW w:w="260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1"/>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6,110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17,599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(4,173)</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(2,733)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(20,124)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605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605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plant, property and equipment: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781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4,924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Revenue by geographic area:</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16,218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Gevo</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94,955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105,379</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 Development / Agri-Energy</w:t>
            </w:r>
          </w:p>
        </w:tc>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140,982</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Intercompany eliminations</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(142,742)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(139,326)</w:t>
            </w:r>
          </w:p>
        </w:tc>
      </w:tr>
      <w:tr>
        <w:trPr>
          <w:trHeight w:val="20"/>
        </w:trPr>
        <w:tc>
          <w:tcPr>
            <w:tcW w:w="4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40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95,468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107,035</w:t>
            </w:r>
          </w:p>
        </w:tc>
      </w:tr>
      <w:tr>
        <w:trPr>
          <w:trHeight w:val="845"/>
        </w:trPr>
        <w:tc>
          <w:tcPr>
            <w:tcW w:w="4120" w:type="dxa"/>
            <w:vAlign w:val="bottom"/>
            <w:tcBorders>
              <w:top w:val="single" w:sz="8" w:color="CCEEFF"/>
            </w:tcBorders>
          </w:tcPr>
          <w:p>
            <w:pPr>
              <w:spacing w:after="0"/>
              <w:rPr>
                <w:sz w:val="24"/>
                <w:szCs w:val="24"/>
                <w:color w:val="auto"/>
              </w:rPr>
            </w:pPr>
          </w:p>
        </w:tc>
        <w:tc>
          <w:tcPr>
            <w:tcW w:w="4000" w:type="dxa"/>
            <w:vAlign w:val="bottom"/>
            <w:tcBorders>
              <w:top w:val="single" w:sz="8" w:color="CCEEFF"/>
            </w:tcBorders>
          </w:tcPr>
          <w:p>
            <w:pPr>
              <w:jc w:val="right"/>
              <w:ind w:right="2230"/>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4"/>
        <w:spacing w:after="0" w:line="284"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risks and uncertainties related to our ability to sell our products, our ability to expand or continue production of ethanol and isobutanol at our production facility in Luverne, Minnesota (the “Luverne Facility”), our ability to meet our production, financial and operational guidance, our strategy to pursue low-carbon ethanol for sale into California, our ability to replace our fossil-based energy sources with renewable energy sources at the Luverne Facility, our ability and plans to construct a commercial hydrocarbon facility to produce alcohol-to-jet fuel (“ATJ”), our ability to raise additional funds to continue operations and/or expand the Luverne Facility, our ability to produce ethanol and isobutanol on a commercial level and at a profit, achievement of advances in our technology platform, the success of our retrofit production model, the availability of suitable and cost-competitive feedstocks, our ability to gain market acceptance for our products, the expected cost-competitiveness and relative performance attributes of our ethanol and isobutanol and the products derived from isobutanol,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included in Item 7. “Management’s Discussion and Analysis of Financial Condition and Results of Operations” of our Annual Report on Form 10-K for the year ended December 31, 2018 (our “Annual Report”), and subsequent reports on Form 10-Q in Item 2, "Management's Discussion and Analysis of Financial Condition and Results of Operations". All forward-looking statements in this Report are qualified entirely by the cautionary statements included in this Report and such other filings. These risks and uncertainties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37" w:lineRule="exact"/>
        <w:rPr>
          <w:sz w:val="20"/>
          <w:szCs w:val="20"/>
          <w:color w:val="auto"/>
        </w:rPr>
      </w:pPr>
    </w:p>
    <w:p>
      <w:pPr>
        <w:jc w:val="both"/>
        <w:ind w:right="120" w:firstLine="454"/>
        <w:spacing w:after="0" w:line="286" w:lineRule="auto"/>
        <w:rPr>
          <w:sz w:val="20"/>
          <w:szCs w:val="20"/>
          <w:color w:val="auto"/>
        </w:rPr>
      </w:pPr>
      <w:r>
        <w:rPr>
          <w:rFonts w:ascii="Arial" w:cs="Arial" w:eastAsia="Arial" w:hAnsi="Arial"/>
          <w:sz w:val="17"/>
          <w:szCs w:val="17"/>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400" w:firstLine="454"/>
        <w:spacing w:after="0" w:line="288" w:lineRule="auto"/>
        <w:rPr>
          <w:sz w:val="20"/>
          <w:szCs w:val="20"/>
          <w:color w:val="auto"/>
        </w:rPr>
      </w:pPr>
      <w:r>
        <w:rPr>
          <w:rFonts w:ascii="Arial" w:cs="Arial" w:eastAsia="Arial" w:hAnsi="Arial"/>
          <w:sz w:val="16"/>
          <w:szCs w:val="16"/>
          <w:color w:val="auto"/>
        </w:rPr>
        <w:t>We are commercializing the next generation of gasoline, jet fuel and diesel fuel with the potential to achieve zero carbon emissions, addressing the market need of reducing greenhouse gas emissions with sustainable alternatives. We use low-carbon renewable resource based carbohydrates as raw materials, and are developing renewable electricity and renewable natural gas for the energy of production processes resulting in low-carbon fuels</w:t>
      </w:r>
    </w:p>
    <w:p>
      <w:pPr>
        <w:spacing w:after="0" w:line="269" w:lineRule="auto"/>
        <w:rPr>
          <w:sz w:val="20"/>
          <w:szCs w:val="20"/>
          <w:color w:val="auto"/>
        </w:rPr>
      </w:pPr>
      <w:r>
        <w:rPr>
          <w:rFonts w:ascii="Arial" w:cs="Arial" w:eastAsia="Arial" w:hAnsi="Arial"/>
          <w:sz w:val="17"/>
          <w:szCs w:val="17"/>
          <w:color w:val="auto"/>
        </w:rPr>
        <w:t>with reduced carbon intensity (the level of greenhouse gas emissions compared to standard petroleum) fossil-based fuels across their lifecycle. Our products deliver the technical performance expected of traditional fossil-based fuels in infrastructure and engines, but significantly reduce greenhouse gas emissions. In addition to addressing the problems of fuels, our technology also enables certain plastics, such as polyester, to be made with more sustainable ingredients. Our ability to penetrate the growing low-carbon fuels market depends on the price of oil and the value of abating carbon emissions, that would otherwise increase greenhouse gas emissions. We believe that because of our ability to use a variety of low-carbon, sustainably produced feedstocks and our proven technology resulting in the economical production of the main components of gasoline, jet fuel, and diesel fuel using a very low carbon footprint, we have the potential to generate returns that justify the build-out of a multi-billion dollar business.</w:t>
      </w:r>
    </w:p>
    <w:p>
      <w:pPr>
        <w:spacing w:after="0" w:line="181" w:lineRule="exact"/>
        <w:rPr>
          <w:sz w:val="20"/>
          <w:szCs w:val="20"/>
          <w:color w:val="auto"/>
        </w:rPr>
      </w:pPr>
    </w:p>
    <w:p>
      <w:pPr>
        <w:ind w:right="260" w:firstLine="454"/>
        <w:spacing w:after="0" w:line="259" w:lineRule="auto"/>
        <w:rPr>
          <w:sz w:val="20"/>
          <w:szCs w:val="20"/>
          <w:color w:val="auto"/>
        </w:rPr>
      </w:pPr>
      <w:r>
        <w:rPr>
          <w:rFonts w:ascii="Arial" w:cs="Arial" w:eastAsia="Arial" w:hAnsi="Arial"/>
          <w:sz w:val="18"/>
          <w:szCs w:val="18"/>
          <w:color w:val="auto"/>
        </w:rPr>
        <w:t>We believe that the fossil-based carbon emissions caused by using fossil-based liquid fuels will continue to come under increased regulation intent on reducing emissions. California's Low Carbon Fuel Standard Program (the "LCFS), the European Union's Renewable Energy Directive and other similar policies are causing the value of reducing fossil-based greenhouse gas emissions to become clearer and to be more attractive of a component of value to financiers.</w:t>
      </w:r>
    </w:p>
    <w:p>
      <w:pPr>
        <w:spacing w:after="0" w:line="187" w:lineRule="exact"/>
        <w:rPr>
          <w:sz w:val="20"/>
          <w:szCs w:val="20"/>
          <w:color w:val="auto"/>
        </w:rPr>
      </w:pPr>
    </w:p>
    <w:p>
      <w:pPr>
        <w:jc w:val="both"/>
        <w:ind w:right="400" w:firstLine="454"/>
        <w:spacing w:after="0" w:line="264" w:lineRule="auto"/>
        <w:rPr>
          <w:sz w:val="20"/>
          <w:szCs w:val="20"/>
          <w:color w:val="auto"/>
        </w:rPr>
      </w:pPr>
      <w:r>
        <w:rPr>
          <w:rFonts w:ascii="Arial" w:cs="Arial" w:eastAsia="Arial" w:hAnsi="Arial"/>
          <w:sz w:val="18"/>
          <w:szCs w:val="18"/>
          <w:color w:val="auto"/>
        </w:rPr>
        <w:t>To achieve the goal of becoming a multi-billion dollar business, we need to establish the low-carbon infrastructure for the Luverne Facility, secure additional take-or-pay offtake agreements that enable lower cost project financing, then build out large capacity for jet fuel, isooctane and diesel fuel and other productions sites around the world.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ind w:right="60" w:firstLine="454"/>
        <w:spacing w:after="0" w:line="255" w:lineRule="auto"/>
        <w:rPr>
          <w:sz w:val="20"/>
          <w:szCs w:val="20"/>
          <w:color w:val="auto"/>
        </w:rPr>
      </w:pPr>
      <w:r>
        <w:rPr>
          <w:rFonts w:ascii="Arial" w:cs="Arial" w:eastAsia="Arial" w:hAnsi="Arial"/>
          <w:sz w:val="18"/>
          <w:szCs w:val="18"/>
          <w:color w:val="auto"/>
        </w:rPr>
        <w:t>For the nine months ended September 30, 2019 and 2018, we incurred a consolidated net loss of $21.8 million and $20.9 million, respectively, and had an accumulated deficit of $451.2 million at September 30, 2019. Our cash and cash equivalents at September 30, 2019 totaled $20.9 million which is primarily being used for the following: (i) operating activities of our Luverne Facility; (ii) operating activities at our corporate headquarters in Colorado, including research, engineering and development work; (iii) engineering, development and capital expenditures primarily associated with the Luverne Facility, including engineering, development and capital expenditures to “de-carbonize” the Luverne Facility; (iv) exploration of strategic alternatives and new financings; and (v) debt service and repayment obligations. We are actively working on refinancing our 2020 Notes (as defined below) that mature on March 15, 2020.</w:t>
      </w:r>
    </w:p>
    <w:p>
      <w:pPr>
        <w:spacing w:after="0" w:line="189" w:lineRule="exact"/>
        <w:rPr>
          <w:sz w:val="20"/>
          <w:szCs w:val="20"/>
          <w:color w:val="auto"/>
        </w:rPr>
      </w:pPr>
    </w:p>
    <w:p>
      <w:pPr>
        <w:ind w:right="40" w:firstLine="454"/>
        <w:spacing w:after="0" w:line="276"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3" w:lineRule="exact"/>
        <w:rPr>
          <w:sz w:val="20"/>
          <w:szCs w:val="20"/>
          <w:color w:val="auto"/>
        </w:rPr>
      </w:pPr>
    </w:p>
    <w:p>
      <w:pPr>
        <w:ind w:right="40" w:firstLine="454"/>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firstLine="454"/>
        <w:spacing w:after="0" w:line="255" w:lineRule="auto"/>
        <w:rPr>
          <w:sz w:val="20"/>
          <w:szCs w:val="20"/>
          <w:color w:val="auto"/>
        </w:rPr>
      </w:pPr>
      <w:r>
        <w:rPr>
          <w:rFonts w:ascii="Arial" w:cs="Arial" w:eastAsia="Arial" w:hAnsi="Arial"/>
          <w:sz w:val="18"/>
          <w:szCs w:val="18"/>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build-out and Retrofit of the Luverne Facility or a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5,554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8,071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Grant and other revenue</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loss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(6,108)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from change in fair value of 2020 Notes embedded derivative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firstLine="454"/>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from the sale of ethanol, isobutanol and related products for the three months ended September 30, 2019 was $5.6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$2.5 million from the three months ended September 30, 2018. As a result of an unfavorable commodity environment during the three months ended September 30, 2019 compared with the same period ended September 30, 2018, we reduced our production of ethanol and distiller grains which resulted in lower sales for the period. During the three months ended September 30, 2019, we sold 3.4 million gallons of ethanol compared to 5.1 million gallons of ethanol sold in the three months ended September 30, 2018.</w:t>
      </w:r>
    </w:p>
    <w:p>
      <w:pPr>
        <w:spacing w:after="0" w:line="188" w:lineRule="exact"/>
        <w:rPr>
          <w:sz w:val="20"/>
          <w:szCs w:val="20"/>
          <w:color w:val="auto"/>
        </w:rPr>
      </w:pPr>
    </w:p>
    <w:p>
      <w:pPr>
        <w:ind w:right="140" w:firstLine="454"/>
        <w:spacing w:after="0" w:line="264" w:lineRule="auto"/>
        <w:rPr>
          <w:sz w:val="20"/>
          <w:szCs w:val="20"/>
          <w:color w:val="auto"/>
        </w:rPr>
      </w:pPr>
      <w:r>
        <w:rPr>
          <w:rFonts w:ascii="Arial" w:cs="Arial" w:eastAsia="Arial" w:hAnsi="Arial"/>
          <w:sz w:val="18"/>
          <w:szCs w:val="18"/>
          <w:color w:val="auto"/>
        </w:rPr>
        <w:t>Hydrocarbon revenues are comprised of ATJ, isooctane and isooctene sales. Hydrocarbon sales increased because of higher production volumes at the South Hampton Facility. During the three months ended September 30, 2018, we reduced production at the South Hampton Facility to upgrade the facility and double the production capacity.</w:t>
      </w:r>
    </w:p>
    <w:p>
      <w:pPr>
        <w:spacing w:after="0" w:line="181" w:lineRule="exact"/>
        <w:rPr>
          <w:sz w:val="20"/>
          <w:szCs w:val="20"/>
          <w:color w:val="auto"/>
        </w:rPr>
      </w:pPr>
    </w:p>
    <w:p>
      <w:pPr>
        <w:ind w:right="80" w:firstLine="454"/>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was $9.9 million during the three months ended September 30, 2019 compared with $10.6 million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2018. The decrease of approximately $0.7 million was primarily the result of decreased production at the Luverne Facility for the three months ended September 30, 2019 compared to September 30, 2018. Production was decreased due to an unfavorable commodity environment, largely the result of greater corn costs as compared to national markets than the region has historically experienced. Cost of goods sold included approximately $8.3 million associated with the production of ethanol and related products and approximately $1.6 million in depreciation expense during the three months ended September 30, 2019.</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decreased by $0.1 million during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compared with the three months ended September 30, 2018, due primarily to a decrease in costs associated with the South Hampton Facility offset by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personnel and consulting expenses.</w:t>
      </w:r>
    </w:p>
    <w:p>
      <w:pPr>
        <w:spacing w:after="0" w:line="211" w:lineRule="exact"/>
        <w:rPr>
          <w:sz w:val="20"/>
          <w:szCs w:val="20"/>
          <w:color w:val="auto"/>
        </w:rPr>
      </w:pPr>
    </w:p>
    <w:p>
      <w:pPr>
        <w:jc w:val="both"/>
        <w:ind w:right="420" w:firstLine="454"/>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$0.2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compared with the three months ended September 30, 2018, due primarily to an increase in personnel, consulting and investor relations costs, partially offset by a decrease in professional fees.</w:t>
      </w:r>
    </w:p>
    <w:p>
      <w:pPr>
        <w:spacing w:after="0" w:line="181" w:lineRule="exact"/>
        <w:rPr>
          <w:sz w:val="20"/>
          <w:szCs w:val="20"/>
          <w:color w:val="auto"/>
        </w:rPr>
      </w:pPr>
    </w:p>
    <w:p>
      <w:pPr>
        <w:ind w:firstLine="454"/>
        <w:spacing w:after="0" w:line="31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during the three months ended September 30, 2019 was $0.6 million, a decrease of $0.2 million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2018, due to a decrease in the outstanding principal amount of the 12% convertible senior secured notes due 2020 (the “2020 Notes”) as of September 30, 2019 from the exchange of approximately $3.2 million of our 2020 Notes for our common stock during 2018.</w:t>
      </w:r>
    </w:p>
    <w:p>
      <w:pPr>
        <w:spacing w:after="0" w:line="147" w:lineRule="exact"/>
        <w:rPr>
          <w:sz w:val="20"/>
          <w:szCs w:val="20"/>
          <w:color w:val="auto"/>
        </w:rPr>
      </w:pPr>
    </w:p>
    <w:p>
      <w:pPr>
        <w:ind w:right="40" w:firstLine="454"/>
        <w:spacing w:after="0" w:line="264" w:lineRule="auto"/>
        <w:rPr>
          <w:sz w:val="20"/>
          <w:szCs w:val="20"/>
          <w:color w:val="auto"/>
        </w:rPr>
      </w:pPr>
      <w:r>
        <w:rPr>
          <w:rFonts w:ascii="Arial" w:cs="Arial" w:eastAsia="Arial" w:hAnsi="Arial"/>
          <w:sz w:val="18"/>
          <w:szCs w:val="18"/>
          <w:i w:val="1"/>
          <w:iCs w:val="1"/>
          <w:color w:val="auto"/>
        </w:rPr>
        <w:t xml:space="preserve">Gain (loss) from change in fair value of derivative warrant liability. </w:t>
      </w:r>
      <w:r>
        <w:rPr>
          <w:rFonts w:ascii="Arial" w:cs="Arial" w:eastAsia="Arial" w:hAnsi="Arial"/>
          <w:sz w:val="18"/>
          <w:szCs w:val="18"/>
          <w:color w:val="auto"/>
        </w:rPr>
        <w:t>During the three months ended September 30, 2019, the fair value of the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liability decreased $0.01 million compared to the three months ended September 30, 2018, primarily due to the decrease in the number of warrants outstanding and a decrease in the amount of time until the expiration of the outstanding warrants.</w:t>
      </w:r>
    </w:p>
    <w:p>
      <w:pPr>
        <w:sectPr>
          <w:pgSz w:w="11900" w:h="16838" w:orient="portrait"/>
          <w:cols w:equalWidth="0" w:num="1">
            <w:col w:w="11420"/>
          </w:cols>
          <w:pgMar w:left="240" w:top="118" w:right="239" w:bottom="676"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676" w:gutter="0" w:footer="0" w:header="0"/>
          <w:type w:val="continuous"/>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3"/>
              </w:rPr>
              <w:t>Nine Months Ended September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16,184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25,102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Grant and other revenue</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loss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10,417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9,820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(15,486)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(Loss) on exchange or conversion of debt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from change in fair value of 2020 Notes embedded derivative</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other expense, net</w:t>
            </w:r>
          </w:p>
        </w:tc>
        <w:tc>
          <w:tcPr>
            <w:tcW w:w="18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(5,388)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(21,845)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(20,874)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54"/>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from the sale of ethanol, isobutanol and related products for the nine months ended September 30, 2019 was $16.2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$8.9 million from the nine months ended September 30, 2018. As a result of an unfavorable commodity environment during the nine months ended September 30, 2019 compared with the same period ended September 30, 2018, we reduced our production of ethanol and distiller grains which resulted in decreased sales. During the nine months ended September 30, 2019, we sold 10.2 million gallons of ethanol compared to 14.9 million gallons of ethanol sold in the nine months ended September 30, 2018.</w:t>
      </w:r>
    </w:p>
    <w:p>
      <w:pPr>
        <w:spacing w:after="0" w:line="188" w:lineRule="exact"/>
        <w:rPr>
          <w:sz w:val="20"/>
          <w:szCs w:val="20"/>
          <w:color w:val="auto"/>
        </w:rPr>
      </w:pPr>
    </w:p>
    <w:p>
      <w:pPr>
        <w:ind w:right="40" w:firstLine="454"/>
        <w:spacing w:after="0" w:line="277" w:lineRule="auto"/>
        <w:rPr>
          <w:sz w:val="20"/>
          <w:szCs w:val="20"/>
          <w:color w:val="auto"/>
        </w:rPr>
      </w:pPr>
      <w:r>
        <w:rPr>
          <w:rFonts w:ascii="Arial" w:cs="Arial" w:eastAsia="Arial" w:hAnsi="Arial"/>
          <w:sz w:val="18"/>
          <w:szCs w:val="18"/>
          <w:color w:val="auto"/>
        </w:rPr>
        <w:t>Hydrocarbon revenues are comprised of ATJ, isooctane and isooctene sales. Hydrocarbon sales increased by $0.3 million during the nine months ended September 30, 2019 as a result of greater shipments of finished products from our South Hampton Facility.</w:t>
      </w:r>
    </w:p>
    <w:p>
      <w:pPr>
        <w:spacing w:after="0" w:line="170" w:lineRule="exact"/>
        <w:rPr>
          <w:sz w:val="20"/>
          <w:szCs w:val="20"/>
          <w:color w:val="auto"/>
        </w:rPr>
      </w:pPr>
    </w:p>
    <w:p>
      <w:pPr>
        <w:ind w:right="180" w:firstLine="454"/>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was $27.3 million during the nine months ended September 30, 2019 compared with $31.9 million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 The decrease of approximately $4.6 million was primarily the result of decreased production for the nine months ended September 30, 2019 compared to September 30, 2018. Production was decreased due to an unfavorable commodity environment, largely the result of greater corn costs as compared to national markets than the region has historically experienced. Cost of goods sold included approximately $22.6 million associated with the production of ethanol and related products and approximately $4.7 million in depreciation expense during the nine months ended September 30, 2019.</w:t>
      </w:r>
    </w:p>
    <w:p>
      <w:pPr>
        <w:spacing w:after="0" w:line="193" w:lineRule="exact"/>
        <w:rPr>
          <w:sz w:val="20"/>
          <w:szCs w:val="20"/>
          <w:color w:val="auto"/>
        </w:rPr>
      </w:pPr>
    </w:p>
    <w:p>
      <w:pPr>
        <w:ind w:right="440" w:firstLine="454"/>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decreased by approximately $0.4 million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compared with the nine months ended September 30, 2018, due primarily to a decrease in costs associated with our South Hampton Facility, offset by an increase in personnel expenses.</w:t>
      </w:r>
    </w:p>
    <w:p>
      <w:pPr>
        <w:spacing w:after="0" w:line="181" w:lineRule="exact"/>
        <w:rPr>
          <w:sz w:val="20"/>
          <w:szCs w:val="20"/>
          <w:color w:val="auto"/>
        </w:rPr>
      </w:pPr>
    </w:p>
    <w:p>
      <w:pPr>
        <w:ind w:right="220" w:firstLine="454"/>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$1.0 million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compared with the nine months ended September 30, 2018, due primarily to an increase of personnel, consulting, travel, legal and investor relations costs, partially offset by a decrease in professional fees.</w:t>
      </w:r>
    </w:p>
    <w:p>
      <w:pPr>
        <w:spacing w:after="0" w:line="181" w:lineRule="exact"/>
        <w:rPr>
          <w:sz w:val="20"/>
          <w:szCs w:val="20"/>
          <w:color w:val="auto"/>
        </w:rPr>
      </w:pPr>
    </w:p>
    <w:p>
      <w:pPr>
        <w:jc w:val="both"/>
        <w:ind w:right="100" w:firstLine="454"/>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during the nine months ended September 30, 2019 was $2.1 million, a decrease of $0.4 million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due to a decrease in the outstanding principal amount of the 2020 Notes as of September 30, 2019 from the exchange of approximately $3.2 million of our 2020 Notes for our common stock during 2018.</w:t>
      </w:r>
    </w:p>
    <w:p>
      <w:pPr>
        <w:spacing w:after="0" w:line="181" w:lineRule="exact"/>
        <w:rPr>
          <w:sz w:val="20"/>
          <w:szCs w:val="20"/>
          <w:color w:val="auto"/>
        </w:rPr>
      </w:pPr>
    </w:p>
    <w:p>
      <w:pPr>
        <w:ind w:right="100" w:firstLine="454"/>
        <w:spacing w:after="0" w:line="264" w:lineRule="auto"/>
        <w:rPr>
          <w:sz w:val="20"/>
          <w:szCs w:val="20"/>
          <w:color w:val="auto"/>
        </w:rPr>
      </w:pPr>
      <w:r>
        <w:rPr>
          <w:rFonts w:ascii="Arial" w:cs="Arial" w:eastAsia="Arial" w:hAnsi="Arial"/>
          <w:sz w:val="18"/>
          <w:szCs w:val="18"/>
          <w:i w:val="1"/>
          <w:iCs w:val="1"/>
          <w:color w:val="auto"/>
        </w:rPr>
        <w:t xml:space="preserve">Gain (loss) from change in fair value of derivative warrant liability. </w:t>
      </w:r>
      <w:r>
        <w:rPr>
          <w:rFonts w:ascii="Arial" w:cs="Arial" w:eastAsia="Arial" w:hAnsi="Arial"/>
          <w:sz w:val="18"/>
          <w:szCs w:val="18"/>
          <w:color w:val="auto"/>
        </w:rPr>
        <w:t>During the nine months ended September 30, 2019, the fair value of the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liability decreased $3.0 million compared to the nine months ended September 30, 2018, primarily due to the decrease in the number of warrants outstanding and a decrease in the amount of time until the expiration of the outstanding warrants.</w:t>
      </w:r>
    </w:p>
    <w:p>
      <w:pPr>
        <w:spacing w:after="0" w:line="181" w:lineRule="exact"/>
        <w:rPr>
          <w:sz w:val="20"/>
          <w:szCs w:val="20"/>
          <w:color w:val="auto"/>
        </w:rPr>
      </w:pPr>
    </w:p>
    <w:p>
      <w:pPr>
        <w:jc w:val="both"/>
        <w:ind w:right="80" w:firstLine="454"/>
        <w:spacing w:after="0" w:line="279" w:lineRule="auto"/>
        <w:rPr>
          <w:sz w:val="20"/>
          <w:szCs w:val="20"/>
          <w:color w:val="auto"/>
        </w:rPr>
      </w:pPr>
      <w:r>
        <w:rPr>
          <w:rFonts w:ascii="Arial" w:cs="Arial" w:eastAsia="Arial" w:hAnsi="Arial"/>
          <w:sz w:val="17"/>
          <w:szCs w:val="17"/>
          <w:i w:val="1"/>
          <w:iCs w:val="1"/>
          <w:color w:val="auto"/>
        </w:rPr>
        <w:t xml:space="preserve">Gain from change in fair value of the 2020 Notes embedded derivative. </w:t>
      </w:r>
      <w:r>
        <w:rPr>
          <w:rFonts w:ascii="Arial" w:cs="Arial" w:eastAsia="Arial" w:hAnsi="Arial"/>
          <w:sz w:val="17"/>
          <w:szCs w:val="17"/>
          <w:color w:val="auto"/>
        </w:rPr>
        <w:t>During the nine months ended September 30, 2019, the estimated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Notes embedded derivative liability decreased to $0, resulting in a decrease in the non-cash gain of $1.9 million compared to the nine months ended September 30, 2018. The decrease in derivative liability was primarily due to the decrease in the price of our common stock since the June 20, 2017 issuance date and the decrease in estimated stock volatility for the remaining period the 2020 Notes are due.</w:t>
      </w:r>
    </w:p>
    <w:p>
      <w:pPr>
        <w:sectPr>
          <w:pgSz w:w="11900" w:h="16838" w:orient="portrait"/>
          <w:cols w:equalWidth="0" w:num="1">
            <w:col w:w="11420"/>
          </w:cols>
          <w:pgMar w:left="240" w:top="118" w:right="239" w:bottom="42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420"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Cost of Goods Sold and 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firstLine="454"/>
        <w:spacing w:after="0" w:line="264" w:lineRule="auto"/>
        <w:rPr>
          <w:sz w:val="20"/>
          <w:szCs w:val="20"/>
          <w:color w:val="auto"/>
        </w:rPr>
      </w:pPr>
      <w:r>
        <w:rPr>
          <w:rFonts w:ascii="Arial" w:cs="Arial" w:eastAsia="Arial" w:hAnsi="Arial"/>
          <w:sz w:val="18"/>
          <w:szCs w:val="18"/>
          <w:color w:val="auto"/>
        </w:rPr>
        <w:t>During the nine months ended September 30, 2019 and 2018, we generated revenue from: (i) the sale of ethanol, isobutanol and related products; (ii) hydrocarbon sales, consisting primarily of the sale of ATJ fuel, isooctane and isooctene derived from our isobutanol for purposes of certification and testing; and (iii) government grants and research and development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Loss</w:t>
      </w:r>
    </w:p>
    <w:p>
      <w:pPr>
        <w:spacing w:after="0" w:line="225" w:lineRule="exact"/>
        <w:rPr>
          <w:sz w:val="20"/>
          <w:szCs w:val="20"/>
          <w:color w:val="auto"/>
        </w:rPr>
      </w:pPr>
    </w:p>
    <w:p>
      <w:pPr>
        <w:ind w:right="100" w:firstLine="454"/>
        <w:spacing w:after="0" w:line="279" w:lineRule="auto"/>
        <w:rPr>
          <w:sz w:val="20"/>
          <w:szCs w:val="20"/>
          <w:color w:val="auto"/>
        </w:rPr>
      </w:pPr>
      <w:r>
        <w:rPr>
          <w:rFonts w:ascii="Arial" w:cs="Arial" w:eastAsia="Arial" w:hAnsi="Arial"/>
          <w:sz w:val="17"/>
          <w:szCs w:val="17"/>
          <w:color w:val="auto"/>
        </w:rPr>
        <w:t>Cost of goods sold during the nine months ended September 30, 2019 and 2018 primarily includes costs directly associated with isobutanol production and ethanol production at the Luverne Facility, such as costs for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gross loss is defined as our total revenue less our cost of goods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454"/>
        <w:spacing w:after="0" w:line="273" w:lineRule="auto"/>
        <w:rPr>
          <w:sz w:val="20"/>
          <w:szCs w:val="20"/>
          <w:color w:val="auto"/>
        </w:rPr>
      </w:pPr>
      <w:r>
        <w:rPr>
          <w:rFonts w:ascii="Arial" w:cs="Arial" w:eastAsia="Arial" w:hAnsi="Arial"/>
          <w:sz w:val="17"/>
          <w:szCs w:val="17"/>
          <w:color w:val="auto"/>
        </w:rPr>
        <w:t>Our research and development costs consist of expenses incurred to identify, develop and test our technologies to produce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 Research and development expenses also include upfront fees and milestone payments made under licensing agreements and payments for sponsored research and university research gifts to support research at academic institutions.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40" w:firstLine="454"/>
        <w:spacing w:after="0" w:line="259"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consulting and service provider expenses (including patent counsel-related costs), legal fees, marketing costs, corporate insurance costs, occupancy-related costs, depreciation and amortization expenses on property, plant and equipment not used in our product development programs or recorded in cost of goods sold, travel and relocation and hiring expenses.</w:t>
      </w:r>
    </w:p>
    <w:p>
      <w:pPr>
        <w:spacing w:after="0" w:line="187" w:lineRule="exact"/>
        <w:rPr>
          <w:sz w:val="20"/>
          <w:szCs w:val="20"/>
          <w:color w:val="auto"/>
        </w:rPr>
      </w:pPr>
    </w:p>
    <w:p>
      <w:pPr>
        <w:ind w:right="660" w:firstLine="454"/>
        <w:spacing w:after="0" w:line="277" w:lineRule="auto"/>
        <w:rPr>
          <w:sz w:val="20"/>
          <w:szCs w:val="20"/>
          <w:color w:val="auto"/>
        </w:rPr>
      </w:pPr>
      <w:r>
        <w:rPr>
          <w:rFonts w:ascii="Arial" w:cs="Arial" w:eastAsia="Arial" w:hAnsi="Arial"/>
          <w:sz w:val="18"/>
          <w:szCs w:val="18"/>
          <w:color w:val="auto"/>
        </w:rPr>
        <w:t>We also record selling, general and administrative expenses for the operations of the Luverne Facility that include administrative and oversight expenses, certain personnel-related expenses, insurance and other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454"/>
        <w:spacing w:after="0" w:line="279" w:lineRule="auto"/>
        <w:rPr>
          <w:sz w:val="20"/>
          <w:szCs w:val="20"/>
          <w:color w:val="auto"/>
        </w:rPr>
      </w:pPr>
      <w:r>
        <w:rPr>
          <w:rFonts w:ascii="Arial" w:cs="Arial" w:eastAsia="Arial" w:hAnsi="Arial"/>
          <w:sz w:val="17"/>
          <w:szCs w:val="17"/>
          <w:color w:val="auto"/>
        </w:rPr>
        <w:t>Since our inception in 2005, we have devoted most of our cash resources to manufacturing ethanol, isobutanol and related products, research and development and selling, general and administrative activities related to the commercialization of ethanol, isobutanol, as well as related products from renewable feedstocks. We have incurred losses since inception and expect to incur losses through at least 2020. We have financed our operations primarily with proceeds from multiple sales of equity and debt securities, borrowings under debt facilities and product sales.</w:t>
      </w:r>
    </w:p>
    <w:p>
      <w:pPr>
        <w:spacing w:after="0" w:line="171" w:lineRule="exact"/>
        <w:rPr>
          <w:sz w:val="20"/>
          <w:szCs w:val="20"/>
          <w:color w:val="auto"/>
        </w:rPr>
      </w:pPr>
    </w:p>
    <w:p>
      <w:pPr>
        <w:ind w:right="40" w:firstLine="454"/>
        <w:spacing w:after="0" w:line="255" w:lineRule="auto"/>
        <w:rPr>
          <w:sz w:val="20"/>
          <w:szCs w:val="20"/>
          <w:color w:val="auto"/>
        </w:rPr>
      </w:pPr>
      <w:r>
        <w:rPr>
          <w:rFonts w:ascii="Arial" w:cs="Arial" w:eastAsia="Arial" w:hAnsi="Arial"/>
          <w:sz w:val="18"/>
          <w:szCs w:val="18"/>
          <w:color w:val="auto"/>
        </w:rPr>
        <w:t>The continued operation of our business, including any expansion of the Luverne Facility,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access to sufficient capital, repayment of our current debt, completion of our development activities resulting in sales of isobutanol or isobutanol-derived products and/or technology, achieving market acceptance and demand for our products and services and attracting and retaining qualified personnel. Such additional capital may not be available to us on acceptable terms or at all.</w:t>
      </w:r>
    </w:p>
    <w:p>
      <w:pPr>
        <w:spacing w:after="0" w:line="193" w:lineRule="exact"/>
        <w:rPr>
          <w:sz w:val="20"/>
          <w:szCs w:val="20"/>
          <w:color w:val="auto"/>
        </w:rPr>
      </w:pPr>
    </w:p>
    <w:p>
      <w:pPr>
        <w:ind w:right="380" w:firstLine="454"/>
        <w:spacing w:after="0" w:line="277" w:lineRule="auto"/>
        <w:rPr>
          <w:sz w:val="20"/>
          <w:szCs w:val="20"/>
          <w:color w:val="auto"/>
        </w:rPr>
      </w:pPr>
      <w:r>
        <w:rPr>
          <w:rFonts w:ascii="Arial" w:cs="Arial" w:eastAsia="Arial" w:hAnsi="Arial"/>
          <w:sz w:val="18"/>
          <w:szCs w:val="18"/>
          <w:color w:val="auto"/>
        </w:rPr>
        <w:t xml:space="preserve">As of September 30, 2019, we had an accumulated deficit of $451.2 million with cash and cash equivalents totaling $20.9 million. The 2020 Notes mature on March 15, 2020. See discussion below in </w:t>
      </w:r>
      <w:r>
        <w:rPr>
          <w:rFonts w:ascii="Arial" w:cs="Arial" w:eastAsia="Arial" w:hAnsi="Arial"/>
          <w:sz w:val="18"/>
          <w:szCs w:val="18"/>
          <w:i w:val="1"/>
          <w:iCs w:val="1"/>
          <w:color w:val="auto"/>
        </w:rPr>
        <w:t>"2020 Notes"</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30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10"/>
        </w:trPr>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5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(14,798)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5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(7,260)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5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454"/>
        <w:spacing w:after="0" w:line="286" w:lineRule="auto"/>
        <w:rPr>
          <w:sz w:val="20"/>
          <w:szCs w:val="20"/>
          <w:color w:val="auto"/>
        </w:rPr>
      </w:pPr>
      <w:r>
        <w:rPr>
          <w:rFonts w:ascii="Arial" w:cs="Arial" w:eastAsia="Arial" w:hAnsi="Arial"/>
          <w:sz w:val="17"/>
          <w:szCs w:val="17"/>
          <w:color w:val="auto"/>
        </w:rPr>
        <w:t>Our primary uses of cash from operating activities are personnel-related expenses, research and development expenses, which include costs incurred under development agreements; costs and expenses for the production of isobutanol, ethanol and related products, logistics costs, costs associated with further processing of isobutanol and costs associated with the operation of the South Hampton Facility and debt service payments.</w:t>
      </w:r>
    </w:p>
    <w:p>
      <w:pPr>
        <w:spacing w:after="0" w:line="166" w:lineRule="exact"/>
        <w:rPr>
          <w:sz w:val="20"/>
          <w:szCs w:val="20"/>
          <w:color w:val="auto"/>
        </w:rPr>
      </w:pPr>
    </w:p>
    <w:p>
      <w:pPr>
        <w:ind w:right="540" w:firstLine="454"/>
        <w:spacing w:after="0" w:line="308" w:lineRule="auto"/>
        <w:rPr>
          <w:sz w:val="20"/>
          <w:szCs w:val="20"/>
          <w:color w:val="auto"/>
        </w:rPr>
      </w:pPr>
      <w:r>
        <w:rPr>
          <w:rFonts w:ascii="Arial" w:cs="Arial" w:eastAsia="Arial" w:hAnsi="Arial"/>
          <w:sz w:val="17"/>
          <w:szCs w:val="17"/>
          <w:color w:val="auto"/>
        </w:rPr>
        <w:t>During the nine months ended September 30, 2019, we used $14.8 million in cash from operating activities primarily resulting from a net loss of $21.8 million, a $0.5 million increase in working capital items and approximately $6.5 million in non-cash operating activities.</w:t>
      </w:r>
    </w:p>
    <w:p>
      <w:pPr>
        <w:sectPr>
          <w:pgSz w:w="11900" w:h="16838" w:orient="portrait"/>
          <w:cols w:equalWidth="0" w:num="1">
            <w:col w:w="11420"/>
          </w:cols>
          <w:pgMar w:left="240" w:top="118" w:right="239" w:bottom="325"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325" w:gutter="0" w:footer="0" w:header="0"/>
          <w:type w:val="continuous"/>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60" w:firstLine="454"/>
        <w:spacing w:after="0" w:line="277" w:lineRule="auto"/>
        <w:rPr>
          <w:sz w:val="20"/>
          <w:szCs w:val="20"/>
          <w:color w:val="auto"/>
        </w:rPr>
      </w:pPr>
      <w:r>
        <w:rPr>
          <w:rFonts w:ascii="Arial" w:cs="Arial" w:eastAsia="Arial" w:hAnsi="Arial"/>
          <w:sz w:val="18"/>
          <w:szCs w:val="18"/>
          <w:color w:val="auto"/>
        </w:rPr>
        <w:t>During the nine months ended September 30, 2019, we used $7.3 million in cash from investing activities related to an investment of $1.5 million in Juhl and $5.8 primarily for capital expenditures at our Luverne Facility.</w:t>
      </w:r>
    </w:p>
    <w:p>
      <w:pPr>
        <w:spacing w:after="0" w:line="170" w:lineRule="exact"/>
        <w:rPr>
          <w:sz w:val="20"/>
          <w:szCs w:val="20"/>
          <w:color w:val="auto"/>
        </w:rPr>
      </w:pPr>
    </w:p>
    <w:p>
      <w:pPr>
        <w:ind w:left="140" w:right="920" w:firstLine="324"/>
        <w:spacing w:after="0" w:line="277" w:lineRule="auto"/>
        <w:rPr>
          <w:sz w:val="20"/>
          <w:szCs w:val="20"/>
          <w:color w:val="auto"/>
        </w:rPr>
      </w:pPr>
      <w:r>
        <w:rPr>
          <w:rFonts w:ascii="Arial" w:cs="Arial" w:eastAsia="Arial" w:hAnsi="Arial"/>
          <w:sz w:val="18"/>
          <w:szCs w:val="18"/>
          <w:color w:val="auto"/>
        </w:rPr>
        <w:t>We are installing equipment to fractionate corn and to dry distiller's grains at the Luverne Facility totaling approximately $3.0 million as of September 30, 2019. The fractionation machine is expected to be operational in the first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nine months ended September 30, 2019, we raised approximately $9.3 million associated with financing activities, which consisted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$9.4 million of net proceeds from sales under our “at-the-market” offering program discussed below offset by $0.2 million net settlement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stock plans.</w:t>
      </w:r>
    </w:p>
    <w:p>
      <w:pPr>
        <w:spacing w:after="0" w:line="211" w:lineRule="exact"/>
        <w:rPr>
          <w:sz w:val="20"/>
          <w:szCs w:val="20"/>
          <w:color w:val="auto"/>
        </w:rPr>
      </w:pPr>
    </w:p>
    <w:p>
      <w:pPr>
        <w:ind w:right="20" w:firstLine="454"/>
        <w:spacing w:after="0" w:line="286" w:lineRule="auto"/>
        <w:rPr>
          <w:sz w:val="20"/>
          <w:szCs w:val="20"/>
          <w:color w:val="auto"/>
        </w:rPr>
      </w:pPr>
      <w:r>
        <w:rPr>
          <w:rFonts w:ascii="Arial" w:cs="Arial" w:eastAsia="Arial" w:hAnsi="Arial"/>
          <w:sz w:val="16"/>
          <w:szCs w:val="16"/>
          <w:i w:val="1"/>
          <w:iCs w:val="1"/>
          <w:color w:val="auto"/>
        </w:rPr>
        <w:t xml:space="preserve">At-the-Market Offering Program. </w:t>
      </w:r>
      <w:r>
        <w:rPr>
          <w:rFonts w:ascii="Arial" w:cs="Arial" w:eastAsia="Arial" w:hAnsi="Arial"/>
          <w:sz w:val="16"/>
          <w:szCs w:val="16"/>
          <w:color w:val="auto"/>
        </w:rPr>
        <w:t>In February 2018, we commenced an at-the-market offering program, which allows us to sell and issue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from time-to-time. The at-the-market offering program was amended multiple times during 2018 to increase the available capacity under the at-the-market offering program by an aggregate of approximately $84.9 million. In August 2019, the at-the-market offering program was amended to increase the available capacity under the at-the-market offering program by $10.7 million. During the nine months ended September 30, 2019, we issued</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3,244,941 shares of common stock under the at-the-market offering program for gross proceeds of $9.9 million. We paid commissions and incurred other offering related expenses totaling $0.4 million during the nine months ended September 30, 2019. There were no shares issued during the three months ended September 30, 2019. As of September 30, 2019, we had capacity to issue up to $10.7 million of common stock under the at-the-market offering program.</w:t>
      </w:r>
    </w:p>
    <w:p>
      <w:pPr>
        <w:spacing w:after="0" w:line="155" w:lineRule="exact"/>
        <w:rPr>
          <w:sz w:val="20"/>
          <w:szCs w:val="20"/>
          <w:color w:val="auto"/>
        </w:rPr>
      </w:pPr>
    </w:p>
    <w:p>
      <w:pPr>
        <w:ind w:left="140" w:right="440" w:firstLine="324"/>
        <w:spacing w:after="0" w:line="277" w:lineRule="auto"/>
        <w:rPr>
          <w:sz w:val="20"/>
          <w:szCs w:val="20"/>
          <w:color w:val="auto"/>
        </w:rPr>
      </w:pPr>
      <w:r>
        <w:rPr>
          <w:rFonts w:ascii="Arial" w:cs="Arial" w:eastAsia="Arial" w:hAnsi="Arial"/>
          <w:sz w:val="18"/>
          <w:szCs w:val="18"/>
          <w:color w:val="auto"/>
        </w:rPr>
        <w:t>From October 1, 2019 to November 11, 2019, the Company issued 322,899 shares of common stock under the at-the-market offering program for gross proceeds of $0.9 million, net of $0.03 million of commissions and offering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w:t>
      </w:r>
    </w:p>
    <w:p>
      <w:pPr>
        <w:spacing w:after="0" w:line="225" w:lineRule="exact"/>
        <w:rPr>
          <w:sz w:val="20"/>
          <w:szCs w:val="20"/>
          <w:color w:val="auto"/>
        </w:rPr>
      </w:pPr>
    </w:p>
    <w:p>
      <w:pPr>
        <w:ind w:right="140" w:firstLine="454"/>
        <w:spacing w:after="0" w:line="271" w:lineRule="auto"/>
        <w:rPr>
          <w:sz w:val="20"/>
          <w:szCs w:val="20"/>
          <w:color w:val="auto"/>
        </w:rPr>
      </w:pPr>
      <w:r>
        <w:rPr>
          <w:rFonts w:ascii="Arial" w:cs="Arial" w:eastAsia="Arial" w:hAnsi="Arial"/>
          <w:sz w:val="17"/>
          <w:szCs w:val="17"/>
          <w:color w:val="auto"/>
        </w:rPr>
        <w:t>On April 19, 2017, we entered into an Exchange and Purchase Agreement (the “Purchase Agreement”) with WB Gevo, LTD (such holder, the “Holder”), and Whitebox Advisors LLC, in its capacity as representative of the Holder (“Whitebox”), the holder of our 12.0% convertible senior secured notes due 2017, which were cancelled in connection with the issuance of the 2020 Notes. Pursuant to the terms of the Purchase Agreement, the Holder, subject to certain conditions, including approval of the transaction by our stockholders (which was received on June 15, 2017), agreed to exchange all of the outstanding principal amount of the 2017 Notes for an equal principal amount of our newly created 2020 Notes, plus an amount in cash equal to the accrued and unpaid interest (other than interest paid in kind) on the 2017 Notes (the “Exchange”). On June 20, 2017, we cancelled the 2017 Notes. As of September 30, 2019 and December 31, 2018, the outstanding principal on the 2020 Notes, including PIK Interest (as defined and described below), was $13.9 million and $13.8 million, respectively.</w:t>
      </w:r>
    </w:p>
    <w:p>
      <w:pPr>
        <w:spacing w:after="0" w:line="179" w:lineRule="exact"/>
        <w:rPr>
          <w:sz w:val="20"/>
          <w:szCs w:val="20"/>
          <w:color w:val="auto"/>
        </w:rPr>
      </w:pPr>
    </w:p>
    <w:p>
      <w:pPr>
        <w:ind w:right="20" w:firstLine="454"/>
        <w:spacing w:after="0" w:line="257" w:lineRule="auto"/>
        <w:rPr>
          <w:sz w:val="20"/>
          <w:szCs w:val="20"/>
          <w:color w:val="auto"/>
        </w:rPr>
      </w:pPr>
      <w:r>
        <w:rPr>
          <w:rFonts w:ascii="Arial" w:cs="Arial" w:eastAsia="Arial" w:hAnsi="Arial"/>
          <w:sz w:val="18"/>
          <w:szCs w:val="18"/>
          <w:color w:val="auto"/>
        </w:rPr>
        <w:t>The 2020 Notes will mature on March 15, 2020. The 2020 Notes bear interest at 12% per annum (with 2% potentially payable as PIK Interest at our option), payable on March 31, June 30, September 30, and December 31 of each year. Under certain circumstances, we have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88"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The 2020 Notes are convertible into shares of our common stock, subject to certain terms and conditions. The initial conversion price of the 2020 Notes is $14.72 per share of common stock, or 0.0679 shares of common stock per $1 principal amount of 2020 Notes.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 of the 2020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454"/>
        <w:spacing w:after="0" w:line="257" w:lineRule="auto"/>
        <w:rPr>
          <w:sz w:val="20"/>
          <w:szCs w:val="20"/>
          <w:color w:val="auto"/>
        </w:rPr>
      </w:pPr>
      <w:r>
        <w:rPr>
          <w:rFonts w:ascii="Arial" w:cs="Arial" w:eastAsia="Arial" w:hAnsi="Arial"/>
          <w:sz w:val="18"/>
          <w:szCs w:val="18"/>
          <w:color w:val="auto"/>
        </w:rPr>
        <w:t>Except for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(see Note 4) there have been no significant changes to our critical accounting policies since December 31, 2018. See Note 1, </w:t>
      </w:r>
      <w:r>
        <w:rPr>
          <w:rFonts w:ascii="Arial" w:cs="Arial" w:eastAsia="Arial" w:hAnsi="Arial"/>
          <w:sz w:val="18"/>
          <w:szCs w:val="18"/>
          <w:i w:val="1"/>
          <w:iCs w:val="1"/>
          <w:color w:val="auto"/>
        </w:rPr>
        <w:t>Nature of Business, Financial Condition and Basis of Presentation,</w:t>
      </w:r>
      <w:r>
        <w:rPr>
          <w:rFonts w:ascii="Arial" w:cs="Arial" w:eastAsia="Arial" w:hAnsi="Arial"/>
          <w:sz w:val="18"/>
          <w:szCs w:val="18"/>
          <w:color w:val="auto"/>
        </w:rPr>
        <w:t xml:space="preserve"> to our consolidated financial statements included herein for a discussion of recently issued accounting pronouncements and their impact or future potential impact on our financial results, if determinable. For a description of critical accounting policies that affect our significant judgments and estimates used in the preparation of our consolidated financial statements, refer to our 2018 Annual Report.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20" w:firstLine="454"/>
        <w:spacing w:after="0" w:line="277" w:lineRule="auto"/>
        <w:rPr>
          <w:sz w:val="20"/>
          <w:szCs w:val="20"/>
          <w:color w:val="auto"/>
        </w:rPr>
      </w:pPr>
      <w:r>
        <w:rPr>
          <w:rFonts w:ascii="Arial" w:cs="Arial" w:eastAsia="Arial" w:hAnsi="Arial"/>
          <w:sz w:val="18"/>
          <w:szCs w:val="18"/>
          <w:color w:val="auto"/>
        </w:rPr>
        <w:t xml:space="preserve">As of September 30, 2019, we did not have any material off-balance sheet arrangements, except for operating lease obligations disclosed in Note 4, </w:t>
      </w:r>
      <w:r>
        <w:rPr>
          <w:rFonts w:ascii="Arial" w:cs="Arial" w:eastAsia="Arial" w:hAnsi="Arial"/>
          <w:sz w:val="18"/>
          <w:szCs w:val="18"/>
          <w:i w:val="1"/>
          <w:iCs w:val="1"/>
          <w:color w:val="auto"/>
        </w:rPr>
        <w:t xml:space="preserve">Leases, Right-to-Use Assets and Related Liabilities, </w:t>
      </w:r>
      <w:r>
        <w:rPr>
          <w:rFonts w:ascii="Arial" w:cs="Arial" w:eastAsia="Arial" w:hAnsi="Arial"/>
          <w:sz w:val="18"/>
          <w:szCs w:val="18"/>
          <w:color w:val="auto"/>
        </w:rPr>
        <w:t>and Note 12,</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454"/>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under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management, including our Chief Executive Officer and Principal Financial Officer, as appropriate, to allow timely decisions regarding required disclosures.</w:t>
      </w:r>
    </w:p>
    <w:p>
      <w:pPr>
        <w:spacing w:after="0" w:line="171" w:lineRule="exact"/>
        <w:rPr>
          <w:sz w:val="20"/>
          <w:szCs w:val="20"/>
          <w:color w:val="auto"/>
        </w:rPr>
      </w:pPr>
    </w:p>
    <w:p>
      <w:pPr>
        <w:ind w:firstLine="454"/>
        <w:spacing w:after="0" w:line="291" w:lineRule="auto"/>
        <w:rPr>
          <w:sz w:val="20"/>
          <w:szCs w:val="20"/>
          <w:color w:val="auto"/>
        </w:rPr>
      </w:pPr>
      <w:r>
        <w:rPr>
          <w:rFonts w:ascii="Arial" w:cs="Arial" w:eastAsia="Arial" w:hAnsi="Arial"/>
          <w:sz w:val="16"/>
          <w:szCs w:val="16"/>
          <w:color w:val="auto"/>
        </w:rPr>
        <w:t>We conducted an evaluation (pursuant to Rule 13a-15(b)), under the supervision and with the participation of management, including our Chief Executive Officer and Principal Financial Officer, of the effectiveness of our disclosure controls and procedures as of the end of the period covered by this report. Based on this evaluation, our Chief Executive Officer and Principal Financial Officer concluded that our disclosure controls and procedures were effective as of September 30, 2019.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54"/>
        <w:spacing w:after="0" w:line="259" w:lineRule="auto"/>
        <w:rPr>
          <w:sz w:val="20"/>
          <w:szCs w:val="20"/>
          <w:color w:val="auto"/>
        </w:rPr>
      </w:pPr>
      <w:r>
        <w:rPr>
          <w:rFonts w:ascii="Arial" w:cs="Arial" w:eastAsia="Arial" w:hAnsi="Arial"/>
          <w:sz w:val="18"/>
          <w:szCs w:val="18"/>
          <w:color w:val="auto"/>
        </w:rPr>
        <w:t>You should carefully consider the risk factors discussed in Part I, Item 1A. “Risk Factors” in our Annual Report, which could materially affect our business, financial condition, cash flows or future results.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ind w:left="440"/>
              <w:spacing w:after="0"/>
              <w:rPr>
                <w:sz w:val="20"/>
                <w:szCs w:val="20"/>
                <w:color w:val="auto"/>
              </w:rPr>
            </w:pPr>
            <w:r>
              <w:rPr>
                <w:rFonts w:ascii="Arial" w:cs="Arial" w:eastAsia="Arial" w:hAnsi="Arial"/>
                <w:sz w:val="18"/>
                <w:szCs w:val="18"/>
                <w:i w:val="1"/>
                <w:iCs w:val="1"/>
                <w:color w:val="auto"/>
              </w:rPr>
              <w:t>Issuer Purchases of Equity Securities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Average Price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Paid per Share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July 1, 2019 - July 31, 2019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August 1, 2019 - August 31, 2019</w:t>
            </w:r>
          </w:p>
        </w:tc>
        <w:tc>
          <w:tcPr>
            <w:tcW w:w="1360" w:type="dxa"/>
            <w:vAlign w:val="bottom"/>
          </w:tcPr>
          <w:p>
            <w:pPr>
              <w:jc w:val="right"/>
              <w:spacing w:after="0"/>
              <w:rPr>
                <w:sz w:val="20"/>
                <w:szCs w:val="20"/>
                <w:color w:val="auto"/>
              </w:rPr>
            </w:pPr>
            <w:r>
              <w:rPr>
                <w:rFonts w:ascii="Arial" w:cs="Arial" w:eastAsia="Arial" w:hAnsi="Arial"/>
                <w:sz w:val="18"/>
                <w:szCs w:val="18"/>
                <w:color w:val="auto"/>
              </w:rPr>
              <w:t>79,790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79,790</w:t>
            </w: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2019 - September 30, 2019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79,790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79,790</w:t>
            </w:r>
          </w:p>
        </w:tc>
        <w:tc>
          <w:tcPr>
            <w:tcW w:w="1420" w:type="dxa"/>
            <w:vAlign w:val="bottom"/>
          </w:tcPr>
          <w:p>
            <w:pPr>
              <w:ind w:left="1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8"/>
        <w:spacing w:after="0" w:line="259"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permit “withhold to cover” as a tax payment method for vesting of restricted stock awards issued under our Amended and Restated 2010 Stock Incentive Plan for our employees, pursuant to which, we withheld from employees the shares noted in the table above to cover tax withholding related to the vesting of their awards. The average prices listed in the above table are averages of the fair market prices at which we valued shares withheld for purposes of calculating the number of shares to be withheld.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9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Included</w:t>
            </w:r>
          </w:p>
        </w:tc>
      </w:tr>
      <w:tr>
        <w:trPr>
          <w:trHeight w:val="251"/>
        </w:trPr>
        <w:tc>
          <w:tcPr>
            <w:tcW w:w="1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Herewith</w:t>
            </w:r>
          </w:p>
        </w:tc>
      </w:tr>
      <w:tr>
        <w:trPr>
          <w:trHeight w:val="190"/>
        </w:trPr>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160"/>
              <w:spacing w:after="0" w:line="189" w:lineRule="exact"/>
              <w:rPr>
                <w:sz w:val="20"/>
                <w:szCs w:val="20"/>
                <w:color w:val="auto"/>
              </w:rPr>
            </w:pPr>
            <w:r>
              <w:rPr>
                <w:rFonts w:ascii="Arial" w:cs="Arial" w:eastAsia="Arial" w:hAnsi="Arial"/>
                <w:sz w:val="18"/>
                <w:szCs w:val="18"/>
                <w:b w:val="1"/>
                <w:bCs w:val="1"/>
                <w:color w:val="auto"/>
              </w:rPr>
              <w:t>File No.</w:t>
            </w:r>
          </w:p>
        </w:tc>
        <w:tc>
          <w:tcPr>
            <w:tcW w:w="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Filing Date</w:t>
            </w:r>
          </w:p>
        </w:tc>
        <w:tc>
          <w:tcPr>
            <w:tcW w:w="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r>
      <w:tr>
        <w:trPr>
          <w:trHeight w:val="172"/>
        </w:trPr>
        <w:tc>
          <w:tcPr>
            <w:tcW w:w="34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340" w:type="dxa"/>
            <w:vAlign w:val="bottom"/>
            <w:tcBorders>
              <w:bottom w:val="single" w:sz="8" w:color="0000EE"/>
            </w:tcBorders>
            <w:gridSpan w:val="5"/>
          </w:tcPr>
          <w:p>
            <w:pPr>
              <w:spacing w:after="0" w:line="172"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Amended and Restated Certificate of Incorporation of Gevo,</w:t>
              </w:r>
            </w:hyperlink>
          </w:p>
        </w:tc>
        <w:tc>
          <w:tcPr>
            <w:tcW w:w="300" w:type="dxa"/>
            <w:vAlign w:val="bottom"/>
            <w:tcBorders>
              <w:right w:val="single" w:sz="8" w:color="auto"/>
            </w:tcBorders>
            <w:gridSpan w:val="2"/>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March 29, 2011</w:t>
            </w: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87"/>
              </w:rPr>
              <w:t>3.2</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7"/>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10, 2013</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9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87"/>
              </w:rPr>
              <w:t>3.3</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7"/>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July 9, 2014</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9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87"/>
              </w:rPr>
              <w:t>3.4</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7"/>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April 22, 2015</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9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87"/>
              </w:rPr>
              <w:t>3.5</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7"/>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January 6, 2017</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900" w:type="dxa"/>
            <w:vAlign w:val="bottom"/>
            <w:tcBorders>
              <w:top w:val="single" w:sz="8" w:color="0000EE"/>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r>
      <w:tr>
        <w:trPr>
          <w:trHeight w:val="150"/>
        </w:trPr>
        <w:tc>
          <w:tcPr>
            <w:tcW w:w="3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gridSpan w:val="7"/>
          </w:tcPr>
          <w:p>
            <w:pPr>
              <w:spacing w:after="0" w:line="150" w:lineRule="exact"/>
              <w:rPr>
                <w:rFonts w:ascii="Arial" w:cs="Arial" w:eastAsia="Arial" w:hAnsi="Arial"/>
                <w:sz w:val="17"/>
                <w:szCs w:val="17"/>
                <w:color w:val="0000EE"/>
                <w:w w:val="96"/>
              </w:rPr>
            </w:pPr>
            <w:hyperlink r:id="rId58">
              <w:r>
                <w:rPr>
                  <w:rFonts w:ascii="Arial" w:cs="Arial" w:eastAsia="Arial" w:hAnsi="Arial"/>
                  <w:sz w:val="17"/>
                  <w:szCs w:val="17"/>
                  <w:color w:val="0000EE"/>
                  <w:w w:val="96"/>
                </w:rPr>
                <w:t>Certificate of Amendment to Amended and Restated Certificate</w:t>
              </w:r>
            </w:hyperlink>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001-35073</w:t>
            </w:r>
          </w:p>
        </w:tc>
        <w:tc>
          <w:tcPr>
            <w:tcW w:w="6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3"/>
              </w:rPr>
              <w:t>June 4, 2018</w:t>
            </w:r>
          </w:p>
        </w:tc>
        <w:tc>
          <w:tcPr>
            <w:tcW w:w="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2"/>
              </w:rPr>
              <w:t>3.1</w:t>
            </w:r>
          </w:p>
        </w:tc>
        <w:tc>
          <w:tcPr>
            <w:tcW w:w="1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87"/>
              </w:rPr>
              <w:t>3.6</w:t>
            </w: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9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87"/>
              </w:rPr>
              <w:t>3.7</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7"/>
          </w:tcPr>
          <w:p>
            <w:pPr>
              <w:spacing w:after="0"/>
              <w:rPr>
                <w:rFonts w:ascii="Arial" w:cs="Arial" w:eastAsia="Arial" w:hAnsi="Arial"/>
                <w:sz w:val="18"/>
                <w:szCs w:val="18"/>
                <w:color w:val="0000EE"/>
              </w:rPr>
            </w:pPr>
            <w:hyperlink r:id="rId59">
              <w:r>
                <w:rPr>
                  <w:rFonts w:ascii="Arial" w:cs="Arial" w:eastAsia="Arial" w:hAnsi="Arial"/>
                  <w:sz w:val="18"/>
                  <w:szCs w:val="18"/>
                  <w:color w:val="0000EE"/>
                </w:rPr>
                <w:t>Amended and Restated Bylaws of Gevo, Inc.</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March 29, 2011</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9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7"/>
          </w:tcPr>
          <w:p>
            <w:pPr>
              <w:spacing w:after="0"/>
              <w:rPr>
                <w:rFonts w:ascii="Arial" w:cs="Arial" w:eastAsia="Arial" w:hAnsi="Arial"/>
                <w:sz w:val="18"/>
                <w:szCs w:val="18"/>
                <w:color w:val="0000EE"/>
              </w:rPr>
            </w:pPr>
            <w:hyperlink r:id="rId60">
              <w:r>
                <w:rPr>
                  <w:rFonts w:ascii="Arial" w:cs="Arial" w:eastAsia="Arial" w:hAnsi="Arial"/>
                  <w:sz w:val="18"/>
                  <w:szCs w:val="18"/>
                  <w:color w:val="0000EE"/>
                </w:rPr>
                <w:t>Form of the Gevo, Inc. Common Stock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January 19, 2011</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9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18" w:right="239" w:bottom="1440" w:gutter="0" w:footer="0" w:header="0"/>
        </w:sect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Filed</w:t>
            </w:r>
          </w:p>
        </w:tc>
      </w:tr>
      <w:tr>
        <w:trPr>
          <w:trHeight w:val="251"/>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20"/>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8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3"/>
        </w:trPr>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7"/>
              </w:rPr>
              <w:t>Form</w:t>
            </w:r>
          </w:p>
        </w:tc>
        <w:tc>
          <w:tcPr>
            <w:tcW w:w="12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160"/>
              <w:spacing w:after="0" w:line="193" w:lineRule="exact"/>
              <w:rPr>
                <w:sz w:val="20"/>
                <w:szCs w:val="20"/>
                <w:color w:val="auto"/>
              </w:rPr>
            </w:pPr>
            <w:r>
              <w:rPr>
                <w:rFonts w:ascii="Arial" w:cs="Arial" w:eastAsia="Arial" w:hAnsi="Arial"/>
                <w:sz w:val="18"/>
                <w:szCs w:val="18"/>
                <w:b w:val="1"/>
                <w:bCs w:val="1"/>
                <w:color w:val="auto"/>
              </w:rPr>
              <w:t>File No.</w:t>
            </w:r>
          </w:p>
        </w:tc>
        <w:tc>
          <w:tcPr>
            <w:tcW w:w="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center"/>
              <w:ind w:right="30"/>
              <w:spacing w:after="0" w:line="193" w:lineRule="exact"/>
              <w:rPr>
                <w:sz w:val="20"/>
                <w:szCs w:val="20"/>
                <w:color w:val="auto"/>
              </w:rPr>
            </w:pPr>
            <w:r>
              <w:rPr>
                <w:rFonts w:ascii="Arial" w:cs="Arial" w:eastAsia="Arial" w:hAnsi="Arial"/>
                <w:sz w:val="18"/>
                <w:szCs w:val="18"/>
                <w:b w:val="1"/>
                <w:bCs w:val="1"/>
                <w:color w:val="auto"/>
                <w:w w:val="91"/>
              </w:rPr>
              <w:t>Filing Date</w:t>
            </w:r>
          </w:p>
        </w:tc>
        <w:tc>
          <w:tcPr>
            <w:tcW w:w="8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6"/>
              </w:rPr>
              <w:t>Exhibit</w:t>
            </w:r>
          </w:p>
        </w:tc>
        <w:tc>
          <w:tcPr>
            <w:tcW w:w="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180" w:type="dxa"/>
            <w:vAlign w:val="bottom"/>
            <w:tcBorders>
              <w:bottom w:val="single" w:sz="8" w:color="0000EE"/>
            </w:tcBorders>
            <w:gridSpan w:val="10"/>
          </w:tcPr>
          <w:p>
            <w:pPr>
              <w:spacing w:after="0" w:line="170"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Fifth Amended and Restated Investors’ Rights Agreement,</w:t>
              </w:r>
            </w:hyperlink>
          </w:p>
        </w:tc>
        <w:tc>
          <w:tcPr>
            <w:tcW w:w="460" w:type="dxa"/>
            <w:vAlign w:val="bottom"/>
            <w:tcBorders>
              <w:right w:val="single" w:sz="8" w:color="auto"/>
            </w:tcBorders>
            <w:gridSpan w:val="10"/>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S-1</w:t>
            </w:r>
          </w:p>
        </w:tc>
        <w:tc>
          <w:tcPr>
            <w:tcW w:w="1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91"/>
              </w:rPr>
              <w:t>August 12, 2010</w:t>
            </w:r>
          </w:p>
        </w:tc>
        <w:tc>
          <w:tcPr>
            <w:tcW w:w="80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4.2</w:t>
            </w: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4.2</w:t>
            </w: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dated March 26, 2010</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20"/>
          </w:tcPr>
          <w:p>
            <w:pPr>
              <w:spacing w:after="0" w:line="170"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Stock Issuance and Stockholders’ Rights Agreement, dated July</w:t>
              </w:r>
            </w:hyperlink>
          </w:p>
        </w:tc>
        <w:tc>
          <w:tcPr>
            <w:tcW w:w="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4.3 †</w:t>
            </w: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12, 2005, by and between Gevo, Inc. and California Institute of</w:t>
              </w:r>
            </w:hyperlink>
          </w:p>
        </w:tc>
        <w:tc>
          <w:tcPr>
            <w:tcW w:w="20" w:type="dxa"/>
            <w:vAlign w:val="bottom"/>
            <w:tcBorders>
              <w:top w:val="single" w:sz="8" w:color="0000EE"/>
            </w:tcBorders>
          </w:tcPr>
          <w:p>
            <w:pPr>
              <w:spacing w:after="0"/>
              <w:rPr>
                <w:sz w:val="17"/>
                <w:szCs w:val="17"/>
                <w:color w:val="auto"/>
              </w:rPr>
            </w:pPr>
          </w:p>
        </w:tc>
        <w:tc>
          <w:tcPr>
            <w:tcW w:w="100" w:type="dxa"/>
            <w:vAlign w:val="bottom"/>
            <w:tcBorders>
              <w:right w:val="single" w:sz="8" w:color="auto"/>
            </w:tcBorders>
            <w:gridSpan w:val="3"/>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ind w:right="30"/>
              <w:spacing w:after="0" w:line="196" w:lineRule="exact"/>
              <w:rPr>
                <w:sz w:val="20"/>
                <w:szCs w:val="20"/>
                <w:color w:val="auto"/>
              </w:rPr>
            </w:pPr>
            <w:r>
              <w:rPr>
                <w:rFonts w:ascii="Arial" w:cs="Arial" w:eastAsia="Arial" w:hAnsi="Arial"/>
                <w:sz w:val="18"/>
                <w:szCs w:val="18"/>
                <w:color w:val="auto"/>
                <w:w w:val="91"/>
              </w:rPr>
              <w:t>August 12, 2010</w:t>
            </w:r>
          </w:p>
        </w:tc>
        <w:tc>
          <w:tcPr>
            <w:tcW w:w="8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4.3</w:t>
            </w: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Technology</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w:t>
            </w:r>
          </w:p>
        </w:tc>
        <w:tc>
          <w:tcPr>
            <w:tcW w:w="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0"/>
          </w:tcPr>
          <w:p>
            <w:pPr>
              <w:spacing w:after="0"/>
              <w:rPr>
                <w:rFonts w:ascii="Arial" w:cs="Arial" w:eastAsia="Arial" w:hAnsi="Arial"/>
                <w:sz w:val="18"/>
                <w:szCs w:val="18"/>
                <w:color w:val="0000EE"/>
                <w:w w:val="94"/>
              </w:rPr>
            </w:pPr>
            <w:hyperlink r:id="rId64">
              <w:r>
                <w:rPr>
                  <w:rFonts w:ascii="Arial" w:cs="Arial" w:eastAsia="Arial" w:hAnsi="Arial"/>
                  <w:sz w:val="18"/>
                  <w:szCs w:val="18"/>
                  <w:color w:val="0000EE"/>
                  <w:w w:val="94"/>
                </w:rPr>
                <w:t>Exchange and Purchase Agreement, dated April 19, 2017, by</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April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right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and among Gevo, Inc., the guarantors party thereto, the holders</w:t>
              </w:r>
            </w:hyperlink>
          </w:p>
        </w:tc>
        <w:tc>
          <w:tcPr>
            <w:tcW w:w="140" w:type="dxa"/>
            <w:vAlign w:val="bottom"/>
            <w:tcBorders>
              <w:right w:val="single" w:sz="8" w:color="auto"/>
            </w:tcBorders>
            <w:gridSpan w:val="5"/>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0"/>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named in Schedule I thereto, and Whitebox Advisors LLC, in its</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capacity as representative of the holders.</w:t>
              </w:r>
            </w:hyperlink>
          </w:p>
        </w:tc>
        <w:tc>
          <w:tcPr>
            <w:tcW w:w="60" w:type="dxa"/>
            <w:vAlign w:val="bottom"/>
            <w:tcBorders>
              <w:right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w:t>
            </w:r>
          </w:p>
        </w:tc>
        <w:tc>
          <w:tcPr>
            <w:tcW w:w="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0"/>
          </w:tcPr>
          <w:p>
            <w:pPr>
              <w:spacing w:after="0"/>
              <w:rPr>
                <w:rFonts w:ascii="Arial" w:cs="Arial" w:eastAsia="Arial" w:hAnsi="Arial"/>
                <w:sz w:val="18"/>
                <w:szCs w:val="18"/>
                <w:color w:val="auto"/>
                <w:w w:val="92"/>
              </w:rPr>
            </w:pPr>
            <w:hyperlink r:id="rId65">
              <w:r>
                <w:rPr>
                  <w:rFonts w:ascii="Arial" w:cs="Arial" w:eastAsia="Arial" w:hAnsi="Arial"/>
                  <w:sz w:val="18"/>
                  <w:szCs w:val="18"/>
                  <w:color w:val="auto"/>
                  <w:w w:val="92"/>
                </w:rPr>
                <w:t>I</w:t>
              </w:r>
              <w:r>
                <w:rPr>
                  <w:rFonts w:ascii="Arial" w:cs="Arial" w:eastAsia="Arial" w:hAnsi="Arial"/>
                  <w:sz w:val="18"/>
                  <w:szCs w:val="18"/>
                  <w:color w:val="0000EE"/>
                  <w:w w:val="92"/>
                </w:rPr>
                <w:t>ndenture, dated June 20, 2017, by and among Gevo, Inc., the</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0"/>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guarantors party thereto, and Wilmington Savings Fund Society,</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FSB, as trustee and collateral trustee.</w:t>
              </w:r>
            </w:hyperlink>
          </w:p>
        </w:tc>
        <w:tc>
          <w:tcPr>
            <w:tcW w:w="80" w:type="dxa"/>
            <w:vAlign w:val="bottom"/>
            <w:tcBorders>
              <w:right w:val="single" w:sz="8" w:color="auto"/>
            </w:tcBorders>
            <w:gridSpan w:val="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w:t>
            </w:r>
          </w:p>
        </w:tc>
        <w:tc>
          <w:tcPr>
            <w:tcW w:w="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0"/>
          </w:tcPr>
          <w:p>
            <w:pPr>
              <w:spacing w:after="0"/>
              <w:rPr>
                <w:rFonts w:ascii="Arial" w:cs="Arial" w:eastAsia="Arial" w:hAnsi="Arial"/>
                <w:sz w:val="18"/>
                <w:szCs w:val="18"/>
                <w:color w:val="0000EE"/>
                <w:w w:val="95"/>
              </w:rPr>
            </w:pPr>
            <w:hyperlink r:id="rId66">
              <w:r>
                <w:rPr>
                  <w:rFonts w:ascii="Arial" w:cs="Arial" w:eastAsia="Arial" w:hAnsi="Arial"/>
                  <w:sz w:val="18"/>
                  <w:szCs w:val="18"/>
                  <w:color w:val="0000EE"/>
                  <w:w w:val="95"/>
                </w:rPr>
                <w:t>Registration Rights Agreement, dated June 20, 2017, by and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among Gevo, Inc. and the investors named therein.</w:t>
              </w:r>
            </w:hyperlink>
          </w:p>
        </w:tc>
        <w:tc>
          <w:tcPr>
            <w:tcW w:w="300" w:type="dxa"/>
            <w:vAlign w:val="bottom"/>
            <w:tcBorders>
              <w:right w:val="single" w:sz="8" w:color="auto"/>
            </w:tcBorders>
            <w:gridSpan w:val="8"/>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4.7</w:t>
            </w:r>
          </w:p>
        </w:tc>
        <w:tc>
          <w:tcPr>
            <w:tcW w:w="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440" w:type="dxa"/>
            <w:vAlign w:val="bottom"/>
            <w:tcBorders>
              <w:bottom w:val="single" w:sz="8" w:color="0000EE"/>
            </w:tcBorders>
            <w:gridSpan w:val="14"/>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2015 Common Stock Unit Series A Warrant Agreement, dated</w:t>
              </w:r>
            </w:hyperlink>
          </w:p>
        </w:tc>
        <w:tc>
          <w:tcPr>
            <w:tcW w:w="200" w:type="dxa"/>
            <w:vAlign w:val="bottom"/>
            <w:tcBorders>
              <w:right w:val="single" w:sz="8" w:color="auto"/>
            </w:tcBorders>
            <w:gridSpan w:val="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February 4,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February 3, 2015, by and between Gevo, Inc. and the American</w:t>
              </w:r>
            </w:hyperlink>
          </w:p>
        </w:tc>
        <w:tc>
          <w:tcPr>
            <w:tcW w:w="120" w:type="dxa"/>
            <w:vAlign w:val="bottom"/>
            <w:tcBorders>
              <w:right w:val="single" w:sz="8" w:color="auto"/>
            </w:tcBorders>
            <w:gridSpan w:val="4"/>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Stock Transfer &amp; Trust Company, LLC.</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w:t>
            </w:r>
          </w:p>
        </w:tc>
        <w:tc>
          <w:tcPr>
            <w:tcW w:w="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0"/>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2015 Common Stock Unit Series C Warrant Agreement, dated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May 20,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420" w:type="dxa"/>
            <w:vAlign w:val="bottom"/>
            <w:tcBorders>
              <w:top w:val="single" w:sz="8" w:color="0000EE"/>
            </w:tcBorders>
            <w:gridSpan w:val="13"/>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May 19, 2015 by and between Gevo, Inc. and the American</w:t>
              </w:r>
            </w:hyperlink>
          </w:p>
        </w:tc>
        <w:tc>
          <w:tcPr>
            <w:tcW w:w="220" w:type="dxa"/>
            <w:vAlign w:val="bottom"/>
            <w:tcBorders>
              <w:right w:val="single" w:sz="8" w:color="auto"/>
            </w:tcBorders>
            <w:gridSpan w:val="7"/>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2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Stock Transfer &amp; Trust Company LLC.</w:t>
              </w:r>
            </w:hyperlink>
          </w:p>
        </w:tc>
        <w:tc>
          <w:tcPr>
            <w:tcW w:w="400" w:type="dxa"/>
            <w:vAlign w:val="bottom"/>
            <w:tcBorders>
              <w:right w:val="single" w:sz="8" w:color="auto"/>
            </w:tcBorders>
            <w:gridSpan w:val="9"/>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w:t>
            </w:r>
          </w:p>
        </w:tc>
        <w:tc>
          <w:tcPr>
            <w:tcW w:w="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0"/>
          </w:tcPr>
          <w:p>
            <w:pPr>
              <w:spacing w:after="0"/>
              <w:rPr>
                <w:rFonts w:ascii="Arial" w:cs="Arial" w:eastAsia="Arial" w:hAnsi="Arial"/>
                <w:sz w:val="18"/>
                <w:szCs w:val="18"/>
                <w:color w:val="0000EE"/>
              </w:rPr>
            </w:pPr>
            <w:hyperlink r:id="rId69">
              <w:r>
                <w:rPr>
                  <w:rFonts w:ascii="Arial" w:cs="Arial" w:eastAsia="Arial" w:hAnsi="Arial"/>
                  <w:sz w:val="18"/>
                  <w:szCs w:val="18"/>
                  <w:color w:val="0000EE"/>
                </w:rPr>
                <w:t>Form of Series D Warrant to Purchase Common Stock.</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December 15,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4.10</w:t>
            </w:r>
          </w:p>
        </w:tc>
        <w:tc>
          <w:tcPr>
            <w:tcW w:w="8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0"/>
          </w:tcPr>
          <w:p>
            <w:pPr>
              <w:spacing w:after="0"/>
              <w:rPr>
                <w:rFonts w:ascii="Arial" w:cs="Arial" w:eastAsia="Arial" w:hAnsi="Arial"/>
                <w:sz w:val="18"/>
                <w:szCs w:val="18"/>
                <w:color w:val="0000EE"/>
              </w:rPr>
            </w:pPr>
            <w:hyperlink r:id="rId70">
              <w:r>
                <w:rPr>
                  <w:rFonts w:ascii="Arial" w:cs="Arial" w:eastAsia="Arial" w:hAnsi="Arial"/>
                  <w:sz w:val="18"/>
                  <w:szCs w:val="18"/>
                  <w:color w:val="0000EE"/>
                </w:rPr>
                <w:t>Form of Amendment No. 1 to Series D Warrant</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13, 2016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20" w:type="dxa"/>
            <w:vAlign w:val="bottom"/>
            <w:gridSpan w:val="15"/>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Filed</w:t>
            </w:r>
          </w:p>
        </w:tc>
      </w:tr>
      <w:tr>
        <w:trPr>
          <w:trHeight w:val="251"/>
        </w:trPr>
        <w:tc>
          <w:tcPr>
            <w:tcW w:w="1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7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92"/>
              </w:rPr>
              <w:t>File No.</w:t>
            </w:r>
          </w:p>
        </w:tc>
        <w:tc>
          <w:tcPr>
            <w:tcW w:w="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91"/>
              </w:rPr>
              <w:t>Filing Date</w:t>
            </w:r>
          </w:p>
        </w:tc>
        <w:tc>
          <w:tcPr>
            <w:tcW w:w="780" w:type="dxa"/>
            <w:vAlign w:val="bottom"/>
            <w:tcBorders>
              <w:bottom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b w:val="1"/>
                <w:bCs w:val="1"/>
                <w:color w:val="auto"/>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388"/>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4.11</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5"/>
          </w:tcPr>
          <w:p>
            <w:pPr>
              <w:spacing w:after="0"/>
              <w:rPr>
                <w:rFonts w:ascii="Arial" w:cs="Arial" w:eastAsia="Arial" w:hAnsi="Arial"/>
                <w:sz w:val="18"/>
                <w:szCs w:val="18"/>
                <w:color w:val="0000EE"/>
              </w:rPr>
            </w:pPr>
            <w:hyperlink r:id="rId71">
              <w:r>
                <w:rPr>
                  <w:rFonts w:ascii="Arial" w:cs="Arial" w:eastAsia="Arial" w:hAnsi="Arial"/>
                  <w:sz w:val="18"/>
                  <w:szCs w:val="18"/>
                  <w:color w:val="0000EE"/>
                </w:rPr>
                <w:t>Form of Series F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4"/>
              </w:rPr>
              <w:t>April 5, 2016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4.12</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5"/>
          </w:tcPr>
          <w:p>
            <w:pPr>
              <w:spacing w:after="0"/>
              <w:rPr>
                <w:rFonts w:ascii="Arial" w:cs="Arial" w:eastAsia="Arial" w:hAnsi="Arial"/>
                <w:sz w:val="18"/>
                <w:szCs w:val="18"/>
                <w:color w:val="0000EE"/>
              </w:rPr>
            </w:pPr>
            <w:hyperlink r:id="rId72">
              <w:r>
                <w:rPr>
                  <w:rFonts w:ascii="Arial" w:cs="Arial" w:eastAsia="Arial" w:hAnsi="Arial"/>
                  <w:sz w:val="18"/>
                  <w:szCs w:val="18"/>
                  <w:color w:val="0000EE"/>
                </w:rPr>
                <w:t>Form of Series I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September 15, 2016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4.13</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5"/>
          </w:tcPr>
          <w:p>
            <w:pPr>
              <w:spacing w:after="0"/>
              <w:rPr>
                <w:rFonts w:ascii="Arial" w:cs="Arial" w:eastAsia="Arial" w:hAnsi="Arial"/>
                <w:sz w:val="18"/>
                <w:szCs w:val="18"/>
                <w:color w:val="0000EE"/>
              </w:rPr>
            </w:pPr>
            <w:hyperlink r:id="rId73">
              <w:r>
                <w:rPr>
                  <w:rFonts w:ascii="Arial" w:cs="Arial" w:eastAsia="Arial" w:hAnsi="Arial"/>
                  <w:sz w:val="18"/>
                  <w:szCs w:val="18"/>
                  <w:color w:val="0000EE"/>
                </w:rPr>
                <w:t>Form of Series K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February 22, 2017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10.1 #</w:t>
            </w: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5"/>
          </w:tcPr>
          <w:p>
            <w:pPr>
              <w:spacing w:after="0" w:line="170"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Offer Letter, dated July 20, 2019, by and between Gevo, Inc.</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X</w:t>
            </w: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and Carolyn Romero</w:t>
              </w:r>
            </w:hyperlink>
          </w:p>
        </w:tc>
        <w:tc>
          <w:tcPr>
            <w:tcW w:w="300" w:type="dxa"/>
            <w:vAlign w:val="bottom"/>
            <w:tcBorders>
              <w:right w:val="single" w:sz="8" w:color="auto"/>
            </w:tcBorders>
            <w:gridSpan w:val="4"/>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10.2 +</w:t>
            </w: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5"/>
          </w:tcPr>
          <w:p>
            <w:pPr>
              <w:spacing w:after="0" w:line="170"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Renewable ATJ Purchase and Sale Agreement, effective July</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91"/>
              </w:rPr>
              <w:t>August 13, 2019</w:t>
            </w:r>
          </w:p>
        </w:tc>
        <w:tc>
          <w:tcPr>
            <w:tcW w:w="78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5"/>
          </w:tcPr>
          <w:p>
            <w:pPr>
              <w:spacing w:after="0" w:line="19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26, 2019, between Gevo, Inc. and Air Total International, S.A.</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10.3</w:t>
            </w: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5"/>
          </w:tcPr>
          <w:p>
            <w:pPr>
              <w:spacing w:after="0" w:line="170" w:lineRule="exact"/>
              <w:rPr>
                <w:rFonts w:ascii="Arial" w:cs="Arial" w:eastAsia="Arial" w:hAnsi="Arial"/>
                <w:sz w:val="18"/>
                <w:szCs w:val="18"/>
                <w:color w:val="0000EE"/>
              </w:rPr>
            </w:pPr>
            <w:hyperlink r:id="rId75">
              <w:r>
                <w:rPr>
                  <w:rFonts w:ascii="Arial" w:cs="Arial" w:eastAsia="Arial" w:hAnsi="Arial"/>
                  <w:sz w:val="18"/>
                  <w:szCs w:val="18"/>
                  <w:color w:val="0000EE"/>
                </w:rPr>
                <w:t>Amendment to At-The-Market Offering Agreement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91"/>
              </w:rPr>
              <w:t>August 15, 2019</w:t>
            </w:r>
          </w:p>
        </w:tc>
        <w:tc>
          <w:tcPr>
            <w:tcW w:w="78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1.5</w:t>
            </w: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5"/>
          </w:tcPr>
          <w:p>
            <w:pPr>
              <w:spacing w:after="0" w:line="196" w:lineRule="exact"/>
              <w:rPr>
                <w:rFonts w:ascii="Arial" w:cs="Arial" w:eastAsia="Arial" w:hAnsi="Arial"/>
                <w:sz w:val="18"/>
                <w:szCs w:val="18"/>
                <w:color w:val="0000EE"/>
                <w:w w:val="99"/>
              </w:rPr>
            </w:pPr>
            <w:hyperlink r:id="rId75">
              <w:r>
                <w:rPr>
                  <w:rFonts w:ascii="Arial" w:cs="Arial" w:eastAsia="Arial" w:hAnsi="Arial"/>
                  <w:sz w:val="18"/>
                  <w:szCs w:val="18"/>
                  <w:color w:val="0000EE"/>
                  <w:w w:val="99"/>
                </w:rPr>
                <w:t>Engagement Agreement, dated August 15, 2019, between</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Gevo, Inc. and H.C. Wainwright &amp; Co., LLC</w:t>
              </w:r>
            </w:hyperlink>
          </w:p>
        </w:tc>
        <w:tc>
          <w:tcPr>
            <w:tcW w:w="520" w:type="dxa"/>
            <w:vAlign w:val="bottom"/>
            <w:tcBorders>
              <w:right w:val="single" w:sz="8" w:color="auto"/>
            </w:tcBorders>
            <w:gridSpan w:val="7"/>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412"/>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5"/>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Section 302 Certification of the Principal Executive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31.2</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302 Certification of the Principal Financial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5"/>
          </w:tcPr>
          <w:p>
            <w:pPr>
              <w:spacing w:after="0" w:line="170"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Section 906 Certification of the Principal Executive Officer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Principal Financial Officer. **</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412"/>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5"/>
          </w:tcPr>
          <w:p>
            <w:pPr>
              <w:spacing w:after="0"/>
              <w:rPr>
                <w:sz w:val="20"/>
                <w:szCs w:val="20"/>
                <w:color w:val="auto"/>
              </w:rPr>
            </w:pPr>
            <w:r>
              <w:rPr>
                <w:rFonts w:ascii="Arial" w:cs="Arial" w:eastAsia="Arial" w:hAnsi="Arial"/>
                <w:sz w:val="18"/>
                <w:szCs w:val="18"/>
                <w:color w:val="auto"/>
                <w:w w:val="93"/>
              </w:rPr>
              <w:t>Financial statements from the Quarterly Report on Form 10-Q</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5"/>
          </w:tcPr>
          <w:p>
            <w:pPr>
              <w:spacing w:after="0"/>
              <w:rPr>
                <w:sz w:val="20"/>
                <w:szCs w:val="20"/>
                <w:color w:val="auto"/>
              </w:rPr>
            </w:pPr>
            <w:r>
              <w:rPr>
                <w:rFonts w:ascii="Arial" w:cs="Arial" w:eastAsia="Arial" w:hAnsi="Arial"/>
                <w:sz w:val="18"/>
                <w:szCs w:val="18"/>
                <w:color w:val="auto"/>
                <w:w w:val="98"/>
              </w:rPr>
              <w:t>of Gevo, Inc. for the quarterly period ended September 30,</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5"/>
          </w:tcPr>
          <w:p>
            <w:pPr>
              <w:spacing w:after="0"/>
              <w:rPr>
                <w:sz w:val="20"/>
                <w:szCs w:val="20"/>
                <w:color w:val="auto"/>
              </w:rPr>
            </w:pPr>
            <w:r>
              <w:rPr>
                <w:rFonts w:ascii="Arial" w:cs="Arial" w:eastAsia="Arial" w:hAnsi="Arial"/>
                <w:sz w:val="18"/>
                <w:szCs w:val="18"/>
                <w:color w:val="auto"/>
                <w:w w:val="92"/>
              </w:rPr>
              <w:t>2019, formatted in XBRL: (i) the Consolidated Balance Sheets,</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5"/>
          </w:tcPr>
          <w:p>
            <w:pPr>
              <w:spacing w:after="0"/>
              <w:rPr>
                <w:sz w:val="20"/>
                <w:szCs w:val="20"/>
                <w:color w:val="auto"/>
              </w:rPr>
            </w:pPr>
            <w:r>
              <w:rPr>
                <w:rFonts w:ascii="Arial" w:cs="Arial" w:eastAsia="Arial" w:hAnsi="Arial"/>
                <w:sz w:val="18"/>
                <w:szCs w:val="18"/>
                <w:color w:val="auto"/>
              </w:rPr>
              <w:t>(ii) the Consolidated Statements of Operations, (iii)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5"/>
          </w:tcPr>
          <w:p>
            <w:pPr>
              <w:spacing w:after="0"/>
              <w:rPr>
                <w:sz w:val="20"/>
                <w:szCs w:val="20"/>
                <w:color w:val="auto"/>
              </w:rPr>
            </w:pPr>
            <w:r>
              <w:rPr>
                <w:rFonts w:ascii="Arial" w:cs="Arial" w:eastAsia="Arial" w:hAnsi="Arial"/>
                <w:sz w:val="18"/>
                <w:szCs w:val="18"/>
                <w:color w:val="auto"/>
              </w:rPr>
              <w:t>Consolidated Statements of Stockholders' Equity, (iv)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5"/>
          </w:tcPr>
          <w:p>
            <w:pPr>
              <w:spacing w:after="0"/>
              <w:rPr>
                <w:sz w:val="20"/>
                <w:szCs w:val="20"/>
                <w:color w:val="auto"/>
              </w:rPr>
            </w:pPr>
            <w:r>
              <w:rPr>
                <w:rFonts w:ascii="Arial" w:cs="Arial" w:eastAsia="Arial" w:hAnsi="Arial"/>
                <w:sz w:val="18"/>
                <w:szCs w:val="18"/>
                <w:color w:val="auto"/>
                <w:w w:val="94"/>
              </w:rPr>
              <w:t>Consolidated Statements of Cash Flows, and (v) Notes to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7"/>
        </w:trPr>
        <w:tc>
          <w:tcPr>
            <w:tcW w:w="3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37" w:lineRule="exact"/>
        <w:rPr>
          <w:sz w:val="20"/>
          <w:szCs w:val="20"/>
          <w:color w:val="auto"/>
        </w:rPr>
      </w:pPr>
    </w:p>
    <w:p>
      <w:pPr>
        <w:ind w:left="660" w:right="8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pursuant to Rule 601(b)(10) of Regulation S-K. The omitted information is (i) not material and (ii) would likely cause competitive harm to the Company if publicly disclosed.</w:t>
      </w:r>
    </w:p>
    <w:p>
      <w:pPr>
        <w:spacing w:after="0" w:line="19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7"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Carolyn M. Romero</w:t>
      </w:r>
    </w:p>
    <w:p>
      <w:pPr>
        <w:spacing w:after="0" w:line="9"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i w:val="1"/>
          <w:iCs w:val="1"/>
          <w:color w:val="auto"/>
        </w:rPr>
        <w:t xml:space="preserve">VP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Controller</w:t>
      </w:r>
    </w:p>
    <w:p>
      <w:pPr>
        <w:spacing w:after="0" w:line="9"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40"/>
          </w:cols>
          <w:pgMar w:left="240" w:top="118" w:right="9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43685" cy="462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8">
                      <a:extLst>
                        <a:ext uri="{28A0092B-C50C-407E-A947-70E740481C1C}"/>
                      </a:extLst>
                    </a:blip>
                    <a:srcRect/>
                    <a:stretch>
                      <a:fillRect/>
                    </a:stretch>
                  </pic:blipFill>
                  <pic:spPr bwMode="auto">
                    <a:xfrm>
                      <a:off x="0" y="0"/>
                      <a:ext cx="15436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Carolyn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22, 2019</w:t>
      </w:r>
    </w:p>
    <w:p>
      <w:pPr>
        <w:spacing w:after="0" w:line="211" w:lineRule="exact"/>
        <w:rPr>
          <w:sz w:val="20"/>
          <w:szCs w:val="20"/>
          <w:color w:val="auto"/>
        </w:rPr>
      </w:pPr>
    </w:p>
    <w:p>
      <w:pPr>
        <w:ind w:left="2600"/>
        <w:spacing w:after="0"/>
        <w:tabs>
          <w:tab w:leader="none" w:pos="34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Offer of Employment with Gevo,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Carolyn: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very pleased to extend to you an offer of employment with Gevo, Inc., which is estimated to begin on July 23, 2019. The terms of our offer are as follows:</w:t>
      </w:r>
    </w:p>
    <w:p>
      <w:pPr>
        <w:spacing w:after="0" w:line="170" w:lineRule="exact"/>
        <w:rPr>
          <w:sz w:val="20"/>
          <w:szCs w:val="20"/>
          <w:color w:val="auto"/>
        </w:rPr>
      </w:pPr>
    </w:p>
    <w:p>
      <w:pPr>
        <w:ind w:left="520" w:hanging="28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You will be employed by the Company in a regular, full-time position as Vice President – Controller and Principal Accounting Officer. Beginning on the date you join Gevo, you will be expected to devote your full working time and attention to the business of the Company, and not to work for any other business without Gevo’s approval. During the period that you render services to the Company, you agree to not engage in any employment, business or activity that is in any way competitive with the business or proposed business of Gevo. You will also be expected to comply with and be bound by the Company’s operating policies, procedures and practices that are from time to time in effect during the term of your employment.</w:t>
      </w:r>
    </w:p>
    <w:p>
      <w:pPr>
        <w:spacing w:after="0" w:line="179" w:lineRule="exact"/>
        <w:rPr>
          <w:sz w:val="20"/>
          <w:szCs w:val="20"/>
          <w:color w:val="auto"/>
        </w:rPr>
      </w:pPr>
    </w:p>
    <w:p>
      <w:pPr>
        <w:ind w:left="520" w:hanging="28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Salary and Benefits</w:t>
      </w:r>
      <w:r>
        <w:rPr>
          <w:rFonts w:ascii="Arial" w:cs="Arial" w:eastAsia="Arial" w:hAnsi="Arial"/>
          <w:sz w:val="18"/>
          <w:szCs w:val="18"/>
          <w:color w:val="auto"/>
        </w:rPr>
        <w: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Your annual salary shall be $220,000, payable in accordance with the Company’s normal payroll practices, with such payroll deductions and withholdings as are required by law. You will be eligible for an annual incentive payout in cash of up to 30% and a separate annual incentive payout in equity (stock options, RSUs etc.) of up to 30% of your annual salary which may or may not be granted at the sole discretion of the Board of Directors. To the extent that the Company provides life, health, dental, disability or other insurance programs; pension, profit-sharing, 401(k) or other retirement programs; paid time off periods, or other fringe benefits, and subject to the satisfaction of any general eligibility criteria, you will receive such benefits to the same extent as other similarly situated Company employees. You will receive 160 (one hundred sixty) hours of vacation annually.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Gevo, Inc.</w:t>
      </w:r>
      <w:r>
        <w:rPr>
          <w:rFonts w:ascii="Arial" w:cs="Arial" w:eastAsia="Arial" w:hAnsi="Arial"/>
          <w:sz w:val="14"/>
          <w:szCs w:val="14"/>
          <w:color w:val="auto"/>
        </w:rPr>
        <w:t>, 345 Inverness Drive South, Bldg C, Ste 310, Englewood, CO 80112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Tel: (303) 858-8358 ● Fax: (303) 379-6630 ● www.gevo.com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543685" cy="462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62915"/>
                    </a:xfrm>
                    <a:prstGeom prst="rect">
                      <a:avLst/>
                    </a:prstGeom>
                    <a:noFill/>
                  </pic:spPr>
                </pic:pic>
              </a:graphicData>
            </a:graphic>
          </wp:anchor>
        </w:drawing>
      </w:r>
    </w:p>
    <w:p>
      <w:pPr>
        <w:ind w:left="520" w:hanging="28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formal approval by the Board of Directors, the Company will grant to you equity awards of the Company’s Common Stock, pursuant to the terms and subject to the conditions of the Company’s 2010 Stock Incentive Plan, and the Company’s standard equity documents. Equity awards generally shall be initially unvested and shall vest over a period of time if you continue to be employed by the Company. All of the equity award terms will be defined more precisely in the definitive equity award agreements.</w:t>
      </w:r>
    </w:p>
    <w:p>
      <w:pPr>
        <w:spacing w:after="0" w:line="190" w:lineRule="exact"/>
        <w:rPr>
          <w:sz w:val="20"/>
          <w:szCs w:val="20"/>
          <w:color w:val="auto"/>
        </w:rPr>
      </w:pPr>
    </w:p>
    <w:p>
      <w:pPr>
        <w:ind w:left="520" w:hanging="28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look forward to a long and productive relationship, should you decide to accept our offer, you will be an at-will employee of the Company, which means the employment relationship can be terminated by either of us for any reason, at any time, with or without notice and with or without cause. Any statements or representations to the contrary (including any statements contradicting any provision in this offer letter) should be regarded by you as ineffective.</w:t>
      </w:r>
    </w:p>
    <w:p>
      <w:pPr>
        <w:spacing w:after="0" w:line="190" w:lineRule="exact"/>
        <w:rPr>
          <w:sz w:val="20"/>
          <w:szCs w:val="20"/>
          <w:color w:val="auto"/>
        </w:rPr>
      </w:pPr>
    </w:p>
    <w:p>
      <w:pPr>
        <w:ind w:left="520" w:hanging="28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Separation Benefits</w:t>
      </w:r>
      <w:r>
        <w:rPr>
          <w:rFonts w:ascii="Arial" w:cs="Arial" w:eastAsia="Arial" w:hAnsi="Arial"/>
          <w:sz w:val="18"/>
          <w:szCs w:val="18"/>
          <w:color w:val="auto"/>
        </w:rPr>
        <w: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termination of your employment with Gevo, Inc. for any reason, you will receive payment for all unpaid salary and paid time off leave bank accrued &amp; earned as of the date of your termination of employment, and your benefits will be continued under the Company’s then existing benefit plans and policies for so long as provided under the terms of such plans and policies and as required by applicable law. You will not be entitled to any other compensation, award or damages with respect to your employment or termination.</w:t>
      </w:r>
    </w:p>
    <w:p>
      <w:pPr>
        <w:spacing w:after="0" w:line="190" w:lineRule="exact"/>
        <w:rPr>
          <w:sz w:val="20"/>
          <w:szCs w:val="20"/>
          <w:color w:val="auto"/>
        </w:rPr>
      </w:pPr>
    </w:p>
    <w:p>
      <w:pPr>
        <w:ind w:left="520" w:hanging="28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an employee of the Company, you will have access to certain confidential information of the Company and you may, during the course of your employment, develop certain information or inventions that will be the property of the Company. To protect the interests of the Company, you will need to sign the Company's standard "Employee Proprietary Information and Inventions Agreement" as a condition of your employment. We wish to impress upon you that we do not want you to, and we hereby direct you not to, bring with you any confidential or proprietary material of any former employer, or to violate any other obligations you may have to any former employer. You represent by your signature on this offer letter and the Company's Employee Proprietary Information and Inventions Agreement and your employment with the Company will not violate any agreement in place between yourself and current or past employers.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Gevo, Inc.</w:t>
      </w:r>
      <w:r>
        <w:rPr>
          <w:rFonts w:ascii="Arial" w:cs="Arial" w:eastAsia="Arial" w:hAnsi="Arial"/>
          <w:sz w:val="14"/>
          <w:szCs w:val="14"/>
          <w:color w:val="auto"/>
        </w:rPr>
        <w:t>, 345 Inverness Drive South, Bldg C, Ste 310, Englewood, CO 80112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Tel: (303) 858-8358 ● Fax: (303) 379-6630 ● www.gevo.com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543685" cy="462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62915"/>
                    </a:xfrm>
                    <a:prstGeom prst="rect">
                      <a:avLst/>
                    </a:prstGeom>
                    <a:noFill/>
                  </pic:spPr>
                </pic:pic>
              </a:graphicData>
            </a:graphic>
          </wp:anchor>
        </w:drawing>
      </w:r>
    </w:p>
    <w:p>
      <w:pPr>
        <w:ind w:left="520" w:hanging="28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Authorization to Work</w:t>
      </w:r>
      <w:r>
        <w:rPr>
          <w:rFonts w:ascii="Arial" w:cs="Arial" w:eastAsia="Arial" w:hAnsi="Arial"/>
          <w:sz w:val="18"/>
          <w:szCs w:val="18"/>
          <w:color w:val="auto"/>
        </w:rPr>
        <w: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Please note that because of employer regulations adopted in the Immigration Reform and Control Act of 1986, within three (3) business days of starting your new position you will need to present documentation demonstrating that you have authorization to work in the United States. For additional information, please go to this website: </w:t>
      </w:r>
      <w:r>
        <w:rPr>
          <w:rFonts w:ascii="Arial" w:cs="Arial" w:eastAsia="Arial" w:hAnsi="Arial"/>
          <w:sz w:val="17"/>
          <w:szCs w:val="17"/>
          <w:u w:val="single" w:color="auto"/>
          <w:color w:val="auto"/>
        </w:rPr>
        <w:t>https://www.uscis.gov/green-card/green-card-processes-and-procedures/employment-authorization-document</w:t>
      </w:r>
    </w:p>
    <w:p>
      <w:pPr>
        <w:spacing w:after="0" w:line="173" w:lineRule="exact"/>
        <w:rPr>
          <w:sz w:val="20"/>
          <w:szCs w:val="20"/>
          <w:color w:val="auto"/>
        </w:rPr>
      </w:pPr>
    </w:p>
    <w:p>
      <w:pPr>
        <w:ind w:left="520" w:hanging="28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You and Gevo, Inc. agree to submit to mandatory and exclusive binding arbitration any controversy or claim arising out of, or relating to, this offer letter or any breach hereof or your employment relationship,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parties retain their right to, and shall not be prohibited, limited or in any other way restricted from, seeking or obtaining equitable relief from a court having jurisdiction over the parties. Any such arbitration shall be conducted through the American Arbitration Association in the State of Colorado, Denver County, before a single arbitrator, in accordance with the National Rules for the Resolution of Employment Disputes of the American Arbitration Association in effect at that time, and judgment upon the determination or award rendered by the arbitrator may be entered in any court having jurisdiction thereof.</w:t>
      </w:r>
    </w:p>
    <w:p>
      <w:pPr>
        <w:spacing w:after="0" w:line="194" w:lineRule="exact"/>
        <w:rPr>
          <w:sz w:val="20"/>
          <w:szCs w:val="20"/>
          <w:color w:val="auto"/>
        </w:rPr>
      </w:pPr>
    </w:p>
    <w:p>
      <w:pPr>
        <w:ind w:left="520" w:hanging="28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offer letter, together with the Employee Proprietary Information and Inventions Agreement represents the entire agreement between the parties concerning the subject matter of your employment by the Company. This offer letter will be governed by the laws of the State of Colorado without reference to conflict of legal provisions. This offer will remain open until seven days from the date of this letter. If you decide to accept our offer, and we hope you will, please sign the enclosed copy of this letter in the space indicated and return it to Human Resources at Gevo, Inc. Your signature will acknowledge that you have read and understood and agreed to the terms and conditions of this offer letter and the attached documents, if any. Should you have anything else that you wish to discuss, please do not hesitate to call either one of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Gevo, Inc.</w:t>
      </w:r>
      <w:r>
        <w:rPr>
          <w:rFonts w:ascii="Arial" w:cs="Arial" w:eastAsia="Arial" w:hAnsi="Arial"/>
          <w:sz w:val="14"/>
          <w:szCs w:val="14"/>
          <w:color w:val="auto"/>
        </w:rPr>
        <w:t>, 345 Inverness Drive South, Bldg C, Ste 310, Englewood, CO 80112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Tel: (303) 858-8358 ● Fax: (303) 379-6630 ● www.gevo.com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 w:name="page44"/>
    <w:bookmarkEnd w:id="43"/>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543685" cy="462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629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 look forward to the opportunity to work with you.</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17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211772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Patrick R. Gruber</w:t>
      </w: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748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2174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066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22066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Gevo, Inc.</w:t>
      </w:r>
      <w:r>
        <w:rPr>
          <w:rFonts w:ascii="Arial" w:cs="Arial" w:eastAsia="Arial" w:hAnsi="Arial"/>
          <w:sz w:val="13"/>
          <w:szCs w:val="13"/>
          <w:color w:val="auto"/>
        </w:rPr>
        <w:t>, 345 Inverness Drive South, Bldg C, Ste 310, Englewood, CO 80112</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Tel: (303) 858-8358 ● Fax: (303) 379-6630 ● www.gevo.com</w:t>
      </w:r>
    </w:p>
    <w:p>
      <w:pPr>
        <w:sectPr>
          <w:pgSz w:w="11900" w:h="16838" w:orient="portrait"/>
          <w:cols w:equalWidth="0" w:num="1">
            <w:col w:w="10219"/>
          </w:cols>
          <w:pgMar w:left="240" w:top="1440"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5"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40" w:right="840" w:hanging="432"/>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060" w:hanging="432"/>
        <w:spacing w:after="0" w:line="342"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40" w:right="700" w:hanging="432"/>
        <w:spacing w:after="0" w:line="26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60" w:right="760" w:hanging="420"/>
        <w:spacing w:after="0" w:line="286" w:lineRule="auto"/>
        <w:tabs>
          <w:tab w:leader="none" w:pos="8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60" w:right="880" w:hanging="420"/>
        <w:spacing w:after="0" w:line="264" w:lineRule="auto"/>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60" w:right="680" w:hanging="420"/>
        <w:spacing w:after="0" w:line="342" w:lineRule="auto"/>
        <w:tabs>
          <w:tab w:leader="none" w:pos="8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60" w:right="1000" w:hanging="420"/>
        <w:spacing w:after="0" w:line="286" w:lineRule="auto"/>
        <w:tabs>
          <w:tab w:leader="none" w:pos="8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40" w:right="660" w:hanging="432"/>
        <w:spacing w:after="0" w:line="342"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60" w:right="940" w:hanging="420"/>
        <w:spacing w:after="0" w:line="342" w:lineRule="auto"/>
        <w:tabs>
          <w:tab w:leader="none" w:pos="8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60" w:right="1180" w:hanging="420"/>
        <w:spacing w:after="0" w:line="277" w:lineRule="auto"/>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4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Patrick R. Gruber</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8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80"/>
          </w:cols>
          <w:pgMar w:left="240" w:top="121" w:right="3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Carolyn M. Romero, certify that:</w:t>
      </w:r>
    </w:p>
    <w:p>
      <w:pPr>
        <w:spacing w:after="0" w:line="225"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40" w:right="980" w:hanging="432"/>
        <w:spacing w:after="0" w:line="26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200" w:hanging="432"/>
        <w:spacing w:after="0" w:line="342"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40" w:right="840" w:hanging="432"/>
        <w:spacing w:after="0" w:line="26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60" w:right="900" w:hanging="420"/>
        <w:spacing w:after="0" w:line="286" w:lineRule="auto"/>
        <w:tabs>
          <w:tab w:leader="none" w:pos="8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60" w:right="1020" w:hanging="420"/>
        <w:spacing w:after="0" w:line="264" w:lineRule="auto"/>
        <w:tabs>
          <w:tab w:leader="none" w:pos="8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60" w:right="820" w:hanging="420"/>
        <w:spacing w:after="0" w:line="342" w:lineRule="auto"/>
        <w:tabs>
          <w:tab w:leader="none" w:pos="8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60" w:right="1140" w:hanging="420"/>
        <w:spacing w:after="0" w:line="286" w:lineRule="auto"/>
        <w:tabs>
          <w:tab w:leader="none" w:pos="8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40" w:right="800" w:hanging="432"/>
        <w:spacing w:after="0" w:line="342"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60" w:right="1080" w:hanging="420"/>
        <w:spacing w:after="0" w:line="342" w:lineRule="auto"/>
        <w:tabs>
          <w:tab w:leader="none" w:pos="8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60" w:right="1320" w:hanging="420"/>
        <w:spacing w:after="0" w:line="277" w:lineRule="auto"/>
        <w:tabs>
          <w:tab w:leader="none" w:pos="8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Carolyn M. Romero</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8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VP - Controller</w:t>
      </w:r>
    </w:p>
    <w:p>
      <w:pPr>
        <w:spacing w:after="0" w:line="9"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Patrick R. Gruber, Chief Executive Officer of Gevo, Inc. (the “Registrant”), and I, Carolyn M. Romero, VP - Controller of the Registrant, certify, pursuant to 18 U.S.C. Section 1350, as adopted pursuant to Section 906 of the Sarbanes-Oxley Act of 2002, that:</w:t>
      </w:r>
    </w:p>
    <w:p>
      <w:pPr>
        <w:spacing w:after="0" w:line="170" w:lineRule="exact"/>
        <w:rPr>
          <w:sz w:val="20"/>
          <w:szCs w:val="20"/>
          <w:color w:val="auto"/>
        </w:rPr>
      </w:pPr>
    </w:p>
    <w:p>
      <w:pPr>
        <w:ind w:right="10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2019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for the period covered by the Report.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 Patrick R. Gruber</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Carolyn M. Romero</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VP - Controller</w:t>
      </w:r>
    </w:p>
    <w:p>
      <w:pPr>
        <w:spacing w:after="0" w:line="9"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80"/>
      </w:cols>
      <w:pgMar w:left="24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4"/>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6"/>
    </w:lvl>
  </w:abstractNum>
  <w:abstractNum w:abstractNumId="18">
    <w:nsid w:val="333AB105"/>
    <w:multiLevelType w:val="hybridMultilevel"/>
    <w:lvl w:ilvl="0">
      <w:lvlJc w:val="left"/>
      <w:lvlText w:val="%1."/>
      <w:numFmt w:val="decimal"/>
      <w:start w:val="7"/>
    </w:lvl>
  </w:abstractNum>
  <w:abstractNum w:abstractNumId="19">
    <w:nsid w:val="721DA317"/>
    <w:multiLevelType w:val="hybridMultilevel"/>
    <w:lvl w:ilvl="0">
      <w:lvlJc w:val="left"/>
      <w:lvlText w:val="%1."/>
      <w:numFmt w:val="decimal"/>
      <w:start w:val="8"/>
    </w:lvl>
  </w:abstractNum>
  <w:abstractNum w:abstractNumId="20">
    <w:nsid w:val="2443A858"/>
    <w:multiLevelType w:val="hybridMultilevel"/>
    <w:lvl w:ilvl="0">
      <w:lvlJc w:val="left"/>
      <w:lvlText w:val="%1."/>
      <w:numFmt w:val="decimal"/>
      <w:start w:val="9"/>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1" Type="http://schemas.openxmlformats.org/officeDocument/2006/relationships/image" Target="media/image46.png"/><Relationship Id="rId76" Type="http://schemas.openxmlformats.org/officeDocument/2006/relationships/image" Target="media/image47.png"/><Relationship Id="rId77" Type="http://schemas.openxmlformats.org/officeDocument/2006/relationships/image" Target="media/image48.png"/><Relationship Id="rId78" Type="http://schemas.openxmlformats.org/officeDocument/2006/relationships/image" Target="media/image49.jpeg"/><Relationship Id="rId79" Type="http://schemas.openxmlformats.org/officeDocument/2006/relationships/image" Target="media/image50.png"/><Relationship Id="rId80" Type="http://schemas.openxmlformats.org/officeDocument/2006/relationships/image" Target="media/image51.jpeg"/><Relationship Id="rId81" Type="http://schemas.openxmlformats.org/officeDocument/2006/relationships/image" Target="media/image52.png"/><Relationship Id="rId82" Type="http://schemas.openxmlformats.org/officeDocument/2006/relationships/image" Target="media/image53.jpeg"/><Relationship Id="rId83" Type="http://schemas.openxmlformats.org/officeDocument/2006/relationships/image" Target="media/image54.png"/><Relationship Id="rId84" Type="http://schemas.openxmlformats.org/officeDocument/2006/relationships/image" Target="media/image55.jpe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53" Type="http://schemas.openxmlformats.org/officeDocument/2006/relationships/hyperlink" Target="http://www.sec.gov/Archives/edgar/data/1392380/000119312511080096/dex31.htm" TargetMode="External"/><Relationship Id="rId54" Type="http://schemas.openxmlformats.org/officeDocument/2006/relationships/hyperlink" Target="http://www.sec.gov/Archives/edgar/data/1392380/000119312513253079/d551467dex31.htm" TargetMode="External"/><Relationship Id="rId55" Type="http://schemas.openxmlformats.org/officeDocument/2006/relationships/hyperlink" Target="http://www.sec.gov/Archives/edgar/data/1392380/000119312514264256/d755894dex31.htm" TargetMode="External"/><Relationship Id="rId56" Type="http://schemas.openxmlformats.org/officeDocument/2006/relationships/hyperlink" Target="http://www.sec.gov/Archives/edgar/data/1392380/000119312515141952/d913731dex31.htm" TargetMode="External"/><Relationship Id="rId57" Type="http://schemas.openxmlformats.org/officeDocument/2006/relationships/hyperlink" Target="http://www.sec.gov/Archives/edgar/data/1392380/000119312517004580/d318985dex31.htm" TargetMode="External"/><Relationship Id="rId58" Type="http://schemas.openxmlformats.org/officeDocument/2006/relationships/hyperlink" Target="http://www.sec.gov/Archives/edgar/data/1392380/000143774918011163/ex_115837.htm" TargetMode="External"/><Relationship Id="rId59" Type="http://schemas.openxmlformats.org/officeDocument/2006/relationships/hyperlink" Target="http://www.sec.gov/Archives/edgar/data/1392380/000119312511080096/dex32.htm" TargetMode="External"/><Relationship Id="rId60" Type="http://schemas.openxmlformats.org/officeDocument/2006/relationships/hyperlink" Target="http://www.sec.gov/Archives/edgar/data/1392380/000119312511009935/dex41.htm" TargetMode="External"/><Relationship Id="rId62" Type="http://schemas.openxmlformats.org/officeDocument/2006/relationships/hyperlink" Target="http://www.sec.gov/Archives/edgar/data/1392380/000119312510187275/dex42.htm" TargetMode="External"/><Relationship Id="rId63" Type="http://schemas.openxmlformats.org/officeDocument/2006/relationships/hyperlink" Target="http://www.sec.gov/Archives/edgar/data/1392380/000119312510187275/dex43.htm" TargetMode="External"/><Relationship Id="rId64" Type="http://schemas.openxmlformats.org/officeDocument/2006/relationships/hyperlink" Target="http://www.sec.gov/Archives/edgar/data/1392380/000119312517130693/d367648dex41.htm" TargetMode="External"/><Relationship Id="rId65" Type="http://schemas.openxmlformats.org/officeDocument/2006/relationships/hyperlink" Target="http://www.sec.gov/Archives/edgar/data/1392380/000119312517208168/d384272dex41.htm" TargetMode="External"/><Relationship Id="rId66" Type="http://schemas.openxmlformats.org/officeDocument/2006/relationships/hyperlink" Target="http://www.sec.gov/Archives/edgar/data/1392380/000119312517208168/d384272dex42.htm" TargetMode="External"/><Relationship Id="rId67" Type="http://schemas.openxmlformats.org/officeDocument/2006/relationships/hyperlink" Target="http://www.sec.gov/Archives/edgar/data/1392380/000119312515033797/d854127dex41.htm" TargetMode="External"/><Relationship Id="rId68" Type="http://schemas.openxmlformats.org/officeDocument/2006/relationships/hyperlink" Target="http://www.sec.gov/Archives/edgar/data/1392380/000119312515195316/d929992dex41.htm" TargetMode="External"/><Relationship Id="rId69" Type="http://schemas.openxmlformats.org/officeDocument/2006/relationships/hyperlink" Target="http://www.sec.gov/Archives/edgar/data/1392380/000119312515403779/d97590dex41.htm" TargetMode="External"/><Relationship Id="rId70" Type="http://schemas.openxmlformats.org/officeDocument/2006/relationships/hyperlink" Target="http://www.sec.gov/Archives/edgar/data/1392380/000119312516619452/d201378dex41.htm" TargetMode="External"/><Relationship Id="rId71" Type="http://schemas.openxmlformats.org/officeDocument/2006/relationships/hyperlink" Target="http://www.sec.gov/Archives/edgar/data/1392380/000119312516530726/d158752dex41.htm" TargetMode="External"/><Relationship Id="rId72" Type="http://schemas.openxmlformats.org/officeDocument/2006/relationships/hyperlink" Target="http://www.sec.gov/Archives/edgar/data/1392380/000119312516711029/d256125dex41.htm" TargetMode="External"/><Relationship Id="rId73" Type="http://schemas.openxmlformats.org/officeDocument/2006/relationships/hyperlink" Target="http://www.sec.gov/Archives/edgar/data/1392380/000119312517052235/d350599dex41.htm" TargetMode="External"/><Relationship Id="rId74" Type="http://schemas.openxmlformats.org/officeDocument/2006/relationships/hyperlink" Target="http://www.sec.gov/Archives/edgar/data/1392380/000143774919016557/ex_154939.htm" TargetMode="External"/><Relationship Id="rId75" Type="http://schemas.openxmlformats.org/officeDocument/2006/relationships/hyperlink" Target="http://www.sec.gov/Archives/edgar/data/1392380/000143774919016937/ex_1554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2019-12-28T01:34:52Z</dcterms:created>
  <dcterms:modified xsi:type="dcterms:W3CDTF">2019-12-28T01:34:52Z</dcterms:modified>
</cp:coreProperties>
</file>