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Shafer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294" w:lineRule="auto"/>
        <w:rPr>
          <w:sz w:val="20"/>
          <w:szCs w:val="20"/>
          <w:color w:val="auto"/>
        </w:rPr>
      </w:pPr>
      <w:r>
        <w:rPr>
          <w:rFonts w:ascii="Times New Roman" w:cs="Times New Roman" w:eastAsia="Times New Roman" w:hAnsi="Times New Roman"/>
          <w:sz w:val="17"/>
          <w:szCs w:val="17"/>
          <w:color w:val="0000FF"/>
        </w:rPr>
        <w:t>C/O GEVO, INC. 345 INVERNESS DRIVE SOUTH</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C,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ENGLEWOOD 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80112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Gevo,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GEVO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Cust Mkt &amp; Brnd Officer</w:t>
            </w:r>
          </w:p>
        </w:tc>
        <w:tc>
          <w:tcPr>
            <w:tcW w:w="0" w:type="dxa"/>
            <w:vAlign w:val="bottom"/>
          </w:tcPr>
          <w:p>
            <w:pPr>
              <w:spacing w:after="0"/>
              <w:rPr>
                <w:sz w:val="1"/>
                <w:szCs w:val="1"/>
                <w:color w:val="auto"/>
              </w:rPr>
            </w:pPr>
          </w:p>
        </w:tc>
      </w:tr>
      <w:tr>
        <w:trPr>
          <w:trHeight w:val="133"/>
        </w:trPr>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12/22/2025</w:t>
            </w:r>
          </w:p>
        </w:tc>
        <w:tc>
          <w:tcPr>
            <w:tcW w:w="286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960" w:type="dxa"/>
            <w:vAlign w:val="bottom"/>
            <w:gridSpan w:val="3"/>
            <w:vMerge w:val="continue"/>
          </w:tcPr>
          <w:p>
            <w:pPr>
              <w:spacing w:after="0"/>
              <w:rPr>
                <w:sz w:val="8"/>
                <w:szCs w:val="8"/>
                <w:color w:val="auto"/>
              </w:rPr>
            </w:pPr>
          </w:p>
        </w:tc>
        <w:tc>
          <w:tcPr>
            <w:tcW w:w="2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12/22/2025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2.1947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275,823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180"/>
              <w:spacing w:after="0" w:line="213" w:lineRule="exact"/>
              <w:rPr>
                <w:sz w:val="20"/>
                <w:szCs w:val="20"/>
                <w:color w:val="auto"/>
              </w:rPr>
            </w:pPr>
            <w:r>
              <w:rPr>
                <w:rFonts w:ascii="Times New Roman" w:cs="Times New Roman" w:eastAsia="Times New Roman" w:hAnsi="Times New Roman"/>
                <w:sz w:val="17"/>
                <w:szCs w:val="17"/>
                <w:color w:val="0000FF"/>
              </w:rPr>
              <w:t>9,788.19</w:t>
            </w:r>
            <w:r>
              <w:rPr>
                <w:rFonts w:ascii="Times New Roman" w:cs="Times New Roman" w:eastAsia="Times New Roman" w:hAnsi="Times New Roman"/>
                <w:sz w:val="22"/>
                <w:szCs w:val="22"/>
                <w:color w:val="008000"/>
                <w:vertAlign w:val="superscript"/>
              </w:rPr>
              <w:t>(3)</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effected pursuant to a 10b5-1 trading plan adopted by the Reporting Person on November 22, 2024.</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$2.175 to $2.21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6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Between November 20, 2025 and December 22, 2025, the reporting person disposed of 7.33 shares of the issuer's common stock under the issuer's 401(k) plan to cover administrative fees. The information in this report is based on a plan statement dated December 19, 2025.</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 Cabell Massey,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12/23/2025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9254" TargetMode="External"/><Relationship Id="rId14"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2025-12-23T16:36:55Z</dcterms:created>
  <dcterms:modified xsi:type="dcterms:W3CDTF">2025-12-23T16:36:55Z</dcterms:modified>
</cp:coreProperties>
</file>