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auto"/>
        </w:rPr>
        <w:t>Table of Contents</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103505</wp:posOffset>
            </wp:positionV>
            <wp:extent cx="1933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48260</wp:posOffset>
            </wp:positionV>
            <wp:extent cx="193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181" w:lineRule="exact"/>
        <w:rPr>
          <w:sz w:val="24"/>
          <w:szCs w:val="24"/>
          <w:color w:val="auto"/>
        </w:rPr>
      </w:pPr>
    </w:p>
    <w:p>
      <w:pPr>
        <w:ind w:left="3720" w:right="2180" w:hanging="3715"/>
        <w:spacing w:after="0" w:line="359" w:lineRule="auto"/>
        <w:tabs>
          <w:tab w:leader="none" w:pos="206"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September 30, 2022</w:t>
      </w:r>
    </w:p>
    <w:p>
      <w:pPr>
        <w:spacing w:after="0" w:line="199" w:lineRule="exact"/>
        <w:rPr>
          <w:sz w:val="24"/>
          <w:szCs w:val="24"/>
          <w:color w:val="auto"/>
        </w:rPr>
      </w:pPr>
    </w:p>
    <w:p>
      <w:pPr>
        <w:ind w:left="2960" w:right="1740" w:hanging="2955"/>
        <w:spacing w:after="0" w:line="320" w:lineRule="auto"/>
        <w:tabs>
          <w:tab w:leader="none" w:pos="198"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AND EXCHANGE ACT OF 1934 For the transition period from ________________ to ________________</w:t>
      </w:r>
    </w:p>
    <w:p>
      <w:pPr>
        <w:spacing w:after="0" w:line="1" w:lineRule="exact"/>
        <w:rPr>
          <w:rFonts w:ascii="MS PGothic" w:cs="MS PGothic" w:eastAsia="MS PGothic" w:hAnsi="MS PGothic"/>
          <w:sz w:val="17"/>
          <w:szCs w:val="17"/>
          <w:color w:val="auto"/>
          <w:highlight w:val="black"/>
        </w:rPr>
      </w:pPr>
    </w:p>
    <w:p>
      <w:pPr>
        <w:ind w:left="428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103505</wp:posOffset>
            </wp:positionV>
            <wp:extent cx="3004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241" w:lineRule="exact"/>
        <w:rPr>
          <w:sz w:val="24"/>
          <w:szCs w:val="24"/>
          <w:color w:val="auto"/>
        </w:rPr>
      </w:pPr>
    </w:p>
    <w:tbl>
      <w:tblPr>
        <w:tblLayout w:type="fixed"/>
        <w:tblInd w:w="700" w:type="dxa"/>
        <w:tblCellMar>
          <w:top w:w="0" w:type="dxa"/>
          <w:left w:w="0" w:type="dxa"/>
          <w:bottom w:w="0" w:type="dxa"/>
          <w:right w:w="0" w:type="dxa"/>
        </w:tblCellMar>
      </w:tblPr>
      <w:tr>
        <w:trPr>
          <w:trHeight w:val="472"/>
        </w:trPr>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38"/>
                <w:szCs w:val="38"/>
                <w:b w:val="1"/>
                <w:bCs w:val="1"/>
                <w:color w:val="auto"/>
              </w:rPr>
              <w:t>GEVO, INC.</w:t>
            </w:r>
          </w:p>
        </w:tc>
        <w:tc>
          <w:tcPr>
            <w:tcW w:w="0" w:type="dxa"/>
            <w:vAlign w:val="bottom"/>
          </w:tcPr>
          <w:p>
            <w:pPr>
              <w:spacing w:after="0"/>
              <w:rPr>
                <w:sz w:val="1"/>
                <w:szCs w:val="1"/>
                <w:color w:val="auto"/>
              </w:rPr>
            </w:pPr>
          </w:p>
        </w:tc>
      </w:tr>
      <w:tr>
        <w:trPr>
          <w:trHeight w:val="227"/>
        </w:trPr>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0" w:type="dxa"/>
            <w:vAlign w:val="bottom"/>
          </w:tcPr>
          <w:p>
            <w:pPr>
              <w:spacing w:after="0"/>
              <w:rPr>
                <w:sz w:val="1"/>
                <w:szCs w:val="1"/>
                <w:color w:val="auto"/>
              </w:rPr>
            </w:pPr>
          </w:p>
        </w:tc>
      </w:tr>
      <w:tr>
        <w:trPr>
          <w:trHeight w:val="79"/>
        </w:trPr>
        <w:tc>
          <w:tcPr>
            <w:tcW w:w="25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29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Delaware</w:t>
            </w:r>
          </w:p>
        </w:tc>
        <w:tc>
          <w:tcPr>
            <w:tcW w:w="6120" w:type="dxa"/>
            <w:vAlign w:val="bottom"/>
            <w:gridSpan w:val="2"/>
          </w:tcPr>
          <w:p>
            <w:pPr>
              <w:jc w:val="right"/>
              <w:ind w:right="133"/>
              <w:spacing w:after="0"/>
              <w:rPr>
                <w:sz w:val="20"/>
                <w:szCs w:val="20"/>
                <w:color w:val="auto"/>
              </w:rPr>
            </w:pPr>
            <w:r>
              <w:rPr>
                <w:rFonts w:ascii="Arial" w:cs="Arial" w:eastAsia="Arial" w:hAnsi="Arial"/>
                <w:sz w:val="17"/>
                <w:szCs w:val="17"/>
                <w:b w:val="1"/>
                <w:bCs w:val="1"/>
                <w:color w:val="auto"/>
              </w:rPr>
              <w:t>87-0747704</w:t>
            </w:r>
          </w:p>
        </w:tc>
        <w:tc>
          <w:tcPr>
            <w:tcW w:w="0" w:type="dxa"/>
            <w:vAlign w:val="bottom"/>
          </w:tcPr>
          <w:p>
            <w:pPr>
              <w:spacing w:after="0"/>
              <w:rPr>
                <w:sz w:val="1"/>
                <w:szCs w:val="1"/>
                <w:color w:val="auto"/>
              </w:rPr>
            </w:pPr>
          </w:p>
        </w:tc>
      </w:tr>
      <w:tr>
        <w:trPr>
          <w:trHeight w:val="184"/>
        </w:trPr>
        <w:tc>
          <w:tcPr>
            <w:tcW w:w="2940" w:type="dxa"/>
            <w:vAlign w:val="bottom"/>
            <w:gridSpan w:val="2"/>
          </w:tcPr>
          <w:p>
            <w:pPr>
              <w:jc w:val="center"/>
              <w:ind w:right="80"/>
              <w:spacing w:after="0" w:line="184" w:lineRule="exact"/>
              <w:rPr>
                <w:sz w:val="20"/>
                <w:szCs w:val="20"/>
                <w:color w:val="auto"/>
              </w:rPr>
            </w:pPr>
            <w:r>
              <w:rPr>
                <w:rFonts w:ascii="Arial" w:cs="Arial" w:eastAsia="Arial" w:hAnsi="Arial"/>
                <w:sz w:val="17"/>
                <w:szCs w:val="17"/>
                <w:color w:val="auto"/>
                <w:w w:val="94"/>
              </w:rPr>
              <w:t>(State or other jurisdiction of</w:t>
            </w:r>
          </w:p>
        </w:tc>
        <w:tc>
          <w:tcPr>
            <w:tcW w:w="4340" w:type="dxa"/>
            <w:vAlign w:val="bottom"/>
          </w:tcPr>
          <w:p>
            <w:pPr>
              <w:spacing w:after="0"/>
              <w:rPr>
                <w:sz w:val="15"/>
                <w:szCs w:val="15"/>
                <w:color w:val="auto"/>
              </w:rPr>
            </w:pPr>
          </w:p>
        </w:tc>
        <w:tc>
          <w:tcPr>
            <w:tcW w:w="1780" w:type="dxa"/>
            <w:vAlign w:val="bottom"/>
          </w:tcPr>
          <w:p>
            <w:pPr>
              <w:jc w:val="center"/>
              <w:ind w:left="393"/>
              <w:spacing w:after="0" w:line="184" w:lineRule="exact"/>
              <w:rPr>
                <w:sz w:val="20"/>
                <w:szCs w:val="20"/>
                <w:color w:val="auto"/>
              </w:rPr>
            </w:pPr>
            <w:r>
              <w:rPr>
                <w:rFonts w:ascii="Arial" w:cs="Arial" w:eastAsia="Arial" w:hAnsi="Arial"/>
                <w:sz w:val="17"/>
                <w:szCs w:val="17"/>
                <w:color w:val="auto"/>
                <w:w w:val="94"/>
              </w:rPr>
              <w:t>(I.R.S. Employer</w:t>
            </w:r>
          </w:p>
        </w:tc>
        <w:tc>
          <w:tcPr>
            <w:tcW w:w="0" w:type="dxa"/>
            <w:vAlign w:val="bottom"/>
          </w:tcPr>
          <w:p>
            <w:pPr>
              <w:spacing w:after="0"/>
              <w:rPr>
                <w:sz w:val="1"/>
                <w:szCs w:val="1"/>
                <w:color w:val="auto"/>
              </w:rPr>
            </w:pPr>
          </w:p>
        </w:tc>
      </w:tr>
      <w:tr>
        <w:trPr>
          <w:trHeight w:val="221"/>
        </w:trPr>
        <w:tc>
          <w:tcPr>
            <w:tcW w:w="294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incorporation or organization)</w:t>
            </w:r>
          </w:p>
        </w:tc>
        <w:tc>
          <w:tcPr>
            <w:tcW w:w="4340" w:type="dxa"/>
            <w:vAlign w:val="bottom"/>
          </w:tcPr>
          <w:p>
            <w:pPr>
              <w:spacing w:after="0"/>
              <w:rPr>
                <w:sz w:val="19"/>
                <w:szCs w:val="19"/>
                <w:color w:val="auto"/>
              </w:rPr>
            </w:pPr>
          </w:p>
        </w:tc>
        <w:tc>
          <w:tcPr>
            <w:tcW w:w="1780" w:type="dxa"/>
            <w:vAlign w:val="bottom"/>
          </w:tcPr>
          <w:p>
            <w:pPr>
              <w:jc w:val="center"/>
              <w:ind w:left="393"/>
              <w:spacing w:after="0"/>
              <w:rPr>
                <w:sz w:val="20"/>
                <w:szCs w:val="20"/>
                <w:color w:val="auto"/>
              </w:rPr>
            </w:pPr>
            <w:r>
              <w:rPr>
                <w:rFonts w:ascii="Arial" w:cs="Arial" w:eastAsia="Arial" w:hAnsi="Arial"/>
                <w:sz w:val="17"/>
                <w:szCs w:val="17"/>
                <w:color w:val="auto"/>
                <w:w w:val="98"/>
              </w:rPr>
              <w:t>Identification No.)</w:t>
            </w:r>
          </w:p>
        </w:tc>
        <w:tc>
          <w:tcPr>
            <w:tcW w:w="0" w:type="dxa"/>
            <w:vAlign w:val="bottom"/>
          </w:tcPr>
          <w:p>
            <w:pPr>
              <w:spacing w:after="0"/>
              <w:rPr>
                <w:sz w:val="1"/>
                <w:szCs w:val="1"/>
                <w:color w:val="auto"/>
              </w:rPr>
            </w:pPr>
          </w:p>
        </w:tc>
      </w:tr>
      <w:tr>
        <w:trPr>
          <w:trHeight w:val="302"/>
        </w:trPr>
        <w:tc>
          <w:tcPr>
            <w:tcW w:w="29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345 Inverness Drive South,</w:t>
            </w:r>
          </w:p>
        </w:tc>
        <w:tc>
          <w:tcPr>
            <w:tcW w:w="4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940" w:type="dxa"/>
            <w:vAlign w:val="bottom"/>
            <w:gridSpan w:val="2"/>
          </w:tcPr>
          <w:p>
            <w:pPr>
              <w:jc w:val="center"/>
              <w:ind w:right="60"/>
              <w:spacing w:after="0" w:line="170" w:lineRule="exact"/>
              <w:rPr>
                <w:sz w:val="20"/>
                <w:szCs w:val="20"/>
                <w:color w:val="auto"/>
              </w:rPr>
            </w:pPr>
            <w:r>
              <w:rPr>
                <w:rFonts w:ascii="Arial" w:cs="Arial" w:eastAsia="Arial" w:hAnsi="Arial"/>
                <w:sz w:val="17"/>
                <w:szCs w:val="17"/>
                <w:color w:val="auto"/>
                <w:w w:val="95"/>
              </w:rPr>
              <w:t>Building C, Suite 310</w:t>
            </w:r>
          </w:p>
        </w:tc>
        <w:tc>
          <w:tcPr>
            <w:tcW w:w="6120" w:type="dxa"/>
            <w:vAlign w:val="bottom"/>
            <w:gridSpan w:val="2"/>
            <w:vMerge w:val="restart"/>
          </w:tcPr>
          <w:p>
            <w:pPr>
              <w:jc w:val="right"/>
              <w:ind w:right="353"/>
              <w:spacing w:after="0"/>
              <w:rPr>
                <w:sz w:val="20"/>
                <w:szCs w:val="20"/>
                <w:color w:val="auto"/>
              </w:rPr>
            </w:pPr>
            <w:r>
              <w:rPr>
                <w:rFonts w:ascii="Arial" w:cs="Arial" w:eastAsia="Arial" w:hAnsi="Arial"/>
                <w:sz w:val="17"/>
                <w:szCs w:val="17"/>
                <w:b w:val="1"/>
                <w:bCs w:val="1"/>
                <w:color w:val="auto"/>
              </w:rPr>
              <w:t>80112</w:t>
            </w:r>
          </w:p>
        </w:tc>
        <w:tc>
          <w:tcPr>
            <w:tcW w:w="0" w:type="dxa"/>
            <w:vAlign w:val="bottom"/>
          </w:tcPr>
          <w:p>
            <w:pPr>
              <w:spacing w:after="0"/>
              <w:rPr>
                <w:sz w:val="1"/>
                <w:szCs w:val="1"/>
                <w:color w:val="auto"/>
              </w:rPr>
            </w:pPr>
          </w:p>
        </w:tc>
      </w:tr>
      <w:tr>
        <w:trPr>
          <w:trHeight w:val="221"/>
        </w:trPr>
        <w:tc>
          <w:tcPr>
            <w:tcW w:w="29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Englewood, CO</w:t>
            </w:r>
          </w:p>
        </w:tc>
        <w:tc>
          <w:tcPr>
            <w:tcW w:w="6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0"/>
              </w:rPr>
              <w:t>(Address of principal executive offices)</w:t>
            </w:r>
          </w:p>
        </w:tc>
        <w:tc>
          <w:tcPr>
            <w:tcW w:w="4340" w:type="dxa"/>
            <w:vAlign w:val="bottom"/>
          </w:tcPr>
          <w:p>
            <w:pPr>
              <w:spacing w:after="0"/>
              <w:rPr>
                <w:sz w:val="21"/>
                <w:szCs w:val="21"/>
                <w:color w:val="auto"/>
              </w:rPr>
            </w:pPr>
          </w:p>
        </w:tc>
        <w:tc>
          <w:tcPr>
            <w:tcW w:w="1780" w:type="dxa"/>
            <w:vAlign w:val="bottom"/>
          </w:tcPr>
          <w:p>
            <w:pPr>
              <w:jc w:val="center"/>
              <w:ind w:left="393"/>
              <w:spacing w:after="0"/>
              <w:rPr>
                <w:sz w:val="20"/>
                <w:szCs w:val="20"/>
                <w:color w:val="auto"/>
              </w:rPr>
            </w:pPr>
            <w:r>
              <w:rPr>
                <w:rFonts w:ascii="Arial" w:cs="Arial" w:eastAsia="Arial" w:hAnsi="Arial"/>
                <w:sz w:val="17"/>
                <w:szCs w:val="17"/>
                <w:b w:val="1"/>
                <w:bCs w:val="1"/>
                <w:color w:val="auto"/>
                <w:w w:val="97"/>
              </w:rPr>
              <w:t>(Zip Code)</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(303) 858-8358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5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b w:val="1"/>
                <w:bCs w:val="1"/>
                <w:color w:val="auto"/>
                <w:w w:val="91"/>
              </w:rPr>
              <w:t>Title of Each Class</w:t>
            </w:r>
          </w:p>
        </w:tc>
        <w:tc>
          <w:tcPr>
            <w:tcW w:w="228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b w:val="1"/>
                <w:bCs w:val="1"/>
                <w:color w:val="auto"/>
                <w:w w:val="93"/>
              </w:rPr>
              <w:t>Trading Symbol</w:t>
            </w:r>
          </w:p>
        </w:tc>
        <w:tc>
          <w:tcPr>
            <w:tcW w:w="45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1"/>
              </w:rPr>
              <w:t>Name of Each Exchange on Which Registered</w:t>
            </w:r>
          </w:p>
        </w:tc>
      </w:tr>
      <w:tr>
        <w:trPr>
          <w:trHeight w:val="241"/>
        </w:trPr>
        <w:tc>
          <w:tcPr>
            <w:tcW w:w="442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color w:val="auto"/>
                <w:w w:val="92"/>
              </w:rPr>
              <w:t>Common Stock, par value $0.01 per share</w:t>
            </w:r>
          </w:p>
        </w:tc>
        <w:tc>
          <w:tcPr>
            <w:tcW w:w="228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color w:val="auto"/>
                <w:w w:val="97"/>
              </w:rPr>
              <w:t>GEVO</w:t>
            </w:r>
          </w:p>
        </w:tc>
        <w:tc>
          <w:tcPr>
            <w:tcW w:w="45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color w:val="auto"/>
                <w:w w:val="94"/>
              </w:rPr>
              <w:t>The Nasdaq Stock Market LLC</w:t>
            </w:r>
          </w:p>
        </w:tc>
      </w:tr>
    </w:tbl>
    <w:p>
      <w:pPr>
        <w:spacing w:after="0" w:line="131" w:lineRule="exact"/>
        <w:rPr>
          <w:sz w:val="24"/>
          <w:szCs w:val="24"/>
          <w:color w:val="auto"/>
        </w:rPr>
      </w:pPr>
    </w:p>
    <w:p>
      <w:pPr>
        <w:ind w:right="180" w:firstLine="47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ind w:left="140" w:right="260" w:firstLine="314"/>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40" w:firstLine="47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4"/>
        </w:trPr>
        <w:tc>
          <w:tcPr>
            <w:tcW w:w="24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tc>
      </w:tr>
      <w:tr>
        <w:trPr>
          <w:trHeight w:val="497"/>
        </w:trPr>
        <w:tc>
          <w:tcPr>
            <w:tcW w:w="2420" w:type="dxa"/>
            <w:vAlign w:val="bottom"/>
          </w:tcPr>
          <w:p>
            <w:pPr>
              <w:spacing w:after="0"/>
              <w:rPr>
                <w:sz w:val="20"/>
                <w:szCs w:val="20"/>
                <w:color w:val="auto"/>
              </w:rPr>
            </w:pPr>
            <w:r>
              <w:rPr>
                <w:rFonts w:ascii="Arial" w:cs="Arial" w:eastAsia="Arial" w:hAnsi="Arial"/>
                <w:sz w:val="17"/>
                <w:szCs w:val="17"/>
                <w:color w:val="auto"/>
              </w:rPr>
              <w:t>Non-accelerated filer</w:t>
            </w:r>
          </w:p>
        </w:tc>
        <w:tc>
          <w:tcPr>
            <w:tcW w:w="3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tc>
      </w:tr>
      <w:tr>
        <w:trPr>
          <w:trHeight w:val="497"/>
        </w:trPr>
        <w:tc>
          <w:tcPr>
            <w:tcW w:w="2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tc>
      </w:tr>
    </w:tbl>
    <w:p>
      <w:pPr>
        <w:spacing w:after="0" w:line="125" w:lineRule="exact"/>
        <w:rPr>
          <w:sz w:val="24"/>
          <w:szCs w:val="24"/>
          <w:color w:val="auto"/>
        </w:rPr>
      </w:pPr>
    </w:p>
    <w:p>
      <w:pPr>
        <w:ind w:right="60" w:firstLine="47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480" w:right="1900"/>
        <w:spacing w:after="0" w:line="25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7, 2022, 237,221,732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593725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83820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50800</wp:posOffset>
            </wp:positionV>
            <wp:extent cx="6899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 w:type="dxa"/>
            <w:vAlign w:val="bottom"/>
          </w:tcPr>
          <w:p>
            <w:pPr>
              <w:spacing w:after="0"/>
              <w:rPr>
                <w:sz w:val="19"/>
                <w:szCs w:val="19"/>
                <w:color w:val="auto"/>
              </w:rPr>
            </w:pPr>
          </w:p>
        </w:tc>
        <w:tc>
          <w:tcPr>
            <w:tcW w:w="9420" w:type="dxa"/>
            <w:vAlign w:val="bottom"/>
          </w:tcPr>
          <w:p>
            <w:pPr>
              <w:spacing w:after="0"/>
              <w:rPr>
                <w:sz w:val="19"/>
                <w:szCs w:val="19"/>
                <w:color w:val="auto"/>
              </w:rPr>
            </w:pPr>
          </w:p>
        </w:tc>
        <w:tc>
          <w:tcPr>
            <w:tcW w:w="860" w:type="dxa"/>
            <w:vAlign w:val="bottom"/>
          </w:tcPr>
          <w:p>
            <w:pPr>
              <w:ind w:left="180"/>
              <w:spacing w:after="0"/>
              <w:rPr>
                <w:sz w:val="20"/>
                <w:szCs w:val="20"/>
                <w:color w:val="auto"/>
              </w:rPr>
            </w:pPr>
            <w:r>
              <w:rPr>
                <w:rFonts w:ascii="Arial" w:cs="Arial" w:eastAsia="Arial" w:hAnsi="Arial"/>
                <w:sz w:val="17"/>
                <w:szCs w:val="17"/>
                <w:color w:val="auto"/>
              </w:rPr>
              <w:t>Page</w:t>
            </w:r>
          </w:p>
        </w:tc>
      </w:tr>
      <w:tr>
        <w:trPr>
          <w:trHeight w:val="248"/>
        </w:trPr>
        <w:tc>
          <w:tcPr>
            <w:tcW w:w="960" w:type="dxa"/>
            <w:vAlign w:val="bottom"/>
          </w:tcPr>
          <w:p>
            <w:pPr>
              <w:spacing w:after="0"/>
              <w:rPr>
                <w:sz w:val="21"/>
                <w:szCs w:val="21"/>
                <w:color w:val="auto"/>
              </w:rPr>
            </w:pPr>
          </w:p>
        </w:tc>
        <w:tc>
          <w:tcPr>
            <w:tcW w:w="9420" w:type="dxa"/>
            <w:vAlign w:val="bottom"/>
          </w:tcPr>
          <w:p>
            <w:pPr>
              <w:jc w:val="center"/>
              <w:ind w:right="53"/>
              <w:spacing w:after="0"/>
              <w:rPr>
                <w:sz w:val="20"/>
                <w:szCs w:val="20"/>
                <w:color w:val="auto"/>
              </w:rPr>
            </w:pPr>
            <w:r>
              <w:rPr>
                <w:rFonts w:ascii="Arial" w:cs="Arial" w:eastAsia="Arial" w:hAnsi="Arial"/>
                <w:sz w:val="17"/>
                <w:szCs w:val="17"/>
                <w:b w:val="1"/>
                <w:bCs w:val="1"/>
                <w:color w:val="auto"/>
              </w:rPr>
              <w:t>PART I. FINANCIAL INFORMATION</w:t>
            </w:r>
          </w:p>
        </w:tc>
        <w:tc>
          <w:tcPr>
            <w:tcW w:w="860" w:type="dxa"/>
            <w:vAlign w:val="bottom"/>
          </w:tcPr>
          <w:p>
            <w:pPr>
              <w:spacing w:after="0"/>
              <w:rPr>
                <w:sz w:val="21"/>
                <w:szCs w:val="21"/>
                <w:color w:val="auto"/>
              </w:rPr>
            </w:pPr>
          </w:p>
        </w:tc>
      </w:tr>
      <w:tr>
        <w:trPr>
          <w:trHeight w:val="497"/>
        </w:trPr>
        <w:tc>
          <w:tcPr>
            <w:tcW w:w="960" w:type="dxa"/>
            <w:vAlign w:val="bottom"/>
          </w:tcPr>
          <w:p>
            <w:pPr>
              <w:ind w:left="20"/>
              <w:spacing w:after="0"/>
              <w:rPr>
                <w:sz w:val="20"/>
                <w:szCs w:val="20"/>
                <w:color w:val="auto"/>
              </w:rPr>
            </w:pPr>
            <w:r>
              <w:rPr>
                <w:rFonts w:ascii="Arial" w:cs="Arial" w:eastAsia="Arial" w:hAnsi="Arial"/>
                <w:sz w:val="17"/>
                <w:szCs w:val="17"/>
                <w:color w:val="auto"/>
              </w:rPr>
              <w:t>Item 1.</w:t>
            </w:r>
          </w:p>
        </w:tc>
        <w:tc>
          <w:tcPr>
            <w:tcW w:w="9420" w:type="dxa"/>
            <w:vAlign w:val="bottom"/>
          </w:tcPr>
          <w:p>
            <w:pPr>
              <w:ind w:left="300"/>
              <w:spacing w:after="0"/>
              <w:rPr>
                <w:sz w:val="20"/>
                <w:szCs w:val="20"/>
                <w:color w:val="auto"/>
              </w:rPr>
            </w:pPr>
            <w:r>
              <w:rPr>
                <w:rFonts w:ascii="Arial" w:cs="Arial" w:eastAsia="Arial" w:hAnsi="Arial"/>
                <w:sz w:val="17"/>
                <w:szCs w:val="17"/>
                <w:color w:val="auto"/>
              </w:rPr>
              <w:t>Financial Statements</w:t>
            </w:r>
          </w:p>
        </w:tc>
        <w:tc>
          <w:tcPr>
            <w:tcW w:w="860" w:type="dxa"/>
            <w:vAlign w:val="bottom"/>
          </w:tcPr>
          <w:p>
            <w:pPr>
              <w:jc w:val="center"/>
              <w:ind w:right="53"/>
              <w:spacing w:after="0"/>
              <w:rPr>
                <w:sz w:val="20"/>
                <w:szCs w:val="20"/>
                <w:color w:val="auto"/>
              </w:rPr>
            </w:pPr>
            <w:r>
              <w:rPr>
                <w:rFonts w:ascii="Arial" w:cs="Arial" w:eastAsia="Arial" w:hAnsi="Arial"/>
                <w:sz w:val="17"/>
                <w:szCs w:val="17"/>
                <w:color w:val="auto"/>
                <w:w w:val="84"/>
              </w:rPr>
              <w:t>3</w:t>
            </w:r>
          </w:p>
        </w:tc>
      </w:tr>
      <w:tr>
        <w:trPr>
          <w:trHeight w:val="248"/>
        </w:trPr>
        <w:tc>
          <w:tcPr>
            <w:tcW w:w="9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7"/>
                <w:szCs w:val="17"/>
                <w:color w:val="auto"/>
              </w:rPr>
              <w:t>Consolidated Balance Sheets as of September 30, 2022 (unaudited) and December 31, 2021</w:t>
            </w:r>
          </w:p>
        </w:tc>
        <w:tc>
          <w:tcPr>
            <w:tcW w:w="860" w:type="dxa"/>
            <w:vAlign w:val="bottom"/>
          </w:tcPr>
          <w:p>
            <w:pPr>
              <w:jc w:val="center"/>
              <w:ind w:right="53"/>
              <w:spacing w:after="0"/>
              <w:rPr>
                <w:sz w:val="20"/>
                <w:szCs w:val="20"/>
                <w:color w:val="auto"/>
              </w:rPr>
            </w:pPr>
            <w:r>
              <w:rPr>
                <w:rFonts w:ascii="Arial" w:cs="Arial" w:eastAsia="Arial" w:hAnsi="Arial"/>
                <w:sz w:val="17"/>
                <w:szCs w:val="17"/>
                <w:color w:val="auto"/>
                <w:w w:val="84"/>
              </w:rPr>
              <w:t>3</w:t>
            </w:r>
          </w:p>
        </w:tc>
      </w:tr>
      <w:tr>
        <w:trPr>
          <w:trHeight w:val="248"/>
        </w:trPr>
        <w:tc>
          <w:tcPr>
            <w:tcW w:w="9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7"/>
                <w:szCs w:val="17"/>
                <w:color w:val="auto"/>
              </w:rPr>
              <w:t>Consolidated Statements of Operations for the three and nine months ended September 30, 2022 and 2021 (unaudited)</w:t>
            </w:r>
          </w:p>
        </w:tc>
        <w:tc>
          <w:tcPr>
            <w:tcW w:w="860" w:type="dxa"/>
            <w:vAlign w:val="bottom"/>
          </w:tcPr>
          <w:p>
            <w:pPr>
              <w:jc w:val="center"/>
              <w:ind w:right="53"/>
              <w:spacing w:after="0"/>
              <w:rPr>
                <w:sz w:val="20"/>
                <w:szCs w:val="20"/>
                <w:color w:val="auto"/>
              </w:rPr>
            </w:pPr>
            <w:r>
              <w:rPr>
                <w:rFonts w:ascii="Arial" w:cs="Arial" w:eastAsia="Arial" w:hAnsi="Arial"/>
                <w:sz w:val="17"/>
                <w:szCs w:val="17"/>
                <w:color w:val="auto"/>
                <w:w w:val="84"/>
              </w:rPr>
              <w:t>4</w:t>
            </w:r>
          </w:p>
        </w:tc>
      </w:tr>
      <w:tr>
        <w:trPr>
          <w:trHeight w:val="248"/>
        </w:trPr>
        <w:tc>
          <w:tcPr>
            <w:tcW w:w="9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7"/>
                <w:szCs w:val="17"/>
                <w:color w:val="auto"/>
                <w:w w:val="93"/>
              </w:rPr>
              <w:t>Consolidated Statements of Comprehensive Loss for the three and nine months ended September 30, 2022 and 2021 (unaudited)</w:t>
            </w:r>
          </w:p>
        </w:tc>
        <w:tc>
          <w:tcPr>
            <w:tcW w:w="860" w:type="dxa"/>
            <w:vAlign w:val="bottom"/>
          </w:tcPr>
          <w:p>
            <w:pPr>
              <w:jc w:val="center"/>
              <w:ind w:right="53"/>
              <w:spacing w:after="0"/>
              <w:rPr>
                <w:sz w:val="20"/>
                <w:szCs w:val="20"/>
                <w:color w:val="auto"/>
              </w:rPr>
            </w:pPr>
            <w:r>
              <w:rPr>
                <w:rFonts w:ascii="Arial" w:cs="Arial" w:eastAsia="Arial" w:hAnsi="Arial"/>
                <w:sz w:val="17"/>
                <w:szCs w:val="17"/>
                <w:color w:val="auto"/>
                <w:w w:val="84"/>
              </w:rPr>
              <w:t>5</w:t>
            </w:r>
          </w:p>
        </w:tc>
      </w:tr>
      <w:tr>
        <w:trPr>
          <w:trHeight w:val="248"/>
        </w:trPr>
        <w:tc>
          <w:tcPr>
            <w:tcW w:w="9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7"/>
                <w:szCs w:val="17"/>
                <w:color w:val="auto"/>
                <w:w w:val="93"/>
              </w:rPr>
              <w:t>Consolidated Statements of Stockholders' Equity for the three and nine months ended September 30, 2022 and 2021 (unaudited)</w:t>
            </w:r>
          </w:p>
        </w:tc>
        <w:tc>
          <w:tcPr>
            <w:tcW w:w="860" w:type="dxa"/>
            <w:vAlign w:val="bottom"/>
          </w:tcPr>
          <w:p>
            <w:pPr>
              <w:jc w:val="center"/>
              <w:ind w:right="53"/>
              <w:spacing w:after="0"/>
              <w:rPr>
                <w:sz w:val="20"/>
                <w:szCs w:val="20"/>
                <w:color w:val="auto"/>
              </w:rPr>
            </w:pPr>
            <w:r>
              <w:rPr>
                <w:rFonts w:ascii="Arial" w:cs="Arial" w:eastAsia="Arial" w:hAnsi="Arial"/>
                <w:sz w:val="17"/>
                <w:szCs w:val="17"/>
                <w:color w:val="auto"/>
                <w:w w:val="84"/>
              </w:rPr>
              <w:t>6</w:t>
            </w:r>
          </w:p>
        </w:tc>
      </w:tr>
      <w:tr>
        <w:trPr>
          <w:trHeight w:val="248"/>
        </w:trPr>
        <w:tc>
          <w:tcPr>
            <w:tcW w:w="9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7"/>
                <w:szCs w:val="17"/>
                <w:color w:val="auto"/>
              </w:rPr>
              <w:t>Consolidated Statements of Cash Flows for the nine months ended September 30, 2022 and 2021 (unaudited)</w:t>
            </w:r>
          </w:p>
        </w:tc>
        <w:tc>
          <w:tcPr>
            <w:tcW w:w="860" w:type="dxa"/>
            <w:vAlign w:val="bottom"/>
          </w:tcPr>
          <w:p>
            <w:pPr>
              <w:jc w:val="center"/>
              <w:ind w:right="53"/>
              <w:spacing w:after="0"/>
              <w:rPr>
                <w:sz w:val="20"/>
                <w:szCs w:val="20"/>
                <w:color w:val="auto"/>
              </w:rPr>
            </w:pPr>
            <w:r>
              <w:rPr>
                <w:rFonts w:ascii="Arial" w:cs="Arial" w:eastAsia="Arial" w:hAnsi="Arial"/>
                <w:sz w:val="17"/>
                <w:szCs w:val="17"/>
                <w:color w:val="auto"/>
                <w:w w:val="84"/>
              </w:rPr>
              <w:t>8</w:t>
            </w:r>
          </w:p>
        </w:tc>
      </w:tr>
      <w:tr>
        <w:trPr>
          <w:trHeight w:val="248"/>
        </w:trPr>
        <w:tc>
          <w:tcPr>
            <w:tcW w:w="9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7"/>
                <w:szCs w:val="17"/>
                <w:color w:val="auto"/>
              </w:rPr>
              <w:t>Notes to Consolidated Financial Statements (unaudited)</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10</w:t>
            </w:r>
          </w:p>
        </w:tc>
      </w:tr>
      <w:tr>
        <w:trPr>
          <w:trHeight w:val="497"/>
        </w:trPr>
        <w:tc>
          <w:tcPr>
            <w:tcW w:w="960" w:type="dxa"/>
            <w:vAlign w:val="bottom"/>
          </w:tcPr>
          <w:p>
            <w:pPr>
              <w:ind w:left="20"/>
              <w:spacing w:after="0"/>
              <w:rPr>
                <w:sz w:val="20"/>
                <w:szCs w:val="20"/>
                <w:color w:val="auto"/>
              </w:rPr>
            </w:pPr>
            <w:r>
              <w:rPr>
                <w:rFonts w:ascii="Arial" w:cs="Arial" w:eastAsia="Arial" w:hAnsi="Arial"/>
                <w:sz w:val="17"/>
                <w:szCs w:val="17"/>
                <w:color w:val="auto"/>
              </w:rPr>
              <w:t>Item 2.</w:t>
            </w:r>
          </w:p>
        </w:tc>
        <w:tc>
          <w:tcPr>
            <w:tcW w:w="9420" w:type="dxa"/>
            <w:vAlign w:val="bottom"/>
          </w:tcPr>
          <w:p>
            <w:pPr>
              <w:ind w:left="30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28</w:t>
            </w:r>
          </w:p>
        </w:tc>
      </w:tr>
      <w:tr>
        <w:trPr>
          <w:trHeight w:val="248"/>
        </w:trPr>
        <w:tc>
          <w:tcPr>
            <w:tcW w:w="960" w:type="dxa"/>
            <w:vAlign w:val="bottom"/>
          </w:tcPr>
          <w:p>
            <w:pPr>
              <w:ind w:left="20"/>
              <w:spacing w:after="0"/>
              <w:rPr>
                <w:sz w:val="20"/>
                <w:szCs w:val="20"/>
                <w:color w:val="auto"/>
              </w:rPr>
            </w:pPr>
            <w:r>
              <w:rPr>
                <w:rFonts w:ascii="Arial" w:cs="Arial" w:eastAsia="Arial" w:hAnsi="Arial"/>
                <w:sz w:val="17"/>
                <w:szCs w:val="17"/>
                <w:color w:val="auto"/>
              </w:rPr>
              <w:t>Item 3.</w:t>
            </w:r>
          </w:p>
        </w:tc>
        <w:tc>
          <w:tcPr>
            <w:tcW w:w="9420" w:type="dxa"/>
            <w:vAlign w:val="bottom"/>
          </w:tcPr>
          <w:p>
            <w:pPr>
              <w:ind w:left="300"/>
              <w:spacing w:after="0"/>
              <w:rPr>
                <w:sz w:val="20"/>
                <w:szCs w:val="20"/>
                <w:color w:val="auto"/>
              </w:rPr>
            </w:pPr>
            <w:r>
              <w:rPr>
                <w:rFonts w:ascii="Arial" w:cs="Arial" w:eastAsia="Arial" w:hAnsi="Arial"/>
                <w:sz w:val="17"/>
                <w:szCs w:val="17"/>
                <w:color w:val="auto"/>
              </w:rPr>
              <w:t>Quantitative and Qualitative Disclosures About Market Risk</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39</w:t>
            </w:r>
          </w:p>
        </w:tc>
      </w:tr>
      <w:tr>
        <w:trPr>
          <w:trHeight w:val="248"/>
        </w:trPr>
        <w:tc>
          <w:tcPr>
            <w:tcW w:w="960" w:type="dxa"/>
            <w:vAlign w:val="bottom"/>
          </w:tcPr>
          <w:p>
            <w:pPr>
              <w:ind w:left="20"/>
              <w:spacing w:after="0"/>
              <w:rPr>
                <w:sz w:val="20"/>
                <w:szCs w:val="20"/>
                <w:color w:val="auto"/>
              </w:rPr>
            </w:pPr>
            <w:r>
              <w:rPr>
                <w:rFonts w:ascii="Arial" w:cs="Arial" w:eastAsia="Arial" w:hAnsi="Arial"/>
                <w:sz w:val="17"/>
                <w:szCs w:val="17"/>
                <w:color w:val="auto"/>
              </w:rPr>
              <w:t>Item 4.</w:t>
            </w:r>
          </w:p>
        </w:tc>
        <w:tc>
          <w:tcPr>
            <w:tcW w:w="9420" w:type="dxa"/>
            <w:vAlign w:val="bottom"/>
          </w:tcPr>
          <w:p>
            <w:pPr>
              <w:ind w:left="300"/>
              <w:spacing w:after="0"/>
              <w:rPr>
                <w:sz w:val="20"/>
                <w:szCs w:val="20"/>
                <w:color w:val="auto"/>
              </w:rPr>
            </w:pPr>
            <w:r>
              <w:rPr>
                <w:rFonts w:ascii="Arial" w:cs="Arial" w:eastAsia="Arial" w:hAnsi="Arial"/>
                <w:sz w:val="17"/>
                <w:szCs w:val="17"/>
                <w:color w:val="auto"/>
              </w:rPr>
              <w:t>Controls and Procedures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39</w:t>
            </w:r>
          </w:p>
        </w:tc>
      </w:tr>
      <w:tr>
        <w:trPr>
          <w:trHeight w:val="497"/>
        </w:trPr>
        <w:tc>
          <w:tcPr>
            <w:tcW w:w="960" w:type="dxa"/>
            <w:vAlign w:val="bottom"/>
          </w:tcPr>
          <w:p>
            <w:pPr>
              <w:spacing w:after="0"/>
              <w:rPr>
                <w:sz w:val="24"/>
                <w:szCs w:val="24"/>
                <w:color w:val="auto"/>
              </w:rPr>
            </w:pPr>
          </w:p>
        </w:tc>
        <w:tc>
          <w:tcPr>
            <w:tcW w:w="9420" w:type="dxa"/>
            <w:vAlign w:val="bottom"/>
          </w:tcPr>
          <w:p>
            <w:pPr>
              <w:jc w:val="center"/>
              <w:ind w:right="53"/>
              <w:spacing w:after="0"/>
              <w:rPr>
                <w:sz w:val="20"/>
                <w:szCs w:val="20"/>
                <w:color w:val="auto"/>
              </w:rPr>
            </w:pPr>
            <w:r>
              <w:rPr>
                <w:rFonts w:ascii="Arial" w:cs="Arial" w:eastAsia="Arial" w:hAnsi="Arial"/>
                <w:sz w:val="17"/>
                <w:szCs w:val="17"/>
                <w:b w:val="1"/>
                <w:bCs w:val="1"/>
                <w:color w:val="auto"/>
              </w:rPr>
              <w:t>PART II. OTHER INFORMATION</w:t>
            </w:r>
          </w:p>
        </w:tc>
        <w:tc>
          <w:tcPr>
            <w:tcW w:w="860" w:type="dxa"/>
            <w:vAlign w:val="bottom"/>
          </w:tcPr>
          <w:p>
            <w:pPr>
              <w:spacing w:after="0"/>
              <w:rPr>
                <w:sz w:val="24"/>
                <w:szCs w:val="24"/>
                <w:color w:val="auto"/>
              </w:rPr>
            </w:pPr>
          </w:p>
        </w:tc>
      </w:tr>
      <w:tr>
        <w:trPr>
          <w:trHeight w:val="497"/>
        </w:trPr>
        <w:tc>
          <w:tcPr>
            <w:tcW w:w="960" w:type="dxa"/>
            <w:vAlign w:val="bottom"/>
          </w:tcPr>
          <w:p>
            <w:pPr>
              <w:ind w:left="20"/>
              <w:spacing w:after="0"/>
              <w:rPr>
                <w:sz w:val="20"/>
                <w:szCs w:val="20"/>
                <w:color w:val="auto"/>
              </w:rPr>
            </w:pPr>
            <w:r>
              <w:rPr>
                <w:rFonts w:ascii="Arial" w:cs="Arial" w:eastAsia="Arial" w:hAnsi="Arial"/>
                <w:sz w:val="17"/>
                <w:szCs w:val="17"/>
                <w:color w:val="auto"/>
              </w:rPr>
              <w:t>Item 1.</w:t>
            </w:r>
          </w:p>
        </w:tc>
        <w:tc>
          <w:tcPr>
            <w:tcW w:w="9420" w:type="dxa"/>
            <w:vAlign w:val="bottom"/>
          </w:tcPr>
          <w:p>
            <w:pPr>
              <w:ind w:left="300"/>
              <w:spacing w:after="0"/>
              <w:rPr>
                <w:sz w:val="20"/>
                <w:szCs w:val="20"/>
                <w:color w:val="auto"/>
              </w:rPr>
            </w:pPr>
            <w:r>
              <w:rPr>
                <w:rFonts w:ascii="Arial" w:cs="Arial" w:eastAsia="Arial" w:hAnsi="Arial"/>
                <w:sz w:val="17"/>
                <w:szCs w:val="17"/>
                <w:color w:val="auto"/>
              </w:rPr>
              <w:t>Legal Proceedings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41</w:t>
            </w:r>
          </w:p>
        </w:tc>
      </w:tr>
      <w:tr>
        <w:trPr>
          <w:trHeight w:val="248"/>
        </w:trPr>
        <w:tc>
          <w:tcPr>
            <w:tcW w:w="960" w:type="dxa"/>
            <w:vAlign w:val="bottom"/>
          </w:tcPr>
          <w:p>
            <w:pPr>
              <w:ind w:left="20"/>
              <w:spacing w:after="0"/>
              <w:rPr>
                <w:sz w:val="20"/>
                <w:szCs w:val="20"/>
                <w:color w:val="auto"/>
              </w:rPr>
            </w:pPr>
            <w:r>
              <w:rPr>
                <w:rFonts w:ascii="Arial" w:cs="Arial" w:eastAsia="Arial" w:hAnsi="Arial"/>
                <w:sz w:val="17"/>
                <w:szCs w:val="17"/>
                <w:color w:val="auto"/>
              </w:rPr>
              <w:t>Item 1A.</w:t>
            </w:r>
          </w:p>
        </w:tc>
        <w:tc>
          <w:tcPr>
            <w:tcW w:w="9420" w:type="dxa"/>
            <w:vAlign w:val="bottom"/>
          </w:tcPr>
          <w:p>
            <w:pPr>
              <w:ind w:left="300"/>
              <w:spacing w:after="0"/>
              <w:rPr>
                <w:sz w:val="20"/>
                <w:szCs w:val="20"/>
                <w:color w:val="auto"/>
              </w:rPr>
            </w:pPr>
            <w:r>
              <w:rPr>
                <w:rFonts w:ascii="Arial" w:cs="Arial" w:eastAsia="Arial" w:hAnsi="Arial"/>
                <w:sz w:val="17"/>
                <w:szCs w:val="17"/>
                <w:color w:val="auto"/>
              </w:rPr>
              <w:t>Risk Factors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41</w:t>
            </w:r>
          </w:p>
        </w:tc>
      </w:tr>
      <w:tr>
        <w:trPr>
          <w:trHeight w:val="248"/>
        </w:trPr>
        <w:tc>
          <w:tcPr>
            <w:tcW w:w="960" w:type="dxa"/>
            <w:vAlign w:val="bottom"/>
          </w:tcPr>
          <w:p>
            <w:pPr>
              <w:ind w:left="20"/>
              <w:spacing w:after="0"/>
              <w:rPr>
                <w:sz w:val="20"/>
                <w:szCs w:val="20"/>
                <w:color w:val="auto"/>
              </w:rPr>
            </w:pPr>
            <w:r>
              <w:rPr>
                <w:rFonts w:ascii="Arial" w:cs="Arial" w:eastAsia="Arial" w:hAnsi="Arial"/>
                <w:sz w:val="17"/>
                <w:szCs w:val="17"/>
                <w:color w:val="auto"/>
              </w:rPr>
              <w:t>Item 2.</w:t>
            </w:r>
          </w:p>
        </w:tc>
        <w:tc>
          <w:tcPr>
            <w:tcW w:w="9420" w:type="dxa"/>
            <w:vAlign w:val="bottom"/>
          </w:tcPr>
          <w:p>
            <w:pPr>
              <w:ind w:left="300"/>
              <w:spacing w:after="0"/>
              <w:rPr>
                <w:sz w:val="20"/>
                <w:szCs w:val="20"/>
                <w:color w:val="auto"/>
              </w:rPr>
            </w:pPr>
            <w:r>
              <w:rPr>
                <w:rFonts w:ascii="Arial" w:cs="Arial" w:eastAsia="Arial" w:hAnsi="Arial"/>
                <w:sz w:val="17"/>
                <w:szCs w:val="17"/>
                <w:color w:val="auto"/>
              </w:rPr>
              <w:t>Unregistered Sales of Equity Securities and Use of Proceeds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41</w:t>
            </w:r>
          </w:p>
        </w:tc>
      </w:tr>
      <w:tr>
        <w:trPr>
          <w:trHeight w:val="248"/>
        </w:trPr>
        <w:tc>
          <w:tcPr>
            <w:tcW w:w="960" w:type="dxa"/>
            <w:vAlign w:val="bottom"/>
          </w:tcPr>
          <w:p>
            <w:pPr>
              <w:ind w:left="20"/>
              <w:spacing w:after="0"/>
              <w:rPr>
                <w:sz w:val="20"/>
                <w:szCs w:val="20"/>
                <w:color w:val="auto"/>
              </w:rPr>
            </w:pPr>
            <w:r>
              <w:rPr>
                <w:rFonts w:ascii="Arial" w:cs="Arial" w:eastAsia="Arial" w:hAnsi="Arial"/>
                <w:sz w:val="17"/>
                <w:szCs w:val="17"/>
                <w:color w:val="auto"/>
              </w:rPr>
              <w:t>Item 3.</w:t>
            </w:r>
          </w:p>
        </w:tc>
        <w:tc>
          <w:tcPr>
            <w:tcW w:w="9420" w:type="dxa"/>
            <w:vAlign w:val="bottom"/>
          </w:tcPr>
          <w:p>
            <w:pPr>
              <w:ind w:left="300"/>
              <w:spacing w:after="0"/>
              <w:rPr>
                <w:sz w:val="20"/>
                <w:szCs w:val="20"/>
                <w:color w:val="auto"/>
              </w:rPr>
            </w:pPr>
            <w:r>
              <w:rPr>
                <w:rFonts w:ascii="Arial" w:cs="Arial" w:eastAsia="Arial" w:hAnsi="Arial"/>
                <w:sz w:val="17"/>
                <w:szCs w:val="17"/>
                <w:color w:val="auto"/>
              </w:rPr>
              <w:t>Defaults Upon Senior Securities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41</w:t>
            </w:r>
          </w:p>
        </w:tc>
      </w:tr>
      <w:tr>
        <w:trPr>
          <w:trHeight w:val="248"/>
        </w:trPr>
        <w:tc>
          <w:tcPr>
            <w:tcW w:w="960" w:type="dxa"/>
            <w:vAlign w:val="bottom"/>
          </w:tcPr>
          <w:p>
            <w:pPr>
              <w:ind w:left="20"/>
              <w:spacing w:after="0"/>
              <w:rPr>
                <w:sz w:val="20"/>
                <w:szCs w:val="20"/>
                <w:color w:val="auto"/>
              </w:rPr>
            </w:pPr>
            <w:r>
              <w:rPr>
                <w:rFonts w:ascii="Arial" w:cs="Arial" w:eastAsia="Arial" w:hAnsi="Arial"/>
                <w:sz w:val="17"/>
                <w:szCs w:val="17"/>
                <w:color w:val="auto"/>
              </w:rPr>
              <w:t>Item 4.</w:t>
            </w:r>
          </w:p>
        </w:tc>
        <w:tc>
          <w:tcPr>
            <w:tcW w:w="9420" w:type="dxa"/>
            <w:vAlign w:val="bottom"/>
          </w:tcPr>
          <w:p>
            <w:pPr>
              <w:ind w:left="300"/>
              <w:spacing w:after="0"/>
              <w:rPr>
                <w:sz w:val="20"/>
                <w:szCs w:val="20"/>
                <w:color w:val="auto"/>
              </w:rPr>
            </w:pPr>
            <w:r>
              <w:rPr>
                <w:rFonts w:ascii="Arial" w:cs="Arial" w:eastAsia="Arial" w:hAnsi="Arial"/>
                <w:sz w:val="17"/>
                <w:szCs w:val="17"/>
                <w:color w:val="auto"/>
              </w:rPr>
              <w:t>Mine Safety Disclosures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41</w:t>
            </w:r>
          </w:p>
        </w:tc>
      </w:tr>
      <w:tr>
        <w:trPr>
          <w:trHeight w:val="248"/>
        </w:trPr>
        <w:tc>
          <w:tcPr>
            <w:tcW w:w="960" w:type="dxa"/>
            <w:vAlign w:val="bottom"/>
          </w:tcPr>
          <w:p>
            <w:pPr>
              <w:ind w:left="20"/>
              <w:spacing w:after="0"/>
              <w:rPr>
                <w:sz w:val="20"/>
                <w:szCs w:val="20"/>
                <w:color w:val="auto"/>
              </w:rPr>
            </w:pPr>
            <w:r>
              <w:rPr>
                <w:rFonts w:ascii="Arial" w:cs="Arial" w:eastAsia="Arial" w:hAnsi="Arial"/>
                <w:sz w:val="17"/>
                <w:szCs w:val="17"/>
                <w:color w:val="auto"/>
              </w:rPr>
              <w:t>Item 5.</w:t>
            </w:r>
          </w:p>
        </w:tc>
        <w:tc>
          <w:tcPr>
            <w:tcW w:w="9420" w:type="dxa"/>
            <w:vAlign w:val="bottom"/>
          </w:tcPr>
          <w:p>
            <w:pPr>
              <w:ind w:left="300"/>
              <w:spacing w:after="0"/>
              <w:rPr>
                <w:sz w:val="20"/>
                <w:szCs w:val="20"/>
                <w:color w:val="auto"/>
              </w:rPr>
            </w:pPr>
            <w:r>
              <w:rPr>
                <w:rFonts w:ascii="Arial" w:cs="Arial" w:eastAsia="Arial" w:hAnsi="Arial"/>
                <w:sz w:val="17"/>
                <w:szCs w:val="17"/>
                <w:color w:val="auto"/>
              </w:rPr>
              <w:t>Other Information</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41</w:t>
            </w:r>
          </w:p>
        </w:tc>
      </w:tr>
      <w:tr>
        <w:trPr>
          <w:trHeight w:val="248"/>
        </w:trPr>
        <w:tc>
          <w:tcPr>
            <w:tcW w:w="960" w:type="dxa"/>
            <w:vAlign w:val="bottom"/>
          </w:tcPr>
          <w:p>
            <w:pPr>
              <w:ind w:left="20"/>
              <w:spacing w:after="0"/>
              <w:rPr>
                <w:sz w:val="20"/>
                <w:szCs w:val="20"/>
                <w:color w:val="auto"/>
              </w:rPr>
            </w:pPr>
            <w:r>
              <w:rPr>
                <w:rFonts w:ascii="Arial" w:cs="Arial" w:eastAsia="Arial" w:hAnsi="Arial"/>
                <w:sz w:val="17"/>
                <w:szCs w:val="17"/>
                <w:color w:val="auto"/>
              </w:rPr>
              <w:t>Item 6.</w:t>
            </w:r>
          </w:p>
        </w:tc>
        <w:tc>
          <w:tcPr>
            <w:tcW w:w="9420" w:type="dxa"/>
            <w:vAlign w:val="bottom"/>
          </w:tcPr>
          <w:p>
            <w:pPr>
              <w:ind w:left="300"/>
              <w:spacing w:after="0"/>
              <w:rPr>
                <w:sz w:val="20"/>
                <w:szCs w:val="20"/>
                <w:color w:val="auto"/>
              </w:rPr>
            </w:pPr>
            <w:r>
              <w:rPr>
                <w:rFonts w:ascii="Arial" w:cs="Arial" w:eastAsia="Arial" w:hAnsi="Arial"/>
                <w:sz w:val="17"/>
                <w:szCs w:val="17"/>
                <w:color w:val="auto"/>
              </w:rPr>
              <w:t>Exhibits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42</w:t>
            </w:r>
          </w:p>
        </w:tc>
      </w:tr>
      <w:tr>
        <w:trPr>
          <w:trHeight w:val="497"/>
        </w:trPr>
        <w:tc>
          <w:tcPr>
            <w:tcW w:w="960" w:type="dxa"/>
            <w:vAlign w:val="bottom"/>
          </w:tcPr>
          <w:p>
            <w:pPr>
              <w:spacing w:after="0"/>
              <w:rPr>
                <w:sz w:val="24"/>
                <w:szCs w:val="24"/>
                <w:color w:val="auto"/>
              </w:rPr>
            </w:pPr>
          </w:p>
        </w:tc>
        <w:tc>
          <w:tcPr>
            <w:tcW w:w="9420" w:type="dxa"/>
            <w:vAlign w:val="bottom"/>
          </w:tcPr>
          <w:p>
            <w:pPr>
              <w:ind w:left="300"/>
              <w:spacing w:after="0"/>
              <w:rPr>
                <w:sz w:val="20"/>
                <w:szCs w:val="20"/>
                <w:color w:val="auto"/>
              </w:rPr>
            </w:pPr>
            <w:r>
              <w:rPr>
                <w:rFonts w:ascii="Arial" w:cs="Arial" w:eastAsia="Arial" w:hAnsi="Arial"/>
                <w:sz w:val="17"/>
                <w:szCs w:val="17"/>
                <w:color w:val="auto"/>
              </w:rPr>
              <w:t>Signatures</w:t>
            </w:r>
          </w:p>
        </w:tc>
        <w:tc>
          <w:tcPr>
            <w:tcW w:w="860" w:type="dxa"/>
            <w:vAlign w:val="bottom"/>
          </w:tcPr>
          <w:p>
            <w:pPr>
              <w:jc w:val="center"/>
              <w:ind w:right="73"/>
              <w:spacing w:after="0"/>
              <w:rPr>
                <w:sz w:val="20"/>
                <w:szCs w:val="20"/>
                <w:color w:val="auto"/>
              </w:rPr>
            </w:pPr>
            <w:r>
              <w:rPr>
                <w:rFonts w:ascii="Arial" w:cs="Arial" w:eastAsia="Arial" w:hAnsi="Arial"/>
                <w:sz w:val="17"/>
                <w:szCs w:val="17"/>
                <w:color w:val="auto"/>
                <w:w w:val="94"/>
              </w:rPr>
              <w:t>44</w:t>
            </w:r>
          </w:p>
        </w:tc>
      </w:tr>
      <w:tr>
        <w:trPr>
          <w:trHeight w:val="902"/>
        </w:trPr>
        <w:tc>
          <w:tcPr>
            <w:tcW w:w="960" w:type="dxa"/>
            <w:vAlign w:val="bottom"/>
          </w:tcPr>
          <w:p>
            <w:pPr>
              <w:spacing w:after="0"/>
              <w:rPr>
                <w:sz w:val="24"/>
                <w:szCs w:val="24"/>
                <w:color w:val="auto"/>
              </w:rPr>
            </w:pPr>
          </w:p>
        </w:tc>
        <w:tc>
          <w:tcPr>
            <w:tcW w:w="9420" w:type="dxa"/>
            <w:vAlign w:val="bottom"/>
          </w:tcPr>
          <w:p>
            <w:pPr>
              <w:jc w:val="center"/>
              <w:ind w:right="13"/>
              <w:spacing w:after="0"/>
              <w:rPr>
                <w:sz w:val="20"/>
                <w:szCs w:val="20"/>
                <w:color w:val="auto"/>
              </w:rPr>
            </w:pPr>
            <w:r>
              <w:rPr>
                <w:rFonts w:ascii="Arial" w:cs="Arial" w:eastAsia="Arial" w:hAnsi="Arial"/>
                <w:sz w:val="17"/>
                <w:szCs w:val="17"/>
                <w:color w:val="auto"/>
                <w:w w:val="84"/>
              </w:rPr>
              <w:t>2</w:t>
            </w:r>
          </w:p>
        </w:tc>
        <w:tc>
          <w:tcPr>
            <w:tcW w:w="860" w:type="dxa"/>
            <w:vAlign w:val="bottom"/>
          </w:tcPr>
          <w:p>
            <w:pPr>
              <w:spacing w:after="0"/>
              <w:rPr>
                <w:sz w:val="24"/>
                <w:szCs w:val="24"/>
                <w:color w:val="auto"/>
              </w:rPr>
            </w:pPr>
          </w:p>
        </w:tc>
      </w:tr>
      <w:tr>
        <w:trPr>
          <w:trHeight w:val="98"/>
        </w:trPr>
        <w:tc>
          <w:tcPr>
            <w:tcW w:w="960" w:type="dxa"/>
            <w:vAlign w:val="bottom"/>
            <w:tcBorders>
              <w:bottom w:val="single" w:sz="8" w:color="9A9A9A"/>
            </w:tcBorders>
          </w:tcPr>
          <w:p>
            <w:pPr>
              <w:spacing w:after="0"/>
              <w:rPr>
                <w:sz w:val="8"/>
                <w:szCs w:val="8"/>
                <w:color w:val="auto"/>
              </w:rPr>
            </w:pPr>
          </w:p>
        </w:tc>
        <w:tc>
          <w:tcPr>
            <w:tcW w:w="94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CONSOLIDATED BALANCE SHEETS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5840" w:type="dxa"/>
            <w:vAlign w:val="bottom"/>
          </w:tcPr>
          <w:p>
            <w:pPr>
              <w:spacing w:after="0"/>
              <w:rPr>
                <w:sz w:val="15"/>
                <w:szCs w:val="15"/>
                <w:color w:val="auto"/>
              </w:rPr>
            </w:pPr>
          </w:p>
        </w:tc>
        <w:tc>
          <w:tcPr>
            <w:tcW w:w="1000" w:type="dxa"/>
            <w:vAlign w:val="bottom"/>
            <w:gridSpan w:val="2"/>
          </w:tcPr>
          <w:p>
            <w:pPr>
              <w:ind w:left="320"/>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September 30, 2022</w:t>
            </w:r>
          </w:p>
        </w:tc>
        <w:tc>
          <w:tcPr>
            <w:tcW w:w="200" w:type="dxa"/>
            <w:vAlign w:val="bottom"/>
          </w:tcPr>
          <w:p>
            <w:pPr>
              <w:spacing w:after="0"/>
              <w:rPr>
                <w:sz w:val="15"/>
                <w:szCs w:val="15"/>
                <w:color w:val="auto"/>
              </w:rPr>
            </w:pPr>
          </w:p>
        </w:tc>
        <w:tc>
          <w:tcPr>
            <w:tcW w:w="1900" w:type="dxa"/>
            <w:vAlign w:val="bottom"/>
          </w:tcPr>
          <w:p>
            <w:pPr>
              <w:jc w:val="right"/>
              <w:ind w:right="250"/>
              <w:spacing w:after="0"/>
              <w:rPr>
                <w:sz w:val="20"/>
                <w:szCs w:val="20"/>
                <w:color w:val="auto"/>
              </w:rPr>
            </w:pPr>
            <w:r>
              <w:rPr>
                <w:rFonts w:ascii="Arial" w:cs="Arial" w:eastAsia="Arial" w:hAnsi="Arial"/>
                <w:sz w:val="14"/>
                <w:szCs w:val="14"/>
                <w:b w:val="1"/>
                <w:bCs w:val="1"/>
                <w:color w:val="auto"/>
                <w:w w:val="94"/>
              </w:rPr>
              <w:t>As of December 31, 2021</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200,564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40,833</w:t>
            </w:r>
          </w:p>
        </w:tc>
        <w:tc>
          <w:tcPr>
            <w:tcW w:w="0" w:type="dxa"/>
            <w:vAlign w:val="bottom"/>
          </w:tcPr>
          <w:p>
            <w:pPr>
              <w:spacing w:after="0"/>
              <w:rPr>
                <w:sz w:val="1"/>
                <w:szCs w:val="1"/>
                <w:color w:val="auto"/>
              </w:rPr>
            </w:pPr>
          </w:p>
        </w:tc>
      </w:tr>
      <w:tr>
        <w:trPr>
          <w:trHeight w:val="186"/>
        </w:trPr>
        <w:tc>
          <w:tcPr>
            <w:tcW w:w="5840" w:type="dxa"/>
            <w:vAlign w:val="bottom"/>
          </w:tcPr>
          <w:p>
            <w:pPr>
              <w:ind w:left="120"/>
              <w:spacing w:after="0"/>
              <w:rPr>
                <w:sz w:val="20"/>
                <w:szCs w:val="20"/>
                <w:color w:val="auto"/>
              </w:rPr>
            </w:pPr>
            <w:r>
              <w:rPr>
                <w:rFonts w:ascii="Arial" w:cs="Arial" w:eastAsia="Arial" w:hAnsi="Arial"/>
                <w:sz w:val="14"/>
                <w:szCs w:val="14"/>
                <w:color w:val="auto"/>
              </w:rPr>
              <w:t>Marketable securities (current)</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222,012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275,340</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Restricted cash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25,032</w:t>
            </w:r>
          </w:p>
        </w:tc>
        <w:tc>
          <w:tcPr>
            <w:tcW w:w="0" w:type="dxa"/>
            <w:vAlign w:val="bottom"/>
          </w:tcPr>
          <w:p>
            <w:pPr>
              <w:spacing w:after="0"/>
              <w:rPr>
                <w:sz w:val="1"/>
                <w:szCs w:val="1"/>
                <w:color w:val="auto"/>
              </w:rPr>
            </w:pPr>
          </w:p>
        </w:tc>
      </w:tr>
      <w:tr>
        <w:trPr>
          <w:trHeight w:val="186"/>
        </w:trPr>
        <w:tc>
          <w:tcPr>
            <w:tcW w:w="584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186"/>
        </w:trPr>
        <w:tc>
          <w:tcPr>
            <w:tcW w:w="5840" w:type="dxa"/>
            <w:vAlign w:val="bottom"/>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3,635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3,607</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431,722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348,541</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166,004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139,141</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Marketable securities (long-term)</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64,396</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Arial" w:cs="Arial" w:eastAsia="Arial" w:hAnsi="Arial"/>
                <w:sz w:val="14"/>
                <w:szCs w:val="14"/>
                <w:color w:val="auto"/>
              </w:rPr>
              <w:t>Restricted cash (long-term)</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76,842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70,168</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right-of-use assets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Arial" w:cs="Arial" w:eastAsia="Arial" w:hAnsi="Arial"/>
                <w:sz w:val="14"/>
                <w:szCs w:val="14"/>
                <w:color w:val="auto"/>
              </w:rPr>
              <w:t>Finance right-of-use assets</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27,012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27,297</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7,995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8,938</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Arial" w:cs="Arial" w:eastAsia="Arial" w:hAnsi="Arial"/>
                <w:sz w:val="14"/>
                <w:szCs w:val="14"/>
                <w:color w:val="auto"/>
              </w:rPr>
              <w:t>Deposits and other assets</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18,165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5,581</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729,411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666,476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8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40" w:type="dxa"/>
            <w:vAlign w:val="bottom"/>
          </w:tcPr>
          <w:p>
            <w:pPr>
              <w:ind w:left="120"/>
              <w:spacing w:after="0"/>
              <w:rPr>
                <w:sz w:val="20"/>
                <w:szCs w:val="20"/>
                <w:color w:val="auto"/>
              </w:rPr>
            </w:pPr>
            <w:r>
              <w:rPr>
                <w:rFonts w:ascii="Arial" w:cs="Arial" w:eastAsia="Arial" w:hAnsi="Arial"/>
                <w:sz w:val="14"/>
                <w:szCs w:val="14"/>
                <w:color w:val="auto"/>
              </w:rPr>
              <w:t>Accounts payable and accrued liabilities</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14,916</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28,288</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lease liabilities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6"/>
        </w:trPr>
        <w:tc>
          <w:tcPr>
            <w:tcW w:w="5840" w:type="dxa"/>
            <w:vAlign w:val="bottom"/>
          </w:tcPr>
          <w:p>
            <w:pPr>
              <w:ind w:left="120"/>
              <w:spacing w:after="0"/>
              <w:rPr>
                <w:sz w:val="20"/>
                <w:szCs w:val="20"/>
                <w:color w:val="auto"/>
              </w:rPr>
            </w:pPr>
            <w:r>
              <w:rPr>
                <w:rFonts w:ascii="Arial" w:cs="Arial" w:eastAsia="Arial" w:hAnsi="Arial"/>
                <w:sz w:val="14"/>
                <w:szCs w:val="14"/>
                <w:color w:val="auto"/>
              </w:rPr>
              <w:t>Finance lease liabilities (current)</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Loans payable - other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9"/>
        </w:trPr>
        <w:tc>
          <w:tcPr>
            <w:tcW w:w="584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17,629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32,631</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Bonds payable (long-term)</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67,038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66,486</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Arial" w:cs="Arial" w:eastAsia="Arial" w:hAnsi="Arial"/>
                <w:sz w:val="14"/>
                <w:szCs w:val="14"/>
                <w:color w:val="auto"/>
              </w:rPr>
              <w:t>Loans payable - other (long-term)</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(long-term)</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Arial" w:cs="Arial" w:eastAsia="Arial" w:hAnsi="Arial"/>
                <w:sz w:val="14"/>
                <w:szCs w:val="14"/>
                <w:color w:val="auto"/>
              </w:rPr>
              <w:t>Finance lease liabilities (long-term)</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16,349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17,797</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9"/>
        </w:trPr>
        <w:tc>
          <w:tcPr>
            <w:tcW w:w="584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104,469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119,221</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40" w:type="dxa"/>
            <w:vAlign w:val="bottom"/>
          </w:tcPr>
          <w:p>
            <w:pPr>
              <w:ind w:left="120"/>
              <w:spacing w:after="0"/>
              <w:rPr>
                <w:sz w:val="20"/>
                <w:szCs w:val="20"/>
                <w:color w:val="auto"/>
              </w:rPr>
            </w:pPr>
            <w:r>
              <w:rPr>
                <w:rFonts w:ascii="Arial" w:cs="Arial" w:eastAsia="Arial" w:hAnsi="Arial"/>
                <w:sz w:val="14"/>
                <w:szCs w:val="14"/>
                <w:color w:val="auto"/>
                <w:w w:val="97"/>
              </w:rPr>
              <w:t>Common stock, $0.01 par value per share; 500,000,000 and 250,000,000 shares authorized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40" w:type="dxa"/>
            <w:vAlign w:val="bottom"/>
          </w:tcPr>
          <w:p>
            <w:pPr>
              <w:ind w:left="280"/>
              <w:spacing w:after="0" w:line="157" w:lineRule="exact"/>
              <w:rPr>
                <w:sz w:val="20"/>
                <w:szCs w:val="20"/>
                <w:color w:val="auto"/>
              </w:rPr>
            </w:pPr>
            <w:r>
              <w:rPr>
                <w:rFonts w:ascii="Arial" w:cs="Arial" w:eastAsia="Arial" w:hAnsi="Arial"/>
                <w:sz w:val="14"/>
                <w:szCs w:val="14"/>
                <w:color w:val="auto"/>
                <w:w w:val="91"/>
              </w:rPr>
              <w:t>September 30, 2022, and December 31, 2021, respectively; 237,221,732 and 201,988,662 shares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840" w:type="dxa"/>
            <w:vAlign w:val="bottom"/>
          </w:tcPr>
          <w:p>
            <w:pPr>
              <w:ind w:left="280"/>
              <w:spacing w:after="0"/>
              <w:rPr>
                <w:sz w:val="20"/>
                <w:szCs w:val="20"/>
                <w:color w:val="auto"/>
              </w:rPr>
            </w:pPr>
            <w:r>
              <w:rPr>
                <w:rFonts w:ascii="Arial" w:cs="Arial" w:eastAsia="Arial" w:hAnsi="Arial"/>
                <w:sz w:val="14"/>
                <w:szCs w:val="14"/>
                <w:color w:val="auto"/>
              </w:rPr>
              <w:t>issued and outstanding at September 30, 2022, and December 31, 2021, respectively.</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2,372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1,254,733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1,103,224</w:t>
            </w:r>
          </w:p>
        </w:tc>
        <w:tc>
          <w:tcPr>
            <w:tcW w:w="0" w:type="dxa"/>
            <w:vAlign w:val="bottom"/>
          </w:tcPr>
          <w:p>
            <w:pPr>
              <w:spacing w:after="0"/>
              <w:rPr>
                <w:sz w:val="1"/>
                <w:szCs w:val="1"/>
                <w:color w:val="auto"/>
              </w:rPr>
            </w:pPr>
          </w:p>
        </w:tc>
      </w:tr>
      <w:tr>
        <w:trPr>
          <w:trHeight w:val="186"/>
        </w:trPr>
        <w:tc>
          <w:tcPr>
            <w:tcW w:w="584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Accumulated deficit</w:t>
            </w: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(629,995)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(557,375)</w:t>
            </w:r>
          </w:p>
        </w:tc>
        <w:tc>
          <w:tcPr>
            <w:tcW w:w="0" w:type="dxa"/>
            <w:vAlign w:val="bottom"/>
          </w:tcPr>
          <w:p>
            <w:pPr>
              <w:spacing w:after="0"/>
              <w:rPr>
                <w:sz w:val="1"/>
                <w:szCs w:val="1"/>
                <w:color w:val="auto"/>
              </w:rPr>
            </w:pPr>
          </w:p>
        </w:tc>
      </w:tr>
      <w:tr>
        <w:trPr>
          <w:trHeight w:val="179"/>
        </w:trPr>
        <w:tc>
          <w:tcPr>
            <w:tcW w:w="584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624,942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547,255</w:t>
            </w: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729,411</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666,476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5"/>
                <w:szCs w:val="15"/>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Note</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7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 and cost of goods sold</w:t>
            </w: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Ethanol sales and related products, net</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8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Hydrocarbon revenue</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86"/>
        </w:trPr>
        <w:tc>
          <w:tcPr>
            <w:tcW w:w="3840" w:type="dxa"/>
            <w:vAlign w:val="bottom"/>
          </w:tcPr>
          <w:p>
            <w:pPr>
              <w:ind w:left="120"/>
              <w:spacing w:after="0"/>
              <w:rPr>
                <w:sz w:val="20"/>
                <w:szCs w:val="20"/>
                <w:color w:val="auto"/>
              </w:rPr>
            </w:pPr>
            <w:r>
              <w:rPr>
                <w:rFonts w:ascii="Arial" w:cs="Arial" w:eastAsia="Arial" w:hAnsi="Arial"/>
                <w:sz w:val="14"/>
                <w:szCs w:val="14"/>
                <w:color w:val="auto"/>
              </w:rPr>
              <w:t>Renewable natural gas commodity</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revenues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2, 20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Cost of production</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4,896</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Idle facility costs</w:t>
            </w: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10, 11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3,374</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cost of goods sold</w:t>
            </w: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11,001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8,270</w:t>
            </w:r>
          </w:p>
        </w:tc>
        <w:tc>
          <w:tcPr>
            <w:tcW w:w="0" w:type="dxa"/>
            <w:vAlign w:val="bottom"/>
          </w:tcPr>
          <w:p>
            <w:pPr>
              <w:spacing w:after="0"/>
              <w:rPr>
                <w:sz w:val="1"/>
                <w:szCs w:val="1"/>
                <w:color w:val="auto"/>
              </w:rPr>
            </w:pPr>
          </w:p>
        </w:tc>
      </w:tr>
      <w:tr>
        <w:trPr>
          <w:trHeight w:val="179"/>
        </w:trPr>
        <w:tc>
          <w:tcPr>
            <w:tcW w:w="3840" w:type="dxa"/>
            <w:vAlign w:val="bottom"/>
          </w:tcPr>
          <w:p>
            <w:pPr>
              <w:ind w:left="140"/>
              <w:spacing w:after="0"/>
              <w:rPr>
                <w:sz w:val="20"/>
                <w:szCs w:val="20"/>
                <w:color w:val="auto"/>
              </w:rPr>
            </w:pPr>
            <w:r>
              <w:rPr>
                <w:rFonts w:ascii="Arial" w:cs="Arial" w:eastAsia="Arial" w:hAnsi="Arial"/>
                <w:sz w:val="14"/>
                <w:szCs w:val="14"/>
                <w:color w:val="auto"/>
              </w:rPr>
              <w:t>Gross loss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(10,371)</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(7,791)</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Research and development expense</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4,205</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Selling, general and administrative expense</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11,144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29,205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17,947</w:t>
            </w:r>
          </w:p>
        </w:tc>
        <w:tc>
          <w:tcPr>
            <w:tcW w:w="0" w:type="dxa"/>
            <w:vAlign w:val="bottom"/>
          </w:tcPr>
          <w:p>
            <w:pPr>
              <w:spacing w:after="0"/>
              <w:rPr>
                <w:sz w:val="1"/>
                <w:szCs w:val="1"/>
                <w:color w:val="auto"/>
              </w:rPr>
            </w:pPr>
          </w:p>
        </w:tc>
      </w:tr>
      <w:tr>
        <w:trPr>
          <w:trHeight w:val="186"/>
        </w:trPr>
        <w:tc>
          <w:tcPr>
            <w:tcW w:w="3840" w:type="dxa"/>
            <w:vAlign w:val="bottom"/>
          </w:tcPr>
          <w:p>
            <w:pPr>
              <w:ind w:left="120"/>
              <w:spacing w:after="0"/>
              <w:rPr>
                <w:sz w:val="20"/>
                <w:szCs w:val="20"/>
                <w:color w:val="auto"/>
              </w:rPr>
            </w:pPr>
            <w:r>
              <w:rPr>
                <w:rFonts w:ascii="Arial" w:cs="Arial" w:eastAsia="Arial" w:hAnsi="Arial"/>
                <w:sz w:val="14"/>
                <w:szCs w:val="14"/>
                <w:color w:val="auto"/>
              </w:rPr>
              <w:t>Preliminary stage project costs</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8,512</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operations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Impairment loss</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24,749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24,749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on disposal of assets</w:t>
            </w: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10, 11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operating expenses</w:t>
            </w: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40,080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11,372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65,368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35,999</w:t>
            </w:r>
          </w:p>
        </w:tc>
        <w:tc>
          <w:tcPr>
            <w:tcW w:w="0" w:type="dxa"/>
            <w:vAlign w:val="bottom"/>
          </w:tcPr>
          <w:p>
            <w:pPr>
              <w:spacing w:after="0"/>
              <w:rPr>
                <w:sz w:val="1"/>
                <w:szCs w:val="1"/>
                <w:color w:val="auto"/>
              </w:rPr>
            </w:pPr>
          </w:p>
        </w:tc>
      </w:tr>
      <w:tr>
        <w:trPr>
          <w:trHeight w:val="179"/>
        </w:trPr>
        <w:tc>
          <w:tcPr>
            <w:tcW w:w="384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(43,669)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(14,734)</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(75,739)</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(43,790)</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40" w:type="dxa"/>
            <w:vAlign w:val="bottom"/>
          </w:tcPr>
          <w:p>
            <w:pPr>
              <w:ind w:left="120"/>
              <w:spacing w:after="0"/>
              <w:rPr>
                <w:sz w:val="20"/>
                <w:szCs w:val="20"/>
                <w:color w:val="auto"/>
              </w:rPr>
            </w:pPr>
            <w:r>
              <w:rPr>
                <w:rFonts w:ascii="Arial" w:cs="Arial" w:eastAsia="Arial" w:hAnsi="Arial"/>
                <w:sz w:val="14"/>
                <w:szCs w:val="14"/>
                <w:color w:val="auto"/>
              </w:rPr>
              <w:t>Gain (loss) from change in fair value of derivative warrant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40" w:type="dxa"/>
            <w:vAlign w:val="bottom"/>
          </w:tcPr>
          <w:p>
            <w:pPr>
              <w:ind w:left="120"/>
              <w:spacing w:after="0"/>
              <w:rPr>
                <w:sz w:val="20"/>
                <w:szCs w:val="20"/>
                <w:color w:val="auto"/>
              </w:rPr>
            </w:pPr>
            <w:r>
              <w:rPr>
                <w:rFonts w:ascii="Arial" w:cs="Arial" w:eastAsia="Arial" w:hAnsi="Arial"/>
                <w:sz w:val="14"/>
                <w:szCs w:val="14"/>
                <w:color w:val="auto"/>
              </w:rPr>
              <w:t>liability</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Investment income (loss)</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Gain on forgiveness of SBA loan</w:t>
            </w: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other income (expense), net</w:t>
            </w: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02"/>
        </w:trPr>
        <w:tc>
          <w:tcPr>
            <w:tcW w:w="3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(43,786)</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(14,380)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(72,620)</w:t>
            </w:r>
          </w:p>
        </w:tc>
        <w:tc>
          <w:tcPr>
            <w:tcW w:w="10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(42,690)</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 basic and diluted</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4"/>
                <w:szCs w:val="14"/>
                <w:color w:val="auto"/>
                <w:w w:val="93"/>
              </w:rPr>
              <w:t>Weighted-average number of common shares outstanding - basic</w:t>
            </w: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236,649,805</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199,341,519</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216,255,710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193,739,605</w:t>
            </w:r>
          </w:p>
        </w:tc>
        <w:tc>
          <w:tcPr>
            <w:tcW w:w="0" w:type="dxa"/>
            <w:vAlign w:val="bottom"/>
          </w:tcPr>
          <w:p>
            <w:pPr>
              <w:spacing w:after="0"/>
              <w:rPr>
                <w:sz w:val="1"/>
                <w:szCs w:val="1"/>
                <w:color w:val="auto"/>
              </w:rPr>
            </w:pPr>
          </w:p>
        </w:tc>
      </w:tr>
      <w:tr>
        <w:trPr>
          <w:trHeight w:val="175"/>
        </w:trPr>
        <w:tc>
          <w:tcPr>
            <w:tcW w:w="3840" w:type="dxa"/>
            <w:vAlign w:val="bottom"/>
          </w:tcPr>
          <w:p>
            <w:pPr>
              <w:ind w:left="20"/>
              <w:spacing w:after="0"/>
              <w:rPr>
                <w:sz w:val="20"/>
                <w:szCs w:val="20"/>
                <w:color w:val="auto"/>
              </w:rPr>
            </w:pPr>
            <w:r>
              <w:rPr>
                <w:rFonts w:ascii="Arial" w:cs="Arial" w:eastAsia="Arial" w:hAnsi="Arial"/>
                <w:sz w:val="14"/>
                <w:szCs w:val="14"/>
                <w:color w:val="auto"/>
              </w:rPr>
              <w:t>and diluted</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3040" w:type="dxa"/>
            <w:vAlign w:val="bottom"/>
            <w:gridSpan w:val="4"/>
          </w:tcPr>
          <w:p>
            <w:pPr>
              <w:jc w:val="right"/>
              <w:ind w:right="42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2"/>
        </w:trPr>
        <w:tc>
          <w:tcPr>
            <w:tcW w:w="3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370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Note</w:t>
            </w:r>
          </w:p>
        </w:tc>
        <w:tc>
          <w:tcPr>
            <w:tcW w:w="280" w:type="dxa"/>
            <w:vAlign w:val="bottom"/>
          </w:tcPr>
          <w:p>
            <w:pPr>
              <w:spacing w:after="0"/>
              <w:rPr>
                <w:sz w:val="17"/>
                <w:szCs w:val="17"/>
                <w:color w:val="auto"/>
              </w:rPr>
            </w:pPr>
          </w:p>
        </w:tc>
        <w:tc>
          <w:tcPr>
            <w:tcW w:w="1340" w:type="dxa"/>
            <w:vAlign w:val="bottom"/>
          </w:tcPr>
          <w:p>
            <w:pPr>
              <w:jc w:val="right"/>
              <w:ind w:right="58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6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56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3"/>
        </w:trPr>
        <w:tc>
          <w:tcPr>
            <w:tcW w:w="3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(43,786)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(72,620)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(42,690)</w:t>
            </w:r>
          </w:p>
        </w:tc>
      </w:tr>
      <w:tr>
        <w:trPr>
          <w:trHeight w:val="186"/>
        </w:trPr>
        <w:tc>
          <w:tcPr>
            <w:tcW w:w="37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3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5"/>
        </w:trPr>
        <w:tc>
          <w:tcPr>
            <w:tcW w:w="3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Unrealized gain (loss) on available-for-sale securities</w:t>
            </w:r>
          </w:p>
        </w:tc>
        <w:tc>
          <w:tcPr>
            <w:tcW w:w="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28"/>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(43,698)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(14,369)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(74,174)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(42,986)</w:t>
            </w:r>
          </w:p>
        </w:tc>
      </w:tr>
      <w:tr>
        <w:trPr>
          <w:trHeight w:val="20"/>
        </w:trPr>
        <w:tc>
          <w:tcPr>
            <w:tcW w:w="3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60" w:type="dxa"/>
            <w:vAlign w:val="bottom"/>
            <w:gridSpan w:val="11"/>
          </w:tcPr>
          <w:p>
            <w:pPr>
              <w:ind w:left="240"/>
              <w:spacing w:after="0"/>
              <w:rPr>
                <w:sz w:val="20"/>
                <w:szCs w:val="20"/>
                <w:color w:val="auto"/>
              </w:rPr>
            </w:pPr>
            <w:r>
              <w:rPr>
                <w:rFonts w:ascii="Arial" w:cs="Arial" w:eastAsia="Arial" w:hAnsi="Arial"/>
                <w:sz w:val="14"/>
                <w:szCs w:val="14"/>
                <w:b w:val="1"/>
                <w:bCs w:val="1"/>
                <w:color w:val="auto"/>
              </w:rPr>
              <w:t>For the three months ended September 30, 2022 and 2021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5"/>
            <w:vMerge w:val="restart"/>
          </w:tcPr>
          <w:p>
            <w:pPr>
              <w:ind w:left="600"/>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6"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right"/>
              <w:ind w:right="160"/>
              <w:spacing w:after="0" w:line="124" w:lineRule="exact"/>
              <w:rPr>
                <w:sz w:val="20"/>
                <w:szCs w:val="20"/>
                <w:color w:val="auto"/>
              </w:rPr>
            </w:pPr>
            <w:r>
              <w:rPr>
                <w:rFonts w:ascii="Arial" w:cs="Arial" w:eastAsia="Arial" w:hAnsi="Arial"/>
                <w:sz w:val="14"/>
                <w:szCs w:val="14"/>
                <w:color w:val="auto"/>
                <w:w w:val="93"/>
              </w:rPr>
              <w:t>Comprehensive</w:t>
            </w:r>
          </w:p>
        </w:tc>
        <w:tc>
          <w:tcPr>
            <w:tcW w:w="100" w:type="dxa"/>
            <w:vAlign w:val="bottom"/>
          </w:tcPr>
          <w:p>
            <w:pPr>
              <w:spacing w:after="0"/>
              <w:rPr>
                <w:sz w:val="9"/>
                <w:szCs w:val="9"/>
                <w:color w:val="auto"/>
              </w:rPr>
            </w:pPr>
          </w:p>
        </w:tc>
        <w:tc>
          <w:tcPr>
            <w:tcW w:w="980" w:type="dxa"/>
            <w:vAlign w:val="bottom"/>
            <w:gridSpan w:val="2"/>
            <w:vMerge w:val="restart"/>
          </w:tcPr>
          <w:p>
            <w:pPr>
              <w:ind w:left="20"/>
              <w:spacing w:after="0" w:line="124"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9"/>
                <w:szCs w:val="9"/>
                <w:color w:val="auto"/>
              </w:rPr>
            </w:pPr>
          </w:p>
        </w:tc>
        <w:tc>
          <w:tcPr>
            <w:tcW w:w="900" w:type="dxa"/>
            <w:vAlign w:val="bottom"/>
            <w:vMerge w:val="restart"/>
          </w:tcPr>
          <w:p>
            <w:pPr>
              <w:jc w:val="right"/>
              <w:ind w:right="50"/>
              <w:spacing w:after="0" w:line="124" w:lineRule="exact"/>
              <w:rPr>
                <w:sz w:val="20"/>
                <w:szCs w:val="20"/>
                <w:color w:val="auto"/>
              </w:rPr>
            </w:pPr>
            <w:r>
              <w:rPr>
                <w:rFonts w:ascii="Arial" w:cs="Arial" w:eastAsia="Arial" w:hAnsi="Arial"/>
                <w:sz w:val="14"/>
                <w:szCs w:val="14"/>
                <w:color w:val="auto"/>
                <w:w w:val="90"/>
              </w:rPr>
              <w:t>Stockholders’</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00" w:type="dxa"/>
            <w:vAlign w:val="bottom"/>
          </w:tcPr>
          <w:p>
            <w:pPr>
              <w:spacing w:after="0"/>
              <w:rPr>
                <w:sz w:val="15"/>
                <w:szCs w:val="15"/>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Note</w:t>
            </w:r>
          </w:p>
        </w:tc>
        <w:tc>
          <w:tcPr>
            <w:tcW w:w="110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Amount</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Loss</w:t>
            </w:r>
          </w:p>
        </w:tc>
        <w:tc>
          <w:tcPr>
            <w:tcW w:w="10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5"/>
                <w:szCs w:val="15"/>
                <w:color w:val="auto"/>
              </w:rPr>
            </w:pPr>
          </w:p>
        </w:tc>
        <w:tc>
          <w:tcPr>
            <w:tcW w:w="900" w:type="dxa"/>
            <w:vAlign w:val="bottom"/>
          </w:tcPr>
          <w:p>
            <w:pPr>
              <w:jc w:val="right"/>
              <w:ind w:right="25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4"/>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2022</w:t>
            </w: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235,165,951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1,249,880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(586,209)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663,768</w:t>
            </w: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Non-cash stock-based compensation</w:t>
            </w: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4,361</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 net of taxes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2,055,781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(43,786)</w:t>
            </w: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September 30, 2022</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237,221,732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1,254,733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(629,995)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624,942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197,964,476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1,100,932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(526,482)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576,123</w:t>
            </w:r>
          </w:p>
        </w:tc>
        <w:tc>
          <w:tcPr>
            <w:tcW w:w="0" w:type="dxa"/>
            <w:vAlign w:val="bottom"/>
          </w:tcPr>
          <w:p>
            <w:pPr>
              <w:spacing w:after="0"/>
              <w:rPr>
                <w:sz w:val="1"/>
                <w:szCs w:val="1"/>
                <w:color w:val="auto"/>
              </w:rPr>
            </w:pPr>
          </w:p>
        </w:tc>
      </w:tr>
      <w:tr>
        <w:trPr>
          <w:trHeight w:val="145"/>
        </w:trPr>
        <w:tc>
          <w:tcPr>
            <w:tcW w:w="4300" w:type="dxa"/>
            <w:vAlign w:val="bottom"/>
            <w:shd w:val="clear" w:color="auto" w:fill="CCEEFF"/>
          </w:tcPr>
          <w:p>
            <w:pPr>
              <w:ind w:left="240"/>
              <w:spacing w:after="0" w:line="145" w:lineRule="exact"/>
              <w:rPr>
                <w:sz w:val="20"/>
                <w:szCs w:val="20"/>
                <w:color w:val="auto"/>
              </w:rPr>
            </w:pPr>
            <w:r>
              <w:rPr>
                <w:rFonts w:ascii="Arial" w:cs="Arial" w:eastAsia="Arial" w:hAnsi="Arial"/>
                <w:sz w:val="14"/>
                <w:szCs w:val="14"/>
                <w:color w:val="auto"/>
                <w:w w:val="90"/>
              </w:rPr>
              <w:t>Issuance of common stock and common stock warrants, net of issuance</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costs</w:t>
            </w: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Non-cash stock-based compensation</w:t>
            </w: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 net of taxes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3,915,502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(14,380)</w:t>
            </w: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September 30, 2021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201,879,978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1,098,939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(540,862)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559,800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60" w:type="dxa"/>
            <w:vAlign w:val="bottom"/>
            <w:gridSpan w:val="11"/>
          </w:tcPr>
          <w:p>
            <w:pPr>
              <w:ind w:left="280"/>
              <w:spacing w:after="0"/>
              <w:rPr>
                <w:sz w:val="20"/>
                <w:szCs w:val="20"/>
                <w:color w:val="auto"/>
              </w:rPr>
            </w:pPr>
            <w:r>
              <w:rPr>
                <w:rFonts w:ascii="Arial" w:cs="Arial" w:eastAsia="Arial" w:hAnsi="Arial"/>
                <w:sz w:val="14"/>
                <w:szCs w:val="14"/>
                <w:b w:val="1"/>
                <w:bCs w:val="1"/>
                <w:color w:val="auto"/>
              </w:rPr>
              <w:t>For the nine months ended September 30, 2022 and 2021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5"/>
            <w:vMerge w:val="restart"/>
          </w:tcPr>
          <w:p>
            <w:pPr>
              <w:ind w:left="600"/>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6"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right"/>
              <w:ind w:right="160"/>
              <w:spacing w:after="0" w:line="124" w:lineRule="exact"/>
              <w:rPr>
                <w:sz w:val="20"/>
                <w:szCs w:val="20"/>
                <w:color w:val="auto"/>
              </w:rPr>
            </w:pPr>
            <w:r>
              <w:rPr>
                <w:rFonts w:ascii="Arial" w:cs="Arial" w:eastAsia="Arial" w:hAnsi="Arial"/>
                <w:sz w:val="14"/>
                <w:szCs w:val="14"/>
                <w:color w:val="auto"/>
                <w:w w:val="93"/>
              </w:rPr>
              <w:t>Comprehensive</w:t>
            </w:r>
          </w:p>
        </w:tc>
        <w:tc>
          <w:tcPr>
            <w:tcW w:w="100" w:type="dxa"/>
            <w:vAlign w:val="bottom"/>
          </w:tcPr>
          <w:p>
            <w:pPr>
              <w:spacing w:after="0"/>
              <w:rPr>
                <w:sz w:val="9"/>
                <w:szCs w:val="9"/>
                <w:color w:val="auto"/>
              </w:rPr>
            </w:pPr>
          </w:p>
        </w:tc>
        <w:tc>
          <w:tcPr>
            <w:tcW w:w="980" w:type="dxa"/>
            <w:vAlign w:val="bottom"/>
            <w:gridSpan w:val="2"/>
            <w:vMerge w:val="restart"/>
          </w:tcPr>
          <w:p>
            <w:pPr>
              <w:ind w:left="20"/>
              <w:spacing w:after="0" w:line="124"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9"/>
                <w:szCs w:val="9"/>
                <w:color w:val="auto"/>
              </w:rPr>
            </w:pPr>
          </w:p>
        </w:tc>
        <w:tc>
          <w:tcPr>
            <w:tcW w:w="900" w:type="dxa"/>
            <w:vAlign w:val="bottom"/>
            <w:vMerge w:val="restart"/>
          </w:tcPr>
          <w:p>
            <w:pPr>
              <w:jc w:val="right"/>
              <w:ind w:right="50"/>
              <w:spacing w:after="0" w:line="124" w:lineRule="exact"/>
              <w:rPr>
                <w:sz w:val="20"/>
                <w:szCs w:val="20"/>
                <w:color w:val="auto"/>
              </w:rPr>
            </w:pPr>
            <w:r>
              <w:rPr>
                <w:rFonts w:ascii="Arial" w:cs="Arial" w:eastAsia="Arial" w:hAnsi="Arial"/>
                <w:sz w:val="14"/>
                <w:szCs w:val="14"/>
                <w:color w:val="auto"/>
                <w:w w:val="90"/>
              </w:rPr>
              <w:t>Stockholders’</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00" w:type="dxa"/>
            <w:vAlign w:val="bottom"/>
          </w:tcPr>
          <w:p>
            <w:pPr>
              <w:spacing w:after="0"/>
              <w:rPr>
                <w:sz w:val="15"/>
                <w:szCs w:val="15"/>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Note</w:t>
            </w:r>
          </w:p>
        </w:tc>
        <w:tc>
          <w:tcPr>
            <w:tcW w:w="110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Amount</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Loss</w:t>
            </w:r>
          </w:p>
        </w:tc>
        <w:tc>
          <w:tcPr>
            <w:tcW w:w="10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5"/>
                <w:szCs w:val="15"/>
                <w:color w:val="auto"/>
              </w:rPr>
            </w:pPr>
          </w:p>
        </w:tc>
        <w:tc>
          <w:tcPr>
            <w:tcW w:w="900" w:type="dxa"/>
            <w:vAlign w:val="bottom"/>
          </w:tcPr>
          <w:p>
            <w:pPr>
              <w:jc w:val="right"/>
              <w:ind w:right="25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4"/>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201,988,662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1,103,224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(557,375)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547,255</w:t>
            </w:r>
          </w:p>
        </w:tc>
        <w:tc>
          <w:tcPr>
            <w:tcW w:w="0" w:type="dxa"/>
            <w:vAlign w:val="bottom"/>
          </w:tcPr>
          <w:p>
            <w:pPr>
              <w:spacing w:after="0"/>
              <w:rPr>
                <w:sz w:val="1"/>
                <w:szCs w:val="1"/>
                <w:color w:val="auto"/>
              </w:rPr>
            </w:pPr>
          </w:p>
        </w:tc>
      </w:tr>
      <w:tr>
        <w:trPr>
          <w:trHeight w:val="138"/>
        </w:trPr>
        <w:tc>
          <w:tcPr>
            <w:tcW w:w="4300" w:type="dxa"/>
            <w:vAlign w:val="bottom"/>
          </w:tcPr>
          <w:p>
            <w:pPr>
              <w:ind w:left="240"/>
              <w:spacing w:after="0" w:line="139" w:lineRule="exact"/>
              <w:rPr>
                <w:sz w:val="20"/>
                <w:szCs w:val="20"/>
                <w:color w:val="auto"/>
              </w:rPr>
            </w:pPr>
            <w:r>
              <w:rPr>
                <w:rFonts w:ascii="Arial" w:cs="Arial" w:eastAsia="Arial" w:hAnsi="Arial"/>
                <w:sz w:val="14"/>
                <w:szCs w:val="14"/>
                <w:color w:val="auto"/>
                <w:w w:val="90"/>
              </w:rPr>
              <w:t>Issuance of common stock and common stock warrants, net of issuance</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33,333,336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138,675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139,008</w:t>
            </w:r>
          </w:p>
        </w:tc>
        <w:tc>
          <w:tcPr>
            <w:tcW w:w="0" w:type="dxa"/>
            <w:vAlign w:val="bottom"/>
          </w:tcPr>
          <w:p>
            <w:pPr>
              <w:spacing w:after="0"/>
              <w:rPr>
                <w:sz w:val="1"/>
                <w:szCs w:val="1"/>
                <w:color w:val="auto"/>
              </w:rPr>
            </w:pPr>
          </w:p>
        </w:tc>
      </w:tr>
      <w:tr>
        <w:trPr>
          <w:trHeight w:val="183"/>
        </w:trPr>
        <w:tc>
          <w:tcPr>
            <w:tcW w:w="4300" w:type="dxa"/>
            <w:vAlign w:val="bottom"/>
          </w:tcPr>
          <w:p>
            <w:pPr>
              <w:ind w:left="240"/>
              <w:spacing w:after="0"/>
              <w:rPr>
                <w:sz w:val="20"/>
                <w:szCs w:val="20"/>
                <w:color w:val="auto"/>
              </w:rPr>
            </w:pPr>
            <w:r>
              <w:rPr>
                <w:rFonts w:ascii="Arial" w:cs="Arial" w:eastAsia="Arial" w:hAnsi="Arial"/>
                <w:sz w:val="14"/>
                <w:szCs w:val="14"/>
                <w:color w:val="auto"/>
              </w:rPr>
              <w:t>costs</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upon exercise of warrants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Non-cash stock-based compensation</w:t>
            </w: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 net of taxes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1,895,057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w:t>
            </w: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September 30, 2022</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237,221,732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1,254,733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(629,995)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624,942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128,138,311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146,379</w:t>
            </w: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Issuance of common stock, net of issuance costs</w:t>
            </w: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68,170,579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456,801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457,483</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upon exercise of warrants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1,866,758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Non-cash stock-based compensation</w:t>
            </w: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 net of taxes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3,704,330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(5,497)</w:t>
            </w:r>
          </w:p>
        </w:tc>
        <w:tc>
          <w:tcPr>
            <w:tcW w:w="0" w:type="dxa"/>
            <w:vAlign w:val="bottom"/>
          </w:tcPr>
          <w:p>
            <w:pPr>
              <w:spacing w:after="0"/>
              <w:rPr>
                <w:sz w:val="1"/>
                <w:szCs w:val="1"/>
                <w:color w:val="auto"/>
              </w:rPr>
            </w:pPr>
          </w:p>
        </w:tc>
      </w:tr>
      <w:tr>
        <w:trPr>
          <w:trHeight w:val="187"/>
        </w:trPr>
        <w:tc>
          <w:tcPr>
            <w:tcW w:w="43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(42,690)</w:t>
            </w: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September 30, 2021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201,879,978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1,098,939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(540,862)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559,800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Note</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(72,620)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(42,690)</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0" w:type="dxa"/>
            <w:vAlign w:val="bottom"/>
          </w:tcPr>
          <w:p>
            <w:pPr>
              <w:ind w:left="240"/>
              <w:spacing w:after="0"/>
              <w:rPr>
                <w:sz w:val="20"/>
                <w:szCs w:val="20"/>
                <w:color w:val="auto"/>
              </w:rPr>
            </w:pPr>
            <w:r>
              <w:rPr>
                <w:rFonts w:ascii="Arial" w:cs="Arial" w:eastAsia="Arial" w:hAnsi="Arial"/>
                <w:sz w:val="14"/>
                <w:szCs w:val="14"/>
                <w:color w:val="auto"/>
              </w:rPr>
              <w:t>Impairment loss</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24,749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disposal of assets</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86"/>
        </w:trPr>
        <w:tc>
          <w:tcPr>
            <w:tcW w:w="7200" w:type="dxa"/>
            <w:vAlign w:val="bottom"/>
          </w:tcPr>
          <w:p>
            <w:pPr>
              <w:ind w:left="240"/>
              <w:spacing w:after="0"/>
              <w:rPr>
                <w:sz w:val="20"/>
                <w:szCs w:val="20"/>
                <w:color w:val="auto"/>
              </w:rPr>
            </w:pPr>
            <w:r>
              <w:rPr>
                <w:rFonts w:ascii="Arial" w:cs="Arial" w:eastAsia="Arial" w:hAnsi="Arial"/>
                <w:sz w:val="14"/>
                <w:szCs w:val="14"/>
                <w:color w:val="auto"/>
              </w:rPr>
              <w:t>(Gain) on forgiveness of SBA Loans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5,823</w:t>
            </w:r>
          </w:p>
        </w:tc>
        <w:tc>
          <w:tcPr>
            <w:tcW w:w="0" w:type="dxa"/>
            <w:vAlign w:val="bottom"/>
          </w:tcPr>
          <w:p>
            <w:pPr>
              <w:spacing w:after="0"/>
              <w:rPr>
                <w:sz w:val="1"/>
                <w:szCs w:val="1"/>
                <w:color w:val="auto"/>
              </w:rPr>
            </w:pPr>
          </w:p>
        </w:tc>
      </w:tr>
      <w:tr>
        <w:trPr>
          <w:trHeight w:val="186"/>
        </w:trPr>
        <w:tc>
          <w:tcPr>
            <w:tcW w:w="720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10, 11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3,572</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Amortization of marketable securities premium</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200" w:type="dxa"/>
            <w:vAlign w:val="bottom"/>
          </w:tcPr>
          <w:p>
            <w:pPr>
              <w:ind w:left="240"/>
              <w:spacing w:after="0"/>
              <w:rPr>
                <w:sz w:val="20"/>
                <w:szCs w:val="20"/>
                <w:color w:val="auto"/>
              </w:rPr>
            </w:pPr>
            <w:r>
              <w:rPr>
                <w:rFonts w:ascii="Arial" w:cs="Arial" w:eastAsia="Arial" w:hAnsi="Arial"/>
                <w:sz w:val="14"/>
                <w:szCs w:val="14"/>
                <w:color w:val="auto"/>
              </w:rPr>
              <w:t>Other noncash (income) expense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720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 deposits and other assets</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7, 12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(4,459)</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 accrued expenses and long-term liabilities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13, 14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0" w:type="dxa"/>
            <w:vAlign w:val="bottom"/>
          </w:tcPr>
          <w:p>
            <w:pPr>
              <w:spacing w:after="0"/>
              <w:rPr>
                <w:sz w:val="1"/>
                <w:szCs w:val="1"/>
                <w:color w:val="auto"/>
              </w:rPr>
            </w:pPr>
          </w:p>
        </w:tc>
      </w:tr>
      <w:tr>
        <w:trPr>
          <w:trHeight w:val="179"/>
        </w:trPr>
        <w:tc>
          <w:tcPr>
            <w:tcW w:w="7200" w:type="dxa"/>
            <w:vAlign w:val="bottom"/>
          </w:tcPr>
          <w:p>
            <w:pPr>
              <w:ind w:left="540"/>
              <w:spacing w:after="0"/>
              <w:rPr>
                <w:sz w:val="20"/>
                <w:szCs w:val="20"/>
                <w:color w:val="auto"/>
              </w:rPr>
            </w:pPr>
            <w:r>
              <w:rPr>
                <w:rFonts w:ascii="Arial" w:cs="Arial" w:eastAsia="Arial" w:hAnsi="Arial"/>
                <w:sz w:val="14"/>
                <w:szCs w:val="14"/>
                <w:b w:val="1"/>
                <w:bCs w:val="1"/>
                <w:color w:val="auto"/>
              </w:rPr>
              <w:t>Net cash used in operating activities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(36,770)</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(28,693)</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Acquisitions of property, plant and equipment</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(68,535)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(30,955)</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Acquisition of patent portfolio</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Proceeds from sale and maturity of marketable securities</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243,817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34,332</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Purchase of patents and license</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Purchase of marketable securities</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(130,402)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(422,362)</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44,870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(427,985)</w:t>
            </w:r>
          </w:p>
        </w:tc>
        <w:tc>
          <w:tcPr>
            <w:tcW w:w="0" w:type="dxa"/>
            <w:vAlign w:val="bottom"/>
          </w:tcPr>
          <w:p>
            <w:pPr>
              <w:spacing w:after="0"/>
              <w:rPr>
                <w:sz w:val="1"/>
                <w:szCs w:val="1"/>
                <w:color w:val="auto"/>
              </w:rPr>
            </w:pPr>
          </w:p>
        </w:tc>
      </w:tr>
      <w:tr>
        <w:trPr>
          <w:trHeight w:val="16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Proceeds from issuance of 2021 Bonds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68,995</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Debt and equity offering costs</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(10,993)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(34,919)</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 and common stock warrants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487,549</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Proceeds from exercise of warrants</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settlement of common stock under stock plans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Payment of loans payable - other</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Payment of finance lease liabilities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79"/>
        </w:trPr>
        <w:tc>
          <w:tcPr>
            <w:tcW w:w="7200" w:type="dxa"/>
            <w:vAlign w:val="bottom"/>
          </w:tcPr>
          <w:p>
            <w:pPr>
              <w:ind w:left="540"/>
              <w:spacing w:after="0"/>
              <w:rPr>
                <w:sz w:val="20"/>
                <w:szCs w:val="20"/>
                <w:color w:val="auto"/>
              </w:rPr>
            </w:pPr>
            <w:r>
              <w:rPr>
                <w:rFonts w:ascii="Arial" w:cs="Arial" w:eastAsia="Arial" w:hAnsi="Arial"/>
                <w:sz w:val="14"/>
                <w:szCs w:val="14"/>
                <w:b w:val="1"/>
                <w:bCs w:val="1"/>
                <w:color w:val="auto"/>
              </w:rPr>
              <w:t>Net cash provided by financing activities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134,297</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514,513</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142,397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57,835</w:t>
            </w:r>
          </w:p>
        </w:tc>
        <w:tc>
          <w:tcPr>
            <w:tcW w:w="0" w:type="dxa"/>
            <w:vAlign w:val="bottom"/>
          </w:tcPr>
          <w:p>
            <w:pPr>
              <w:spacing w:after="0"/>
              <w:rPr>
                <w:sz w:val="1"/>
                <w:szCs w:val="1"/>
                <w:color w:val="auto"/>
              </w:rPr>
            </w:pPr>
          </w:p>
        </w:tc>
      </w:tr>
      <w:tr>
        <w:trPr>
          <w:trHeight w:val="186"/>
        </w:trPr>
        <w:tc>
          <w:tcPr>
            <w:tcW w:w="72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136,033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78,338</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278,430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136,173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Schedule of cash, cash equivalents and restricted cash</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200,564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16,201</w:t>
            </w:r>
          </w:p>
        </w:tc>
        <w:tc>
          <w:tcPr>
            <w:tcW w:w="0" w:type="dxa"/>
            <w:vAlign w:val="bottom"/>
          </w:tcPr>
          <w:p>
            <w:pPr>
              <w:spacing w:after="0"/>
              <w:rPr>
                <w:sz w:val="1"/>
                <w:szCs w:val="1"/>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Restricted cash (current)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49,804</w:t>
            </w: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76,842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70,168</w:t>
            </w:r>
          </w:p>
        </w:tc>
        <w:tc>
          <w:tcPr>
            <w:tcW w:w="0" w:type="dxa"/>
            <w:vAlign w:val="bottom"/>
          </w:tcPr>
          <w:p>
            <w:pPr>
              <w:spacing w:after="0"/>
              <w:rPr>
                <w:sz w:val="1"/>
                <w:szCs w:val="1"/>
                <w:color w:val="auto"/>
              </w:rPr>
            </w:pPr>
          </w:p>
        </w:tc>
      </w:tr>
      <w:tr>
        <w:trPr>
          <w:trHeight w:val="209"/>
        </w:trPr>
        <w:tc>
          <w:tcPr>
            <w:tcW w:w="7980" w:type="dxa"/>
            <w:vAlign w:val="bottom"/>
          </w:tcPr>
          <w:p>
            <w:pPr>
              <w:ind w:left="24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278,430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136,173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and non-cash investing and financing transactions</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980" w:type="dxa"/>
            <w:vAlign w:val="bottom"/>
            <w:vMerge w:val="continue"/>
          </w:tcPr>
          <w:p>
            <w:pPr>
              <w:spacing w:after="0"/>
              <w:rPr>
                <w:sz w:val="15"/>
                <w:szCs w:val="15"/>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 net of amounts capitalized</w:t>
            </w:r>
          </w:p>
        </w:tc>
        <w:tc>
          <w:tcPr>
            <w:tcW w:w="104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Non-cash purchase of property, plant and equipment</w:t>
            </w:r>
          </w:p>
        </w:tc>
        <w:tc>
          <w:tcPr>
            <w:tcW w:w="1040" w:type="dxa"/>
            <w:vAlign w:val="bottom"/>
          </w:tcPr>
          <w:p>
            <w:pPr>
              <w:jc w:val="right"/>
              <w:ind w:right="89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11,136</w:t>
            </w:r>
          </w:p>
        </w:tc>
        <w:tc>
          <w:tcPr>
            <w:tcW w:w="10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12,164</w:t>
            </w:r>
          </w:p>
        </w:tc>
        <w:tc>
          <w:tcPr>
            <w:tcW w:w="0" w:type="dxa"/>
            <w:vAlign w:val="bottom"/>
          </w:tcPr>
          <w:p>
            <w:pPr>
              <w:spacing w:after="0"/>
              <w:rPr>
                <w:sz w:val="1"/>
                <w:szCs w:val="1"/>
                <w:color w:val="auto"/>
              </w:rPr>
            </w:pP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 purchased with financing leases</w:t>
            </w:r>
          </w:p>
        </w:tc>
        <w:tc>
          <w:tcPr>
            <w:tcW w:w="1040" w:type="dxa"/>
            <w:vAlign w:val="bottom"/>
            <w:shd w:val="clear" w:color="auto" w:fill="CCEEFF"/>
          </w:tcPr>
          <w:p>
            <w:pPr>
              <w:jc w:val="right"/>
              <w:ind w:right="89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28,416</w:t>
            </w:r>
          </w:p>
        </w:tc>
        <w:tc>
          <w:tcPr>
            <w:tcW w:w="0" w:type="dxa"/>
            <w:vAlign w:val="bottom"/>
          </w:tcPr>
          <w:p>
            <w:pPr>
              <w:spacing w:after="0"/>
              <w:rPr>
                <w:sz w:val="1"/>
                <w:szCs w:val="1"/>
                <w:color w:val="auto"/>
              </w:rPr>
            </w:pPr>
          </w:p>
        </w:tc>
      </w:tr>
      <w:tr>
        <w:trPr>
          <w:trHeight w:val="178"/>
        </w:trPr>
        <w:tc>
          <w:tcPr>
            <w:tcW w:w="7980" w:type="dxa"/>
            <w:vAlign w:val="bottom"/>
          </w:tcPr>
          <w:p>
            <w:pPr>
              <w:ind w:left="20"/>
              <w:spacing w:after="0"/>
              <w:rPr>
                <w:sz w:val="20"/>
                <w:szCs w:val="20"/>
                <w:color w:val="auto"/>
              </w:rPr>
            </w:pPr>
            <w:r>
              <w:rPr>
                <w:rFonts w:ascii="Arial" w:cs="Arial" w:eastAsia="Arial" w:hAnsi="Arial"/>
                <w:sz w:val="14"/>
                <w:szCs w:val="14"/>
                <w:color w:val="auto"/>
              </w:rPr>
              <w:t>Right-of-use asset purchased with operating lease</w:t>
            </w:r>
          </w:p>
        </w:tc>
        <w:tc>
          <w:tcPr>
            <w:tcW w:w="1040" w:type="dxa"/>
            <w:vAlign w:val="bottom"/>
          </w:tcPr>
          <w:p>
            <w:pPr>
              <w:jc w:val="right"/>
              <w:ind w:right="89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Financial Condition and Basis of Presentation</w:t>
      </w:r>
    </w:p>
    <w:p>
      <w:pPr>
        <w:spacing w:after="0" w:line="255"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Gevo, Inc. (Nasdaq: GEVO) ("Gevo" or the "Company," which, unless otherwise indicated, refers to Gevo, Inc. and its subsidiaries),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 founded in 2005, is a growth-oriented company with the mission of solving greenhouse gas emissions for those sectors of the transportation industry that are not amenable to electrification or hydrogen.</w:t>
      </w:r>
    </w:p>
    <w:p>
      <w:pPr>
        <w:spacing w:after="0" w:line="198" w:lineRule="exact"/>
        <w:rPr>
          <w:sz w:val="20"/>
          <w:szCs w:val="20"/>
          <w:color w:val="auto"/>
        </w:rPr>
      </w:pPr>
    </w:p>
    <w:p>
      <w:pPr>
        <w:ind w:right="180" w:firstLine="470"/>
        <w:spacing w:after="0" w:line="304" w:lineRule="auto"/>
        <w:rPr>
          <w:sz w:val="20"/>
          <w:szCs w:val="20"/>
          <w:color w:val="auto"/>
        </w:rPr>
      </w:pPr>
      <w:r>
        <w:rPr>
          <w:rFonts w:ascii="Arial" w:cs="Arial" w:eastAsia="Arial" w:hAnsi="Arial"/>
          <w:sz w:val="15"/>
          <w:szCs w:val="15"/>
          <w:color w:val="auto"/>
        </w:rPr>
        <w:t>The Company is focused on transforming renewable energy into energy-dense liquid drop-in hydrocarbons that can be used as renewable fuels, such as sustainable aviation fuel ("SAF") and other fuels and chemicals, with the potential to achieve a “net-zero” greenhouse gas ("GHG") footprint. The Company uses the Argonne National Laboratory’s GREET (Greenhouse gases, Regulated Emissions, and Energy use in Transportation) model (the "GREET Model") to measure, predict and verify GHG emissions across the life-cycle of its products. The “net-zero” concept means Gevo expects that by using sustainably grown feedstock (i.e., low till, no-till and dry corn cultivation), renewable and substantially decarbonized energy sources, drop-in hydrocarbon fuels can be produced that have a net-zero, full life cycle footprint measured from the capture of renewable carbon through the burning of the fuel.</w:t>
      </w:r>
    </w:p>
    <w:p>
      <w:pPr>
        <w:spacing w:after="0" w:line="179"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Gevo's primary market focus, given current demand and growing customer interest, is SAF. The Company believes it also has commercial opportunities for other renewable hydrocarbon products, such as (i) hydrocarbons for gasoline blendstocks and diesel fuel, (ii) plastics, materials and other chemicals, and (iii) renewable natural gas (“RNG”).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Net-Zero Projects</w:t>
      </w:r>
    </w:p>
    <w:p>
      <w:pPr>
        <w:spacing w:after="0" w:line="255"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color w:val="auto"/>
        </w:rPr>
        <w:t>In early 2021, we announced the concept of “Net-Zero Projects” as a series of planned facilities to produce energy dense liquid hydrocarbons using renewable energy and our proprietary technology. The concept of a Net-Zero Project is to convert renewable energy (e.g., photosynthetic, wind, RNG,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burnt as a fuel for cars, planes, trucks and ships.</w:t>
      </w:r>
    </w:p>
    <w:p>
      <w:pPr>
        <w:spacing w:after="0" w:line="206" w:lineRule="exact"/>
        <w:rPr>
          <w:sz w:val="20"/>
          <w:szCs w:val="20"/>
          <w:color w:val="auto"/>
        </w:rPr>
      </w:pPr>
    </w:p>
    <w:p>
      <w:pPr>
        <w:ind w:right="160" w:firstLine="470"/>
        <w:spacing w:after="0" w:line="284" w:lineRule="auto"/>
        <w:rPr>
          <w:sz w:val="20"/>
          <w:szCs w:val="20"/>
          <w:color w:val="auto"/>
        </w:rPr>
      </w:pPr>
      <w:r>
        <w:rPr>
          <w:rFonts w:ascii="Arial" w:cs="Arial" w:eastAsia="Arial" w:hAnsi="Arial"/>
          <w:sz w:val="16"/>
          <w:szCs w:val="16"/>
          <w:color w:val="auto"/>
        </w:rPr>
        <w:t>Our initial Net-Zero Project, Net-Zero 1 (“NZ1"), is located in Lake Preston, South Dakota, and is being currently designed to produce approximately 62 million gallons per year ("MGPY") of total hydrocarbon volumes, including 55 MGPY of SAF. Along with the hydrocarbons, NZ1 is being currently designed to produce approximately 475 million pounds per year of high-value protein products for use in the food chain and more than 30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Renewable Natural Gas Projects</w:t>
      </w:r>
    </w:p>
    <w:p>
      <w:pPr>
        <w:spacing w:after="0" w:line="242" w:lineRule="exact"/>
        <w:rPr>
          <w:sz w:val="20"/>
          <w:szCs w:val="20"/>
          <w:color w:val="auto"/>
        </w:rPr>
      </w:pPr>
    </w:p>
    <w:p>
      <w:pPr>
        <w:ind w:firstLine="470"/>
        <w:spacing w:after="0" w:line="248" w:lineRule="auto"/>
        <w:rPr>
          <w:sz w:val="20"/>
          <w:szCs w:val="20"/>
          <w:color w:val="auto"/>
        </w:rPr>
      </w:pPr>
      <w:r>
        <w:rPr>
          <w:rFonts w:ascii="Arial" w:cs="Arial" w:eastAsia="Arial" w:hAnsi="Arial"/>
          <w:sz w:val="17"/>
          <w:szCs w:val="17"/>
          <w:color w:val="auto"/>
        </w:rPr>
        <w:t>Gevo's RNG project in Northwest Iowa ("NW Iowa RNG") is owned by Gevo NW Iowa RNG, LLC, and produces RNG captured from dairy cow manure. The manure is supplied by three local dairies that have over 20,000 milking cows in total with additional milking cows expected pursuant to agreements executed during the second quarter of 2022. Animal manure can be digested anaerobically to produce biogas, which is then upgraded to pipeline quality gas referred to as RNG. Gevo NW Iowa RNG, LLC sells the produced RNG to the California market through an agreement with BP Canada Energy Marketing Corp. and BP Products North America Inc. (collectively, "BP").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Luverne Facility</w:t>
      </w:r>
    </w:p>
    <w:p>
      <w:pPr>
        <w:spacing w:after="0" w:line="242" w:lineRule="exact"/>
        <w:rPr>
          <w:sz w:val="20"/>
          <w:szCs w:val="20"/>
          <w:color w:val="auto"/>
        </w:rPr>
      </w:pPr>
    </w:p>
    <w:p>
      <w:pPr>
        <w:ind w:firstLine="470"/>
        <w:spacing w:after="0" w:line="266" w:lineRule="auto"/>
        <w:rPr>
          <w:sz w:val="20"/>
          <w:szCs w:val="20"/>
          <w:color w:val="auto"/>
        </w:rPr>
      </w:pPr>
      <w:r>
        <w:rPr>
          <w:rFonts w:ascii="Arial" w:cs="Arial" w:eastAsia="Arial" w:hAnsi="Arial"/>
          <w:sz w:val="16"/>
          <w:szCs w:val="16"/>
          <w:color w:val="auto"/>
        </w:rPr>
        <w:t>Gevo's development plant in Luverne, Minnesota (the "Luverne Facility") was originally constructed in 1998 and is located on approximately 55 acres of land, which contains approximately 50,000 square feet of building space. Gevo may use the Luverne Facility in the future to prove our processes, process concepts, unit operations and for other purposes in order to optimize feedstocks and the processes used for producing hydrocarbons from alcohols. Currently, the activities at the Luverne Facility are minimized to care and maintenance, as the Company has shifted focus to the Net-Zero Projects.</w:t>
      </w:r>
    </w:p>
    <w:p>
      <w:pPr>
        <w:spacing w:after="0" w:line="204"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accompanying unaudited condensed consolidated financial statements have been prepared in accordance with U.S.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accounting principles (“GAAP”) along with the instructions to Form 10-Q and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Article 10 of Regulation S-X assuming the Company will continue as a going concern. Accordingly, they do not include all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nine months ended, September 30, 2022,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2021</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statements at December 31, 2021, have been derived from the audited financial statements as of that date. For further information, refer to our audited financial statements and notes thereto included for the year ended December 31, 2021 (the "2021 Annual Report").</w:t>
      </w:r>
    </w:p>
    <w:p>
      <w:pPr>
        <w:spacing w:after="0" w:line="207"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i w:val="1"/>
          <w:iCs w:val="1"/>
          <w:color w:val="auto"/>
        </w:rPr>
        <w:t xml:space="preserve">Environmental Attribute Inventory. </w:t>
      </w:r>
      <w:r>
        <w:rPr>
          <w:rFonts w:ascii="Arial" w:cs="Arial" w:eastAsia="Arial" w:hAnsi="Arial"/>
          <w:sz w:val="17"/>
          <w:szCs w:val="17"/>
          <w:color w:val="auto"/>
        </w:rPr>
        <w:t>The Company generates D3 RINs Renewable Identification Numbers ("RINs") and Low Carbon Fuel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("LCFS") credits (collectively, "environmental attributes") through the production of RNG used for transportation purposes as prescribed under the Renewable Fuels Standard program ("RFS"). The Company considers environmental attributes to be a distinguishable product that is generated as an integral component of the production process of RNG as the environmental attributes that are generated can be separated from the underlying commodity and may be sold independently from the RNG produced. As such, the Company considers environmental attributes to be a co-product of the production of RNG and accordingly allocates the costs of production based on the relative sales value of all revenue items for the NW Iowa RNG operations. Revenue is recognized on these environmental attributes when there is an agreement in place to monetize the credits at an agreed upon price with a customer based upon defined third party market prices and a transfer of control has occurred.</w:t>
      </w:r>
    </w:p>
    <w:p>
      <w:pPr>
        <w:spacing w:after="0" w:line="207"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i w:val="1"/>
          <w:iCs w:val="1"/>
          <w:color w:val="auto"/>
        </w:rPr>
        <w:t xml:space="preserve">Reclassifications. </w:t>
      </w:r>
      <w:r>
        <w:rPr>
          <w:rFonts w:ascii="Arial" w:cs="Arial" w:eastAsia="Arial" w:hAnsi="Arial"/>
          <w:sz w:val="17"/>
          <w:szCs w:val="17"/>
          <w:color w:val="auto"/>
        </w:rPr>
        <w:t>The Company reclassified certain prior period amounts to conform to the current period presentation. The reclassifications included the</w:t>
      </w:r>
      <w:r>
        <w:rPr>
          <w:rFonts w:ascii="Arial" w:cs="Arial" w:eastAsia="Arial" w:hAnsi="Arial"/>
          <w:sz w:val="17"/>
          <w:szCs w:val="17"/>
          <w:i w:val="1"/>
          <w:iCs w:val="1"/>
          <w:color w:val="auto"/>
        </w:rPr>
        <w:t xml:space="preserve"> </w:t>
      </w:r>
      <w:r>
        <w:rPr>
          <w:rFonts w:ascii="Arial" w:cs="Arial" w:eastAsia="Arial" w:hAnsi="Arial"/>
          <w:sz w:val="17"/>
          <w:szCs w:val="17"/>
          <w:color w:val="auto"/>
        </w:rPr>
        <w:t>categorization of depreciation and amortization on the Consolidated Statements of Operations and had no impact on total revenues, total cost of goods sold, total operating expenses, net loss or stockholders' equity for any period.</w:t>
      </w:r>
    </w:p>
    <w:p>
      <w:pPr>
        <w:spacing w:after="0" w:line="192"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Revenues from Contracts with Customers and Other Revenues</w:t>
      </w:r>
    </w:p>
    <w:p>
      <w:pPr>
        <w:spacing w:after="0" w:line="255" w:lineRule="exact"/>
        <w:rPr>
          <w:sz w:val="20"/>
          <w:szCs w:val="20"/>
          <w:color w:val="auto"/>
        </w:rPr>
      </w:pPr>
    </w:p>
    <w:p>
      <w:pPr>
        <w:ind w:right="140" w:firstLine="470"/>
        <w:spacing w:after="0" w:line="313" w:lineRule="auto"/>
        <w:rPr>
          <w:sz w:val="20"/>
          <w:szCs w:val="20"/>
          <w:color w:val="auto"/>
        </w:rPr>
      </w:pPr>
      <w:r>
        <w:rPr>
          <w:rFonts w:ascii="Arial" w:cs="Arial" w:eastAsia="Arial" w:hAnsi="Arial"/>
          <w:sz w:val="15"/>
          <w:szCs w:val="15"/>
          <w:color w:val="auto"/>
        </w:rPr>
        <w:t>The Company’s revenues are primarily comprised of the sale of RNG and related environmental attributes produced at the NW Iowa RNG facility under long-term contracts with customers. Revenue is recognized at a point in time when the Company transfers the product to its customer as the customer obtains control of the product upon delivery. The Company generally has a single performance obligation in our arrangements with customers. The Company’s performance obligation related to the sales of RNG and related environmental attributes are satisfied at a point in time upon delivery to the customer.</w:t>
      </w:r>
    </w:p>
    <w:p>
      <w:pPr>
        <w:spacing w:after="0" w:line="172"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The Company recognized $0.3 million of revenue from the sale of RNG during each of the three and nine months ended September 30, 2022, and recognized no revenue from the sale of environmental attributes during each of the three and nine months ended September 30, 2022, due to the timing of governmental approval for the issuance of such environmental attributes.</w:t>
      </w:r>
    </w:p>
    <w:p>
      <w:pPr>
        <w:spacing w:after="0" w:line="206" w:lineRule="exact"/>
        <w:rPr>
          <w:sz w:val="20"/>
          <w:szCs w:val="20"/>
          <w:color w:val="auto"/>
        </w:rPr>
      </w:pPr>
    </w:p>
    <w:p>
      <w:pPr>
        <w:ind w:right="200" w:firstLine="470"/>
        <w:spacing w:after="0" w:line="288" w:lineRule="auto"/>
        <w:rPr>
          <w:sz w:val="20"/>
          <w:szCs w:val="20"/>
          <w:color w:val="auto"/>
        </w:rPr>
      </w:pPr>
      <w:r>
        <w:rPr>
          <w:rFonts w:ascii="Arial" w:cs="Arial" w:eastAsia="Arial" w:hAnsi="Arial"/>
          <w:sz w:val="16"/>
          <w:szCs w:val="16"/>
          <w:color w:val="auto"/>
        </w:rPr>
        <w:t>The Company recorded limited revenues from its development-scale plant, the Luverne Facility, during the three and nine months ended September 30, 2022, and 2021. These revenues were promotional in nature and from customer contracts for ethanol sales and related products and hydrocarbon revenues, which included SAF, isooctene, and isooctane. These products were sold mostly on a free-on-board, shipping point basis (recognized at a point in time), were independent transactions, did not provide post-sale support or promises to deliver future goods, and were single performance obligations.</w:t>
      </w:r>
    </w:p>
    <w:p>
      <w:pPr>
        <w:spacing w:after="0" w:line="182"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Asset Impairment</w:t>
      </w:r>
    </w:p>
    <w:p>
      <w:pPr>
        <w:spacing w:after="0" w:line="255"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During the three and nine months ended September 30, 2022, the Company recorded a $24.7 million impairment loss on long-lived assets, to reduce the carrying value of certain property, plant, and equipment, and a leased right of use ("ROU") asset, at the Agri-Energy, LLC ("Agri-Energy") segment to its fair value. The impairments recorded to date relate to the determination to suspend production at the Luverne Facility and shift the plant into an idled, care and maintenance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status during the three months ended September 30, 2022. As a result of this change in use, combined with a sustained history of operating losses, the Company assessed that indicators of impairment were present for long-lived assets within its Agri-Energy reporting segment. The Company therefore performed impairment testing and determined that, as of September 30, 2022, the carrying amounts of certain property plant and equipment, and the leased ROU asset exceeded estimated fair values. The Company estimated the fair value of these asset groups generally using a cost approach which is based on replacement or reproduction costs of the assets and is considered a Level 2 measurement and recorded a corresponding impairment loss under Operating Expenses within the Consolidated Statements of Operations.</w:t>
      </w:r>
    </w:p>
    <w:p>
      <w:pPr>
        <w:spacing w:after="0" w:line="199"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w:t>
      </w:r>
    </w:p>
    <w:p>
      <w:pPr>
        <w:spacing w:after="0" w:line="255"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spacing w:after="0" w:line="206"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the following number of potentially dilutive common stock equivalents have been excluded 1,193,436 and 1,716,010 for the three and nine months ended September 30, 2022, respectively, and 4,835,752 and 4,835,752, for the three and nine months ended September 30, 2021, respectively.</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Basic and diluted net loss per share is calculated as follows (net loss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8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 September 30,</w:t>
            </w:r>
          </w:p>
        </w:tc>
        <w:tc>
          <w:tcPr>
            <w:tcW w:w="320" w:type="dxa"/>
            <w:vAlign w:val="bottom"/>
          </w:tcPr>
          <w:p>
            <w:pPr>
              <w:spacing w:after="0"/>
              <w:rPr>
                <w:sz w:val="19"/>
                <w:szCs w:val="19"/>
                <w:color w:val="auto"/>
              </w:rPr>
            </w:pPr>
          </w:p>
        </w:tc>
        <w:tc>
          <w:tcPr>
            <w:tcW w:w="3360" w:type="dxa"/>
            <w:vAlign w:val="bottom"/>
            <w:gridSpan w:val="4"/>
          </w:tcPr>
          <w:p>
            <w:pPr>
              <w:jc w:val="right"/>
              <w:ind w:right="453"/>
              <w:spacing w:after="0"/>
              <w:rPr>
                <w:sz w:val="20"/>
                <w:szCs w:val="20"/>
                <w:color w:val="auto"/>
              </w:rPr>
            </w:pPr>
            <w:r>
              <w:rPr>
                <w:rFonts w:ascii="Arial" w:cs="Arial" w:eastAsia="Arial" w:hAnsi="Arial"/>
                <w:sz w:val="17"/>
                <w:szCs w:val="17"/>
                <w:b w:val="1"/>
                <w:bCs w:val="1"/>
                <w:color w:val="auto"/>
              </w:rPr>
              <w:t>Nine Months Ended September 30,</w:t>
            </w:r>
          </w:p>
        </w:tc>
      </w:tr>
      <w:tr>
        <w:trPr>
          <w:trHeight w:val="235"/>
        </w:trPr>
        <w:tc>
          <w:tcPr>
            <w:tcW w:w="37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r>
      <w:tr>
        <w:trPr>
          <w:trHeight w:val="222"/>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(42,690)</w:t>
            </w:r>
          </w:p>
        </w:tc>
      </w:tr>
      <w:tr>
        <w:trPr>
          <w:trHeight w:val="222"/>
        </w:trPr>
        <w:tc>
          <w:tcPr>
            <w:tcW w:w="3780" w:type="dxa"/>
            <w:vAlign w:val="bottom"/>
          </w:tcPr>
          <w:p>
            <w:pPr>
              <w:ind w:left="20"/>
              <w:spacing w:after="0"/>
              <w:rPr>
                <w:sz w:val="20"/>
                <w:szCs w:val="20"/>
                <w:color w:val="auto"/>
              </w:rPr>
            </w:pPr>
            <w:r>
              <w:rPr>
                <w:rFonts w:ascii="Arial" w:cs="Arial" w:eastAsia="Arial" w:hAnsi="Arial"/>
                <w:sz w:val="17"/>
                <w:szCs w:val="17"/>
                <w:color w:val="auto"/>
              </w:rPr>
              <w:t>Basic weighted-average shares outstanding</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236,649,805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199,341,519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216,255,710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193,739,605</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 basic and diluted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200" w:firstLine="627"/>
        <w:spacing w:after="0" w:line="288" w:lineRule="auto"/>
        <w:rPr>
          <w:sz w:val="20"/>
          <w:szCs w:val="20"/>
          <w:color w:val="auto"/>
        </w:rPr>
      </w:pPr>
      <w:r>
        <w:rPr>
          <w:rFonts w:ascii="Arial" w:cs="Arial" w:eastAsia="Arial" w:hAnsi="Arial"/>
          <w:sz w:val="17"/>
          <w:szCs w:val="17"/>
          <w:color w:val="auto"/>
        </w:rPr>
        <w:t>The impact of the one-time impairment charge of $24.7 million, discussed in Note 3 above, was $0.10 and $0.11 of basic and diluted impairment loss per share for the three and nine months ended September 30, 2022</w:t>
      </w:r>
      <w:r>
        <w:rPr>
          <w:rFonts w:ascii="Arial" w:cs="Arial" w:eastAsia="Arial" w:hAnsi="Arial"/>
          <w:sz w:val="17"/>
          <w:szCs w:val="17"/>
          <w:color w:val="auto"/>
          <w:strike w:val="1"/>
        </w:rPr>
        <w:t>,</w:t>
      </w:r>
      <w:r>
        <w:rPr>
          <w:rFonts w:ascii="Arial" w:cs="Arial" w:eastAsia="Arial" w:hAnsi="Arial"/>
          <w:sz w:val="17"/>
          <w:szCs w:val="17"/>
          <w:color w:val="auto"/>
        </w:rPr>
        <w:t xml:space="preserve"> respectively.</w:t>
      </w:r>
    </w:p>
    <w:p>
      <w:pPr>
        <w:spacing w:after="0" w:line="178"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w:t>
      </w:r>
    </w:p>
    <w:p>
      <w:pPr>
        <w:spacing w:after="0" w:line="255"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The Company's investments in marketable securities are stated at fair value and are available-for-sale. The following table summarizes the Company's investments in marketable securities (in thousands) as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6"/>
              </w:rPr>
              <w:t>September 30, 2022</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70"/>
        </w:trPr>
        <w:tc>
          <w:tcPr>
            <w:tcW w:w="4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line="170" w:lineRule="exact"/>
              <w:rPr>
                <w:sz w:val="20"/>
                <w:szCs w:val="20"/>
                <w:color w:val="auto"/>
              </w:rPr>
            </w:pPr>
            <w:r>
              <w:rPr>
                <w:rFonts w:ascii="Arial" w:cs="Arial" w:eastAsia="Arial" w:hAnsi="Arial"/>
                <w:sz w:val="17"/>
                <w:szCs w:val="17"/>
                <w:b w:val="1"/>
                <w:bCs w:val="1"/>
                <w:color w:val="auto"/>
                <w:w w:val="93"/>
              </w:rPr>
              <w:t>Amortized Cost</w:t>
            </w:r>
          </w:p>
        </w:tc>
        <w:tc>
          <w:tcPr>
            <w:tcW w:w="1580" w:type="dxa"/>
            <w:vAlign w:val="bottom"/>
            <w:gridSpan w:val="3"/>
          </w:tcPr>
          <w:p>
            <w:pPr>
              <w:jc w:val="center"/>
              <w:ind w:right="100"/>
              <w:spacing w:after="0" w:line="170" w:lineRule="exact"/>
              <w:rPr>
                <w:sz w:val="20"/>
                <w:szCs w:val="20"/>
                <w:color w:val="auto"/>
              </w:rPr>
            </w:pPr>
            <w:r>
              <w:rPr>
                <w:rFonts w:ascii="Arial" w:cs="Arial" w:eastAsia="Arial" w:hAnsi="Arial"/>
                <w:sz w:val="17"/>
                <w:szCs w:val="17"/>
                <w:b w:val="1"/>
                <w:bCs w:val="1"/>
                <w:color w:val="auto"/>
                <w:w w:val="91"/>
              </w:rPr>
              <w:t>Gross Unrealized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5"/>
        </w:trPr>
        <w:tc>
          <w:tcPr>
            <w:tcW w:w="4800" w:type="dxa"/>
            <w:vAlign w:val="bottom"/>
          </w:tcPr>
          <w:p>
            <w:pPr>
              <w:spacing w:after="0"/>
              <w:rPr>
                <w:sz w:val="20"/>
                <w:szCs w:val="20"/>
                <w:color w:val="auto"/>
              </w:rPr>
            </w:pPr>
          </w:p>
        </w:tc>
        <w:tc>
          <w:tcPr>
            <w:tcW w:w="1800" w:type="dxa"/>
            <w:vAlign w:val="bottom"/>
            <w:gridSpan w:val="2"/>
          </w:tcPr>
          <w:p>
            <w:pPr>
              <w:ind w:left="520"/>
              <w:spacing w:after="0"/>
              <w:rPr>
                <w:sz w:val="20"/>
                <w:szCs w:val="20"/>
                <w:color w:val="auto"/>
              </w:rPr>
            </w:pPr>
            <w:r>
              <w:rPr>
                <w:rFonts w:ascii="Arial" w:cs="Arial" w:eastAsia="Arial" w:hAnsi="Arial"/>
                <w:sz w:val="17"/>
                <w:szCs w:val="17"/>
                <w:b w:val="1"/>
                <w:bCs w:val="1"/>
                <w:color w:val="auto"/>
              </w:rPr>
              <w:t>Maturity</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Basis</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1"/>
              </w:rPr>
              <w:t>Losses</w:t>
            </w:r>
          </w:p>
        </w:tc>
        <w:tc>
          <w:tcPr>
            <w:tcW w:w="240" w:type="dxa"/>
            <w:vAlign w:val="bottom"/>
          </w:tcPr>
          <w:p>
            <w:pPr>
              <w:spacing w:after="0"/>
              <w:rPr>
                <w:sz w:val="20"/>
                <w:szCs w:val="20"/>
                <w:color w:val="auto"/>
              </w:rPr>
            </w:pPr>
          </w:p>
        </w:tc>
        <w:tc>
          <w:tcPr>
            <w:tcW w:w="1240" w:type="dxa"/>
            <w:vAlign w:val="bottom"/>
          </w:tcPr>
          <w:p>
            <w:pPr>
              <w:jc w:val="right"/>
              <w:ind w:right="253"/>
              <w:spacing w:after="0"/>
              <w:rPr>
                <w:sz w:val="20"/>
                <w:szCs w:val="20"/>
                <w:color w:val="auto"/>
              </w:rPr>
            </w:pPr>
            <w:r>
              <w:rPr>
                <w:rFonts w:ascii="Arial" w:cs="Arial" w:eastAsia="Arial" w:hAnsi="Arial"/>
                <w:sz w:val="17"/>
                <w:szCs w:val="17"/>
                <w:b w:val="1"/>
                <w:bCs w:val="1"/>
                <w:color w:val="auto"/>
              </w:rPr>
              <w:t>Fair Value</w:t>
            </w: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marketable securities</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48"/>
        </w:trPr>
        <w:tc>
          <w:tcPr>
            <w:tcW w:w="4800" w:type="dxa"/>
            <w:vAlign w:val="bottom"/>
          </w:tcPr>
          <w:p>
            <w:pPr>
              <w:ind w:left="12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109,327</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(729)</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108,598</w:t>
            </w:r>
          </w:p>
        </w:tc>
      </w:tr>
      <w:tr>
        <w:trPr>
          <w:trHeight w:val="248"/>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114,853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113,414</w:t>
            </w:r>
          </w:p>
        </w:tc>
      </w:tr>
      <w:tr>
        <w:trPr>
          <w:trHeight w:val="242"/>
        </w:trPr>
        <w:tc>
          <w:tcPr>
            <w:tcW w:w="4800" w:type="dxa"/>
            <w:vAlign w:val="bottom"/>
          </w:tcPr>
          <w:p>
            <w:pPr>
              <w:ind w:left="240"/>
              <w:spacing w:after="0"/>
              <w:rPr>
                <w:sz w:val="20"/>
                <w:szCs w:val="20"/>
                <w:color w:val="auto"/>
              </w:rPr>
            </w:pPr>
            <w:r>
              <w:rPr>
                <w:rFonts w:ascii="Arial" w:cs="Arial" w:eastAsia="Arial" w:hAnsi="Arial"/>
                <w:sz w:val="17"/>
                <w:szCs w:val="17"/>
                <w:color w:val="auto"/>
              </w:rPr>
              <w:t>Total short-term marketable securities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224,180</w:t>
            </w:r>
          </w:p>
        </w:tc>
        <w:tc>
          <w:tcPr>
            <w:tcW w:w="10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222,012</w:t>
            </w:r>
          </w:p>
        </w:tc>
      </w:tr>
      <w:tr>
        <w:trPr>
          <w:trHeight w:val="20"/>
        </w:trPr>
        <w:tc>
          <w:tcPr>
            <w:tcW w:w="4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w w:val="99"/>
              </w:rPr>
              <w:t>December 31, 2021</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70"/>
        </w:trPr>
        <w:tc>
          <w:tcPr>
            <w:tcW w:w="4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line="170" w:lineRule="exact"/>
              <w:rPr>
                <w:sz w:val="20"/>
                <w:szCs w:val="20"/>
                <w:color w:val="auto"/>
              </w:rPr>
            </w:pPr>
            <w:r>
              <w:rPr>
                <w:rFonts w:ascii="Arial" w:cs="Arial" w:eastAsia="Arial" w:hAnsi="Arial"/>
                <w:sz w:val="17"/>
                <w:szCs w:val="17"/>
                <w:b w:val="1"/>
                <w:bCs w:val="1"/>
                <w:color w:val="auto"/>
                <w:w w:val="93"/>
              </w:rPr>
              <w:t>Amortized Cost</w:t>
            </w:r>
          </w:p>
        </w:tc>
        <w:tc>
          <w:tcPr>
            <w:tcW w:w="1580" w:type="dxa"/>
            <w:vAlign w:val="bottom"/>
            <w:gridSpan w:val="3"/>
          </w:tcPr>
          <w:p>
            <w:pPr>
              <w:jc w:val="center"/>
              <w:ind w:right="100"/>
              <w:spacing w:after="0" w:line="170" w:lineRule="exact"/>
              <w:rPr>
                <w:sz w:val="20"/>
                <w:szCs w:val="20"/>
                <w:color w:val="auto"/>
              </w:rPr>
            </w:pPr>
            <w:r>
              <w:rPr>
                <w:rFonts w:ascii="Arial" w:cs="Arial" w:eastAsia="Arial" w:hAnsi="Arial"/>
                <w:sz w:val="17"/>
                <w:szCs w:val="17"/>
                <w:b w:val="1"/>
                <w:bCs w:val="1"/>
                <w:color w:val="auto"/>
                <w:w w:val="91"/>
              </w:rPr>
              <w:t>Gross Unrealized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5"/>
        </w:trPr>
        <w:tc>
          <w:tcPr>
            <w:tcW w:w="4800" w:type="dxa"/>
            <w:vAlign w:val="bottom"/>
          </w:tcPr>
          <w:p>
            <w:pPr>
              <w:spacing w:after="0"/>
              <w:rPr>
                <w:sz w:val="20"/>
                <w:szCs w:val="20"/>
                <w:color w:val="auto"/>
              </w:rPr>
            </w:pPr>
          </w:p>
        </w:tc>
        <w:tc>
          <w:tcPr>
            <w:tcW w:w="1800" w:type="dxa"/>
            <w:vAlign w:val="bottom"/>
            <w:gridSpan w:val="2"/>
          </w:tcPr>
          <w:p>
            <w:pPr>
              <w:ind w:left="520"/>
              <w:spacing w:after="0"/>
              <w:rPr>
                <w:sz w:val="20"/>
                <w:szCs w:val="20"/>
                <w:color w:val="auto"/>
              </w:rPr>
            </w:pPr>
            <w:r>
              <w:rPr>
                <w:rFonts w:ascii="Arial" w:cs="Arial" w:eastAsia="Arial" w:hAnsi="Arial"/>
                <w:sz w:val="17"/>
                <w:szCs w:val="17"/>
                <w:b w:val="1"/>
                <w:bCs w:val="1"/>
                <w:color w:val="auto"/>
              </w:rPr>
              <w:t>Maturity</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Basis</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1"/>
              </w:rPr>
              <w:t>Losses</w:t>
            </w:r>
          </w:p>
        </w:tc>
        <w:tc>
          <w:tcPr>
            <w:tcW w:w="240" w:type="dxa"/>
            <w:vAlign w:val="bottom"/>
          </w:tcPr>
          <w:p>
            <w:pPr>
              <w:spacing w:after="0"/>
              <w:rPr>
                <w:sz w:val="20"/>
                <w:szCs w:val="20"/>
                <w:color w:val="auto"/>
              </w:rPr>
            </w:pPr>
          </w:p>
        </w:tc>
        <w:tc>
          <w:tcPr>
            <w:tcW w:w="1240" w:type="dxa"/>
            <w:vAlign w:val="bottom"/>
          </w:tcPr>
          <w:p>
            <w:pPr>
              <w:jc w:val="right"/>
              <w:ind w:right="253"/>
              <w:spacing w:after="0"/>
              <w:rPr>
                <w:sz w:val="20"/>
                <w:szCs w:val="20"/>
                <w:color w:val="auto"/>
              </w:rPr>
            </w:pPr>
            <w:r>
              <w:rPr>
                <w:rFonts w:ascii="Arial" w:cs="Arial" w:eastAsia="Arial" w:hAnsi="Arial"/>
                <w:sz w:val="17"/>
                <w:szCs w:val="17"/>
                <w:b w:val="1"/>
                <w:bCs w:val="1"/>
                <w:color w:val="auto"/>
              </w:rPr>
              <w:t>Fair Value</w:t>
            </w: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marketable securities</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48"/>
        </w:trPr>
        <w:tc>
          <w:tcPr>
            <w:tcW w:w="4800" w:type="dxa"/>
            <w:vAlign w:val="bottom"/>
          </w:tcPr>
          <w:p>
            <w:pPr>
              <w:ind w:left="12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226,136</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225,792</w:t>
            </w:r>
          </w:p>
        </w:tc>
      </w:tr>
      <w:tr>
        <w:trPr>
          <w:trHeight w:val="248"/>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49,618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49,548</w:t>
            </w:r>
          </w:p>
        </w:tc>
      </w:tr>
      <w:tr>
        <w:trPr>
          <w:trHeight w:val="242"/>
        </w:trPr>
        <w:tc>
          <w:tcPr>
            <w:tcW w:w="4800" w:type="dxa"/>
            <w:vAlign w:val="bottom"/>
          </w:tcPr>
          <w:p>
            <w:pPr>
              <w:ind w:left="240"/>
              <w:spacing w:after="0"/>
              <w:rPr>
                <w:sz w:val="20"/>
                <w:szCs w:val="20"/>
                <w:color w:val="auto"/>
              </w:rPr>
            </w:pPr>
            <w:r>
              <w:rPr>
                <w:rFonts w:ascii="Arial" w:cs="Arial" w:eastAsia="Arial" w:hAnsi="Arial"/>
                <w:sz w:val="17"/>
                <w:szCs w:val="17"/>
                <w:color w:val="auto"/>
              </w:rPr>
              <w:t>Total short-term marketable securities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275,754</w:t>
            </w:r>
          </w:p>
        </w:tc>
        <w:tc>
          <w:tcPr>
            <w:tcW w:w="10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275,340</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48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2"/>
        </w:trPr>
        <w:tc>
          <w:tcPr>
            <w:tcW w:w="4800" w:type="dxa"/>
            <w:vAlign w:val="bottom"/>
          </w:tcPr>
          <w:p>
            <w:pPr>
              <w:ind w:left="20"/>
              <w:spacing w:after="0"/>
              <w:rPr>
                <w:sz w:val="20"/>
                <w:szCs w:val="20"/>
                <w:color w:val="auto"/>
              </w:rPr>
            </w:pPr>
            <w:r>
              <w:rPr>
                <w:rFonts w:ascii="Arial" w:cs="Arial" w:eastAsia="Arial" w:hAnsi="Arial"/>
                <w:sz w:val="17"/>
                <w:szCs w:val="17"/>
                <w:color w:val="auto"/>
              </w:rPr>
              <w:t>Long-term marketable securities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8"/>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two years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64,596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64,396</w:t>
            </w:r>
          </w:p>
        </w:tc>
      </w:tr>
      <w:tr>
        <w:trPr>
          <w:trHeight w:val="242"/>
        </w:trPr>
        <w:tc>
          <w:tcPr>
            <w:tcW w:w="4800" w:type="dxa"/>
            <w:vAlign w:val="bottom"/>
          </w:tcPr>
          <w:p>
            <w:pPr>
              <w:ind w:left="240"/>
              <w:spacing w:after="0"/>
              <w:rPr>
                <w:sz w:val="20"/>
                <w:szCs w:val="20"/>
                <w:color w:val="auto"/>
              </w:rPr>
            </w:pPr>
            <w:r>
              <w:rPr>
                <w:rFonts w:ascii="Arial" w:cs="Arial" w:eastAsia="Arial" w:hAnsi="Arial"/>
                <w:sz w:val="17"/>
                <w:szCs w:val="17"/>
                <w:color w:val="auto"/>
              </w:rPr>
              <w:t>Total long-term marketable securities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64,596</w:t>
            </w:r>
          </w:p>
        </w:tc>
        <w:tc>
          <w:tcPr>
            <w:tcW w:w="10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64,396</w:t>
            </w:r>
          </w:p>
        </w:tc>
      </w:tr>
      <w:tr>
        <w:trPr>
          <w:trHeight w:val="20"/>
        </w:trPr>
        <w:tc>
          <w:tcPr>
            <w:tcW w:w="4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The cost of securities sold is based upon the specific identification method. Interest receivable related to the marketable securities of $0.7 million was included within "Prepaid expenses and other current assets" on the Consolidated Balance Sheets as of September 30, 2022.</w:t>
      </w:r>
    </w:p>
    <w:p>
      <w:pPr>
        <w:spacing w:after="0" w:line="184" w:lineRule="exact"/>
        <w:rPr>
          <w:sz w:val="20"/>
          <w:szCs w:val="20"/>
          <w:color w:val="auto"/>
        </w:rPr>
      </w:pPr>
    </w:p>
    <w:p>
      <w:pPr>
        <w:jc w:val="both"/>
        <w:ind w:right="240" w:firstLine="470"/>
        <w:spacing w:after="0" w:line="272" w:lineRule="auto"/>
        <w:rPr>
          <w:sz w:val="20"/>
          <w:szCs w:val="20"/>
          <w:color w:val="auto"/>
        </w:rPr>
      </w:pPr>
      <w:r>
        <w:rPr>
          <w:rFonts w:ascii="Arial" w:cs="Arial" w:eastAsia="Arial" w:hAnsi="Arial"/>
          <w:sz w:val="17"/>
          <w:szCs w:val="17"/>
          <w:color w:val="auto"/>
        </w:rPr>
        <w:t>Interest income from marketable securities totaled $1.2 million and $3.9 million for the three and nine months ended September 30, 2022, respectively and nil for both the three and nine months ended September 30, 2021. Interest income from marketable securities is included in "Investment income (loss)" in the Consolidated Statements of Operations.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Future maturities of the Company's marketable securities are $55.8 million in 2022 and $168.6 million in 2023.</w:t>
      </w:r>
    </w:p>
    <w:p>
      <w:pPr>
        <w:spacing w:after="0" w:line="243"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Cash</w:t>
      </w:r>
    </w:p>
    <w:p>
      <w:pPr>
        <w:spacing w:after="0" w:line="255" w:lineRule="exact"/>
        <w:rPr>
          <w:sz w:val="20"/>
          <w:szCs w:val="20"/>
          <w:color w:val="auto"/>
        </w:rPr>
      </w:pPr>
    </w:p>
    <w:p>
      <w:pPr>
        <w:ind w:right="520" w:firstLine="470"/>
        <w:spacing w:after="0" w:line="288" w:lineRule="auto"/>
        <w:rPr>
          <w:sz w:val="20"/>
          <w:szCs w:val="20"/>
          <w:color w:val="auto"/>
        </w:rPr>
      </w:pPr>
      <w:r>
        <w:rPr>
          <w:rFonts w:ascii="Arial" w:cs="Arial" w:eastAsia="Arial" w:hAnsi="Arial"/>
          <w:sz w:val="17"/>
          <w:szCs w:val="17"/>
          <w:color w:val="auto"/>
        </w:rPr>
        <w:t>Short-term and long-term restricted cash of $77.9 million consists of amounts held as collateral for letters of credit to provide financing support for development and construction of the NW Iowa RNG and NZ1 projects.</w:t>
      </w:r>
    </w:p>
    <w:p>
      <w:pPr>
        <w:spacing w:after="0" w:line="184"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color w:val="auto"/>
        </w:rPr>
        <w:t>The Company entered into an irrevocable direct pay letter of credit (the "Bond Letter of Credit") with Citibank N.A ("Citibank") in April 2021 to support the 2021 Bonds for the development and construction of NW Iowa RNG. See Note 14, Debt, for additional information on the 2021 Bonds. The Bond Letter of Credit has a 0.5% annual fee and expires April 4, 2024 (unless terminated earlier). The Company deposited $71.2 million with Citibank as restricted cash to secure any amounts drawn under the Bond Letter of Credit. The Company is entitled to receive interest income on the restricted cash. As of September 30, 2022, no amounts have been drawn under the Bond Letter of Credit.</w:t>
      </w:r>
    </w:p>
    <w:p>
      <w:pPr>
        <w:spacing w:after="0" w:line="206" w:lineRule="exact"/>
        <w:rPr>
          <w:sz w:val="20"/>
          <w:szCs w:val="20"/>
          <w:color w:val="auto"/>
        </w:rPr>
      </w:pPr>
    </w:p>
    <w:p>
      <w:pPr>
        <w:ind w:right="480" w:firstLine="470"/>
        <w:spacing w:after="0" w:line="321" w:lineRule="auto"/>
        <w:rPr>
          <w:sz w:val="20"/>
          <w:szCs w:val="20"/>
          <w:color w:val="auto"/>
        </w:rPr>
      </w:pPr>
      <w:r>
        <w:rPr>
          <w:rFonts w:ascii="Arial" w:cs="Arial" w:eastAsia="Arial" w:hAnsi="Arial"/>
          <w:sz w:val="16"/>
          <w:szCs w:val="16"/>
          <w:color w:val="auto"/>
        </w:rPr>
        <w:t>The proceeds from issuance of the 2021 Bonds recorded as restricted cash are maintained by the Trustee under the Indenture and are released to the Company to pay costs of the construction of NW Iowa RNG. The Company has used all bond proceeds for the project as of September 30, 2022.</w:t>
      </w:r>
    </w:p>
    <w:p>
      <w:pPr>
        <w:spacing w:after="0" w:line="148" w:lineRule="exact"/>
        <w:rPr>
          <w:sz w:val="20"/>
          <w:szCs w:val="20"/>
          <w:color w:val="auto"/>
        </w:rPr>
      </w:pPr>
    </w:p>
    <w:p>
      <w:pPr>
        <w:ind w:right="60" w:firstLine="470"/>
        <w:spacing w:after="0" w:line="248" w:lineRule="auto"/>
        <w:rPr>
          <w:sz w:val="20"/>
          <w:szCs w:val="20"/>
          <w:color w:val="auto"/>
        </w:rPr>
      </w:pPr>
      <w:r>
        <w:rPr>
          <w:rFonts w:ascii="Arial" w:cs="Arial" w:eastAsia="Arial" w:hAnsi="Arial"/>
          <w:sz w:val="17"/>
          <w:szCs w:val="17"/>
          <w:color w:val="auto"/>
        </w:rPr>
        <w:t>In September 2022, the Company entered into a Pledge and Assignment agreement with Citibank to provide credit support in the form of a letter of credit (the “Power Letter of Credit”) from Citibank to the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of Credit, which has a 0.3% annual fee and expires September 30, 2024 (unless terminated earlier). As of September 30, 2022, no amounts have been drawn under the Power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Prepaid and Other Current Assets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components of the Company’s prepaid and other current assets (in thousands) as of:</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2022</w:t>
            </w:r>
          </w:p>
        </w:tc>
        <w:tc>
          <w:tcPr>
            <w:tcW w:w="200" w:type="dxa"/>
            <w:vAlign w:val="bottom"/>
          </w:tcPr>
          <w:p>
            <w:pPr>
              <w:spacing w:after="0"/>
              <w:rPr>
                <w:sz w:val="20"/>
                <w:szCs w:val="20"/>
                <w:color w:val="auto"/>
              </w:rPr>
            </w:pPr>
          </w:p>
        </w:tc>
        <w:tc>
          <w:tcPr>
            <w:tcW w:w="1820" w:type="dxa"/>
            <w:vAlign w:val="bottom"/>
          </w:tcPr>
          <w:p>
            <w:pPr>
              <w:jc w:val="right"/>
              <w:ind w:right="213"/>
              <w:spacing w:after="0"/>
              <w:rPr>
                <w:sz w:val="20"/>
                <w:szCs w:val="20"/>
                <w:color w:val="auto"/>
              </w:rPr>
            </w:pPr>
            <w:r>
              <w:rPr>
                <w:rFonts w:ascii="Arial" w:cs="Arial" w:eastAsia="Arial" w:hAnsi="Arial"/>
                <w:sz w:val="17"/>
                <w:szCs w:val="17"/>
                <w:b w:val="1"/>
                <w:bCs w:val="1"/>
                <w:color w:val="auto"/>
                <w:w w:val="97"/>
              </w:rPr>
              <w:t>December 31, 2021</w:t>
            </w:r>
          </w:p>
        </w:tc>
      </w:tr>
      <w:tr>
        <w:trPr>
          <w:trHeight w:val="248"/>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r>
      <w:tr>
        <w:trPr>
          <w:trHeight w:val="242"/>
        </w:trPr>
        <w:tc>
          <w:tcPr>
            <w:tcW w:w="708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1,530</w:t>
            </w:r>
          </w:p>
        </w:tc>
      </w:tr>
      <w:tr>
        <w:trPr>
          <w:trHeight w:val="25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engineering</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r>
      <w:tr>
        <w:trPr>
          <w:trHeight w:val="242"/>
        </w:trPr>
        <w:tc>
          <w:tcPr>
            <w:tcW w:w="7080" w:type="dxa"/>
            <w:vAlign w:val="bottom"/>
          </w:tcPr>
          <w:p>
            <w:pPr>
              <w:ind w:left="20"/>
              <w:spacing w:after="0"/>
              <w:rPr>
                <w:sz w:val="20"/>
                <w:szCs w:val="20"/>
                <w:color w:val="auto"/>
              </w:rPr>
            </w:pPr>
            <w:r>
              <w:rPr>
                <w:rFonts w:ascii="Arial" w:cs="Arial" w:eastAsia="Arial" w:hAnsi="Arial"/>
                <w:sz w:val="17"/>
                <w:szCs w:val="17"/>
                <w:color w:val="auto"/>
              </w:rPr>
              <w:t>Tax refunds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other</w:t>
            </w: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w:t>
            </w:r>
          </w:p>
        </w:tc>
      </w:tr>
      <w:tr>
        <w:trPr>
          <w:trHeight w:val="248"/>
        </w:trPr>
        <w:tc>
          <w:tcPr>
            <w:tcW w:w="7080" w:type="dxa"/>
            <w:vAlign w:val="bottom"/>
          </w:tcPr>
          <w:p>
            <w:pPr>
              <w:ind w:left="240"/>
              <w:spacing w:after="0"/>
              <w:rPr>
                <w:sz w:val="20"/>
                <w:szCs w:val="20"/>
                <w:color w:val="auto"/>
              </w:rPr>
            </w:pPr>
            <w:r>
              <w:rPr>
                <w:rFonts w:ascii="Arial" w:cs="Arial" w:eastAsia="Arial" w:hAnsi="Arial"/>
                <w:sz w:val="17"/>
                <w:szCs w:val="17"/>
                <w:color w:val="auto"/>
              </w:rPr>
              <w:t>Total Prepaid and 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3,607</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Leases, Right-of-Use Assets and Related Liabilities</w:t>
      </w:r>
    </w:p>
    <w:p>
      <w:pPr>
        <w:spacing w:after="0" w:line="255"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The Company is party to an operating lease contract for the Company’s office and research facility in Englewood, Colorado, which expires in January 2029. The lease contains an option to extend the lease which management does not reasonably expect to exercise, so it is not included in the length of the term. The Company also has one production line piece of equipment with an operating lease that expires in 2024. As of September 30, 2022, right-of-use assets under operating leases totaling $1.7 million are included in "Operating right-of use assets," and the related lease liabilities totaling $2.2 million ($0.4 million in current and $1.7 million in long-term) are included in the Consolidated Balance Sheets.</w:t>
      </w:r>
    </w:p>
    <w:p>
      <w:pPr>
        <w:spacing w:after="0" w:line="206" w:lineRule="exact"/>
        <w:rPr>
          <w:sz w:val="20"/>
          <w:szCs w:val="20"/>
          <w:color w:val="auto"/>
        </w:rPr>
      </w:pPr>
    </w:p>
    <w:p>
      <w:pPr>
        <w:ind w:right="180" w:firstLine="470"/>
        <w:spacing w:after="0" w:line="263" w:lineRule="auto"/>
        <w:rPr>
          <w:sz w:val="20"/>
          <w:szCs w:val="20"/>
          <w:color w:val="auto"/>
        </w:rPr>
      </w:pPr>
      <w:r>
        <w:rPr>
          <w:rFonts w:ascii="Arial" w:cs="Arial" w:eastAsia="Arial" w:hAnsi="Arial"/>
          <w:sz w:val="17"/>
          <w:szCs w:val="17"/>
          <w:color w:val="auto"/>
        </w:rPr>
        <w:t>The Company also has four finance leases for land under arrangements related to NW Iowa RNG. Under these contracts, the Company leases land from dairy farmers on which it has built three anaerobic digesters, and related equipment and pipelines to condition raw biogas from cow manure provided by the farmers. The partially conditioned biogas is transported from the three digester sites to a central gas upgrade system located at the fourth site that upgrades the biogas to pipeline-quality RNG for sale. These leases expire at various dates between 2031 and 2050</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amended one of its leases in June 2022, which the Company treated as an existing lease modification due to an increase in the price per unit, resulting in an increase of the lease liability and right-of-use-asset by $0.8 million.</w:t>
      </w:r>
    </w:p>
    <w:p>
      <w:pPr>
        <w:spacing w:after="0" w:line="205" w:lineRule="exact"/>
        <w:rPr>
          <w:sz w:val="20"/>
          <w:szCs w:val="20"/>
          <w:color w:val="auto"/>
        </w:rPr>
      </w:pPr>
    </w:p>
    <w:p>
      <w:pPr>
        <w:ind w:right="80" w:firstLine="470"/>
        <w:spacing w:after="0" w:line="264" w:lineRule="auto"/>
        <w:rPr>
          <w:sz w:val="20"/>
          <w:szCs w:val="20"/>
          <w:color w:val="auto"/>
        </w:rPr>
      </w:pPr>
      <w:r>
        <w:rPr>
          <w:rFonts w:ascii="Arial" w:cs="Arial" w:eastAsia="Arial" w:hAnsi="Arial"/>
          <w:sz w:val="17"/>
          <w:szCs w:val="17"/>
          <w:color w:val="auto"/>
        </w:rPr>
        <w:t>Since the Company elected the practical expedient to combine lease and non-lease components, all amounts paid to the lessors under these arrangements for cow manure and non-lease services are classified as lease payments and are included in the calculation of the right-of-use assets and lease liabilities. This results in significantly higher right-of-use assets and lease liabilities than if the Company did not elect this practical expedient. As of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right-of-use assets under finance leases totaling $27.0 million are included in "Finance right-of-use assets," and related lease liabilities totaling $18.5 million are included in the Consolidated Balance Sheets.</w:t>
      </w:r>
    </w:p>
    <w:p>
      <w:pPr>
        <w:spacing w:after="0" w:line="206"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The following four tables present the (a) costs by lease category, (b) other quantitative information, and (c) future minimum payments under non-cancelable financing and operating leases as they relate to the Company’s leases (in thousands), except for weighted averages: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580" w:type="dxa"/>
            <w:vAlign w:val="bottom"/>
            <w:gridSpan w:val="6"/>
          </w:tcPr>
          <w:p>
            <w:pPr>
              <w:ind w:left="400"/>
              <w:spacing w:after="0"/>
              <w:rPr>
                <w:sz w:val="20"/>
                <w:szCs w:val="20"/>
                <w:color w:val="auto"/>
              </w:rPr>
            </w:pPr>
            <w:r>
              <w:rPr>
                <w:rFonts w:ascii="Arial" w:cs="Arial" w:eastAsia="Arial" w:hAnsi="Arial"/>
                <w:sz w:val="17"/>
                <w:szCs w:val="17"/>
                <w:b w:val="1"/>
                <w:bCs w:val="1"/>
                <w:color w:val="auto"/>
              </w:rPr>
              <w:t>Three Months Ended September 30,</w:t>
            </w:r>
          </w:p>
        </w:tc>
        <w:tc>
          <w:tcPr>
            <w:tcW w:w="260" w:type="dxa"/>
            <w:vAlign w:val="bottom"/>
          </w:tcPr>
          <w:p>
            <w:pPr>
              <w:spacing w:after="0"/>
              <w:rPr>
                <w:sz w:val="20"/>
                <w:szCs w:val="20"/>
                <w:color w:val="auto"/>
              </w:rPr>
            </w:pPr>
          </w:p>
        </w:tc>
        <w:tc>
          <w:tcPr>
            <w:tcW w:w="3780" w:type="dxa"/>
            <w:vAlign w:val="bottom"/>
            <w:gridSpan w:val="5"/>
          </w:tcPr>
          <w:p>
            <w:pPr>
              <w:ind w:left="180"/>
              <w:spacing w:after="0"/>
              <w:rPr>
                <w:sz w:val="20"/>
                <w:szCs w:val="20"/>
                <w:color w:val="auto"/>
              </w:rPr>
            </w:pPr>
            <w:r>
              <w:rPr>
                <w:rFonts w:ascii="Arial" w:cs="Arial" w:eastAsia="Arial" w:hAnsi="Arial"/>
                <w:sz w:val="17"/>
                <w:szCs w:val="17"/>
                <w:b w:val="1"/>
                <w:bCs w:val="1"/>
                <w:color w:val="auto"/>
              </w:rPr>
              <w:t>Nine Months Ended September 30,</w:t>
            </w:r>
          </w:p>
        </w:tc>
      </w:tr>
      <w:tr>
        <w:trPr>
          <w:trHeight w:val="248"/>
        </w:trPr>
        <w:tc>
          <w:tcPr>
            <w:tcW w:w="362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2021</w:t>
            </w:r>
          </w:p>
        </w:tc>
        <w:tc>
          <w:tcPr>
            <w:tcW w:w="560" w:type="dxa"/>
            <w:vAlign w:val="bottom"/>
          </w:tcPr>
          <w:p>
            <w:pPr>
              <w:spacing w:after="0"/>
              <w:rPr>
                <w:sz w:val="21"/>
                <w:szCs w:val="21"/>
                <w:color w:val="auto"/>
              </w:rPr>
            </w:pPr>
          </w:p>
        </w:tc>
      </w:tr>
      <w:tr>
        <w:trPr>
          <w:trHeight w:val="242"/>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248"/>
        </w:trPr>
        <w:tc>
          <w:tcPr>
            <w:tcW w:w="362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Amortization of right-of-use assets </w:t>
            </w:r>
            <w:r>
              <w:rPr>
                <w:rFonts w:ascii="Arial" w:cs="Arial" w:eastAsia="Arial" w:hAnsi="Arial"/>
                <w:sz w:val="22"/>
                <w:szCs w:val="22"/>
                <w:color w:val="auto"/>
                <w:vertAlign w:val="superscript"/>
              </w:rPr>
              <w:t>(1)</w:t>
            </w:r>
          </w:p>
        </w:tc>
        <w:tc>
          <w:tcPr>
            <w:tcW w:w="1120" w:type="dxa"/>
            <w:vAlign w:val="bottom"/>
          </w:tcPr>
          <w:p>
            <w:pPr>
              <w:jc w:val="right"/>
              <w:ind w:right="93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470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1,395</w:t>
            </w:r>
          </w:p>
        </w:tc>
        <w:tc>
          <w:tcPr>
            <w:tcW w:w="80" w:type="dxa"/>
            <w:vAlign w:val="bottom"/>
          </w:tcPr>
          <w:p>
            <w:pPr>
              <w:spacing w:after="0"/>
              <w:rPr>
                <w:sz w:val="21"/>
                <w:szCs w:val="21"/>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930</w:t>
            </w:r>
          </w:p>
        </w:tc>
        <w:tc>
          <w:tcPr>
            <w:tcW w:w="560" w:type="dxa"/>
            <w:vAlign w:val="bottom"/>
          </w:tcPr>
          <w:p>
            <w:pPr>
              <w:spacing w:after="0"/>
              <w:rPr>
                <w:sz w:val="21"/>
                <w:szCs w:val="21"/>
                <w:color w:val="auto"/>
              </w:rPr>
            </w:pPr>
          </w:p>
        </w:tc>
      </w:tr>
      <w:tr>
        <w:trPr>
          <w:trHeight w:val="248"/>
        </w:trPr>
        <w:tc>
          <w:tcPr>
            <w:tcW w:w="362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Interest on lease liabilities </w:t>
            </w:r>
            <w:r>
              <w:rPr>
                <w:rFonts w:ascii="Arial" w:cs="Arial" w:eastAsia="Arial" w:hAnsi="Arial"/>
                <w:sz w:val="22"/>
                <w:szCs w:val="22"/>
                <w:color w:val="auto"/>
                <w:vertAlign w:val="superscript"/>
              </w:rPr>
              <w:t>(1)</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560" w:type="dxa"/>
            <w:vAlign w:val="bottom"/>
          </w:tcPr>
          <w:p>
            <w:pPr>
              <w:spacing w:after="0"/>
              <w:rPr>
                <w:sz w:val="21"/>
                <w:szCs w:val="21"/>
                <w:color w:val="auto"/>
              </w:rPr>
            </w:pPr>
          </w:p>
        </w:tc>
      </w:tr>
      <w:tr>
        <w:trPr>
          <w:trHeight w:val="248"/>
        </w:trPr>
        <w:tc>
          <w:tcPr>
            <w:tcW w:w="3620" w:type="dxa"/>
            <w:vAlign w:val="bottom"/>
          </w:tcPr>
          <w:p>
            <w:pPr>
              <w:ind w:left="20"/>
              <w:spacing w:after="0"/>
              <w:rPr>
                <w:sz w:val="20"/>
                <w:szCs w:val="20"/>
                <w:color w:val="auto"/>
              </w:rPr>
            </w:pPr>
            <w:r>
              <w:rPr>
                <w:rFonts w:ascii="Arial" w:cs="Arial" w:eastAsia="Arial" w:hAnsi="Arial"/>
                <w:sz w:val="17"/>
                <w:szCs w:val="17"/>
                <w:color w:val="auto"/>
              </w:rPr>
              <w:t>Operating lease cost</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416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192</w:t>
            </w:r>
          </w:p>
        </w:tc>
        <w:tc>
          <w:tcPr>
            <w:tcW w:w="560" w:type="dxa"/>
            <w:vAlign w:val="bottom"/>
          </w:tcPr>
          <w:p>
            <w:pPr>
              <w:spacing w:after="0"/>
              <w:rPr>
                <w:sz w:val="21"/>
                <w:szCs w:val="21"/>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1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560" w:type="dxa"/>
            <w:vAlign w:val="bottom"/>
          </w:tcPr>
          <w:p>
            <w:pPr>
              <w:spacing w:after="0"/>
              <w:rPr>
                <w:sz w:val="21"/>
                <w:szCs w:val="21"/>
                <w:color w:val="auto"/>
              </w:rPr>
            </w:pPr>
          </w:p>
        </w:tc>
      </w:tr>
      <w:tr>
        <w:trPr>
          <w:trHeight w:val="248"/>
        </w:trPr>
        <w:tc>
          <w:tcPr>
            <w:tcW w:w="3620" w:type="dxa"/>
            <w:vAlign w:val="bottom"/>
          </w:tcPr>
          <w:p>
            <w:pPr>
              <w:ind w:left="20"/>
              <w:spacing w:after="0" w:line="248" w:lineRule="exact"/>
              <w:rPr>
                <w:sz w:val="20"/>
                <w:szCs w:val="20"/>
                <w:color w:val="auto"/>
              </w:rPr>
            </w:pPr>
            <w:r>
              <w:rPr>
                <w:rFonts w:ascii="Arial" w:cs="Arial" w:eastAsia="Arial" w:hAnsi="Arial"/>
                <w:sz w:val="17"/>
                <w:szCs w:val="17"/>
                <w:color w:val="auto"/>
              </w:rPr>
              <w:t xml:space="preserve">Variable lease cost </w:t>
            </w:r>
            <w:r>
              <w:rPr>
                <w:rFonts w:ascii="Arial" w:cs="Arial" w:eastAsia="Arial" w:hAnsi="Arial"/>
                <w:sz w:val="22"/>
                <w:szCs w:val="22"/>
                <w:color w:val="auto"/>
                <w:vertAlign w:val="superscript"/>
              </w:rPr>
              <w:t>(2)</w:t>
            </w:r>
          </w:p>
        </w:tc>
        <w:tc>
          <w:tcPr>
            <w:tcW w:w="11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951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164</w:t>
            </w:r>
          </w:p>
        </w:tc>
        <w:tc>
          <w:tcPr>
            <w:tcW w:w="560" w:type="dxa"/>
            <w:vAlign w:val="bottom"/>
          </w:tcPr>
          <w:p>
            <w:pPr>
              <w:spacing w:after="0"/>
              <w:rPr>
                <w:sz w:val="21"/>
                <w:szCs w:val="21"/>
                <w:color w:val="auto"/>
              </w:rPr>
            </w:pPr>
          </w:p>
        </w:tc>
      </w:tr>
      <w:tr>
        <w:trPr>
          <w:trHeight w:val="240"/>
        </w:trPr>
        <w:tc>
          <w:tcPr>
            <w:tcW w:w="3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lease cost</w:t>
            </w:r>
          </w:p>
        </w:tc>
        <w:tc>
          <w:tcPr>
            <w:tcW w:w="112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5,159</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w:t>
            </w:r>
          </w:p>
        </w:tc>
        <w:tc>
          <w:tcPr>
            <w:tcW w:w="560" w:type="dxa"/>
            <w:vAlign w:val="bottom"/>
          </w:tcPr>
          <w:p>
            <w:pPr>
              <w:spacing w:after="0"/>
              <w:rPr>
                <w:sz w:val="20"/>
                <w:szCs w:val="20"/>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48"/>
        </w:trPr>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293"/>
              <w:spacing w:after="0"/>
              <w:rPr>
                <w:sz w:val="20"/>
                <w:szCs w:val="20"/>
                <w:color w:val="auto"/>
              </w:rPr>
            </w:pPr>
            <w:r>
              <w:rPr>
                <w:rFonts w:ascii="Arial" w:cs="Arial" w:eastAsia="Arial" w:hAnsi="Arial"/>
                <w:sz w:val="17"/>
                <w:szCs w:val="17"/>
                <w:color w:val="auto"/>
                <w:w w:val="94"/>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36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320" w:right="160" w:hanging="315"/>
        <w:spacing w:after="0" w:line="260"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Amortization and interest on finance lease liabilities capitalized as construction-in-progress totaled $0.3 million and $2.0 million during the three and nine months ended September 30, 2022, respectively, and nil and $0.8 million during the three and nine months ended September 30, 2021, respectively. Total capitalized amounts of $2.8 million are included in "Property, plant and equipment, net" in the Consolidated Balance Sheets related to NW Iowa RNG facilities as of September 30, 2022.</w:t>
      </w:r>
    </w:p>
    <w:p>
      <w:pPr>
        <w:spacing w:after="0" w:line="1" w:lineRule="exact"/>
        <w:rPr>
          <w:rFonts w:ascii="Arial" w:cs="Arial" w:eastAsia="Arial" w:hAnsi="Arial"/>
          <w:sz w:val="17"/>
          <w:szCs w:val="17"/>
          <w:color w:val="auto"/>
        </w:rPr>
      </w:pPr>
    </w:p>
    <w:p>
      <w:pPr>
        <w:jc w:val="both"/>
        <w:ind w:left="320" w:right="180" w:hanging="315"/>
        <w:spacing w:after="0" w:line="265"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amounts incurred in excess of minimum payments, including payments for common area expenses under our office and research facility lease, and additional amounts due under our NW Iowa RNG leases based on the number of cows maintained by the owners above the minimum required by the contracts of the respective facilities.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r>
      <w:tr>
        <w:trPr>
          <w:trHeight w:val="241"/>
        </w:trPr>
        <w:tc>
          <w:tcPr>
            <w:tcW w:w="68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20"/>
                <w:szCs w:val="20"/>
                <w:color w:val="auto"/>
              </w:rPr>
            </w:pPr>
          </w:p>
        </w:tc>
      </w:tr>
      <w:tr>
        <w:trPr>
          <w:trHeight w:val="235"/>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Information</w:t>
            </w:r>
          </w:p>
        </w:tc>
        <w:tc>
          <w:tcPr>
            <w:tcW w:w="1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42"/>
        </w:trPr>
        <w:tc>
          <w:tcPr>
            <w:tcW w:w="6860" w:type="dxa"/>
            <w:vAlign w:val="bottom"/>
          </w:tcPr>
          <w:p>
            <w:pPr>
              <w:ind w:left="28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29"/>
        </w:trPr>
        <w:tc>
          <w:tcPr>
            <w:tcW w:w="68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cash flows from finance leases</w:t>
            </w:r>
          </w:p>
        </w:tc>
        <w:tc>
          <w:tcPr>
            <w:tcW w:w="124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627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627</w:t>
            </w:r>
          </w:p>
        </w:tc>
      </w:tr>
      <w:tr>
        <w:trPr>
          <w:trHeight w:val="222"/>
        </w:trPr>
        <w:tc>
          <w:tcPr>
            <w:tcW w:w="6860" w:type="dxa"/>
            <w:vAlign w:val="bottom"/>
          </w:tcPr>
          <w:p>
            <w:pPr>
              <w:ind w:left="440"/>
              <w:spacing w:after="0"/>
              <w:rPr>
                <w:sz w:val="20"/>
                <w:szCs w:val="20"/>
                <w:color w:val="auto"/>
              </w:rPr>
            </w:pPr>
            <w:r>
              <w:rPr>
                <w:rFonts w:ascii="Arial" w:cs="Arial" w:eastAsia="Arial" w:hAnsi="Arial"/>
                <w:sz w:val="17"/>
                <w:szCs w:val="17"/>
                <w:color w:val="auto"/>
              </w:rPr>
              <w:t>Operating cash flows from operating leases</w:t>
            </w:r>
          </w:p>
        </w:tc>
        <w:tc>
          <w:tcPr>
            <w:tcW w:w="1240" w:type="dxa"/>
            <w:vAlign w:val="bottom"/>
          </w:tcPr>
          <w:p>
            <w:pPr>
              <w:jc w:val="right"/>
              <w:ind w:right="1033"/>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9"/>
                <w:szCs w:val="19"/>
                <w:color w:val="auto"/>
              </w:rPr>
            </w:pPr>
          </w:p>
        </w:tc>
        <w:tc>
          <w:tcPr>
            <w:tcW w:w="1260" w:type="dxa"/>
            <w:vAlign w:val="bottom"/>
          </w:tcPr>
          <w:p>
            <w:pPr>
              <w:jc w:val="right"/>
              <w:ind w:right="1073"/>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192</w:t>
            </w:r>
          </w:p>
        </w:tc>
      </w:tr>
      <w:tr>
        <w:trPr>
          <w:trHeight w:val="222"/>
        </w:trPr>
        <w:tc>
          <w:tcPr>
            <w:tcW w:w="68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Finance cash flows from finance leases</w:t>
            </w:r>
          </w:p>
        </w:tc>
        <w:tc>
          <w:tcPr>
            <w:tcW w:w="124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4,316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5,975</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Right-of-use asset obtained in exchange for new finance lease liabilities</w:t>
            </w:r>
          </w:p>
        </w:tc>
        <w:tc>
          <w:tcPr>
            <w:tcW w:w="1240" w:type="dxa"/>
            <w:vAlign w:val="bottom"/>
          </w:tcPr>
          <w:p>
            <w:pPr>
              <w:jc w:val="right"/>
              <w:ind w:right="1033"/>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834</w:t>
            </w:r>
          </w:p>
        </w:tc>
        <w:tc>
          <w:tcPr>
            <w:tcW w:w="100" w:type="dxa"/>
            <w:vAlign w:val="bottom"/>
          </w:tcPr>
          <w:p>
            <w:pPr>
              <w:spacing w:after="0"/>
              <w:rPr>
                <w:sz w:val="19"/>
                <w:szCs w:val="19"/>
                <w:color w:val="auto"/>
              </w:rPr>
            </w:pPr>
          </w:p>
        </w:tc>
        <w:tc>
          <w:tcPr>
            <w:tcW w:w="1260" w:type="dxa"/>
            <w:vAlign w:val="bottom"/>
          </w:tcPr>
          <w:p>
            <w:pPr>
              <w:jc w:val="right"/>
              <w:ind w:right="1073"/>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33"/>
              <w:spacing w:after="0"/>
              <w:rPr>
                <w:sz w:val="20"/>
                <w:szCs w:val="20"/>
                <w:color w:val="auto"/>
              </w:rPr>
            </w:pPr>
            <w:r>
              <w:rPr>
                <w:rFonts w:ascii="Arial" w:cs="Arial" w:eastAsia="Arial" w:hAnsi="Arial"/>
                <w:sz w:val="17"/>
                <w:szCs w:val="17"/>
                <w:color w:val="auto"/>
                <w:w w:val="88"/>
              </w:rPr>
              <w:t>28,416</w:t>
            </w: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Right-of-use asset obtained in exchange for new operating lease liabilities</w:t>
            </w:r>
          </w:p>
        </w:tc>
        <w:tc>
          <w:tcPr>
            <w:tcW w:w="124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1,611</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Weighted-average remaining lease term, finance lease (months)</w:t>
            </w:r>
          </w:p>
        </w:tc>
        <w:tc>
          <w:tcPr>
            <w:tcW w:w="124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225</w:t>
            </w:r>
          </w:p>
        </w:tc>
      </w:tr>
      <w:tr>
        <w:trPr>
          <w:trHeight w:val="248"/>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Weighted-average remaining lease term, operating leases (months)</w:t>
            </w:r>
          </w:p>
        </w:tc>
        <w:tc>
          <w:tcPr>
            <w:tcW w:w="12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88</w:t>
            </w:r>
          </w:p>
        </w:tc>
      </w:tr>
      <w:tr>
        <w:trPr>
          <w:trHeight w:val="222"/>
        </w:trPr>
        <w:tc>
          <w:tcPr>
            <w:tcW w:w="6860" w:type="dxa"/>
            <w:vAlign w:val="bottom"/>
          </w:tcPr>
          <w:p>
            <w:pPr>
              <w:ind w:left="240"/>
              <w:spacing w:after="0" w:line="222" w:lineRule="exact"/>
              <w:rPr>
                <w:sz w:val="20"/>
                <w:szCs w:val="20"/>
                <w:color w:val="auto"/>
              </w:rPr>
            </w:pPr>
            <w:r>
              <w:rPr>
                <w:rFonts w:ascii="Arial" w:cs="Arial" w:eastAsia="Arial" w:hAnsi="Arial"/>
                <w:sz w:val="17"/>
                <w:szCs w:val="17"/>
                <w:color w:val="auto"/>
              </w:rPr>
              <w:t xml:space="preserve">Weighted-average discount rate - finance leases </w:t>
            </w:r>
            <w:r>
              <w:rPr>
                <w:rFonts w:ascii="Arial" w:cs="Arial" w:eastAsia="Arial" w:hAnsi="Arial"/>
                <w:sz w:val="22"/>
                <w:szCs w:val="22"/>
                <w:color w:val="auto"/>
                <w:vertAlign w:val="superscript"/>
              </w:rPr>
              <w:t>(1)</w:t>
            </w:r>
          </w:p>
        </w:tc>
        <w:tc>
          <w:tcPr>
            <w:tcW w:w="124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5%</w:t>
            </w:r>
          </w:p>
        </w:tc>
      </w:tr>
      <w:tr>
        <w:trPr>
          <w:trHeight w:val="248"/>
        </w:trPr>
        <w:tc>
          <w:tcPr>
            <w:tcW w:w="6860" w:type="dxa"/>
            <w:vAlign w:val="bottom"/>
            <w:shd w:val="clear" w:color="auto" w:fill="CCEEFF"/>
          </w:tcPr>
          <w:p>
            <w:pPr>
              <w:ind w:left="240"/>
              <w:spacing w:after="0" w:line="248" w:lineRule="exact"/>
              <w:rPr>
                <w:sz w:val="20"/>
                <w:szCs w:val="20"/>
                <w:color w:val="auto"/>
              </w:rPr>
            </w:pPr>
            <w:r>
              <w:rPr>
                <w:rFonts w:ascii="Arial" w:cs="Arial" w:eastAsia="Arial" w:hAnsi="Arial"/>
                <w:sz w:val="17"/>
                <w:szCs w:val="17"/>
                <w:color w:val="auto"/>
              </w:rPr>
              <w:t xml:space="preserve">Weighted-average discount rate - operating leases </w:t>
            </w:r>
            <w:r>
              <w:rPr>
                <w:rFonts w:ascii="Arial" w:cs="Arial" w:eastAsia="Arial" w:hAnsi="Arial"/>
                <w:sz w:val="22"/>
                <w:szCs w:val="22"/>
                <w:color w:val="auto"/>
                <w:vertAlign w:val="superscript"/>
              </w:rPr>
              <w:t>(1)</w:t>
            </w:r>
          </w:p>
        </w:tc>
        <w:tc>
          <w:tcPr>
            <w:tcW w:w="12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w:t>
            </w:r>
          </w:p>
        </w:tc>
      </w:tr>
    </w:tbl>
    <w:p>
      <w:pPr>
        <w:spacing w:after="0" w:line="79" w:lineRule="exact"/>
        <w:rPr>
          <w:sz w:val="20"/>
          <w:szCs w:val="20"/>
          <w:color w:val="auto"/>
        </w:rPr>
      </w:pPr>
    </w:p>
    <w:p>
      <w:pPr>
        <w:ind w:left="320" w:hanging="315"/>
        <w:spacing w:after="0" w:line="267" w:lineRule="auto"/>
        <w:tabs>
          <w:tab w:leader="none" w:pos="314"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6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7"/>
                <w:szCs w:val="17"/>
                <w:b w:val="1"/>
                <w:bCs w:val="1"/>
                <w:color w:val="auto"/>
              </w:rPr>
              <w:t>Operating Leases</w:t>
            </w:r>
          </w:p>
        </w:tc>
        <w:tc>
          <w:tcPr>
            <w:tcW w:w="240" w:type="dxa"/>
            <w:vAlign w:val="bottom"/>
          </w:tcPr>
          <w:p>
            <w:pPr>
              <w:spacing w:after="0"/>
              <w:rPr>
                <w:sz w:val="20"/>
                <w:szCs w:val="20"/>
                <w:color w:val="auto"/>
              </w:rPr>
            </w:pPr>
          </w:p>
        </w:tc>
        <w:tc>
          <w:tcPr>
            <w:tcW w:w="1620" w:type="dxa"/>
            <w:vAlign w:val="bottom"/>
          </w:tcPr>
          <w:p>
            <w:pPr>
              <w:jc w:val="right"/>
              <w:ind w:right="273"/>
              <w:spacing w:after="0"/>
              <w:rPr>
                <w:sz w:val="20"/>
                <w:szCs w:val="20"/>
                <w:color w:val="auto"/>
              </w:rPr>
            </w:pPr>
            <w:r>
              <w:rPr>
                <w:rFonts w:ascii="Arial" w:cs="Arial" w:eastAsia="Arial" w:hAnsi="Arial"/>
                <w:sz w:val="17"/>
                <w:szCs w:val="17"/>
                <w:b w:val="1"/>
                <w:bCs w:val="1"/>
                <w:color w:val="auto"/>
                <w:w w:val="97"/>
              </w:rPr>
              <w:t>Finance Leases</w:t>
            </w:r>
          </w:p>
        </w:tc>
      </w:tr>
      <w:tr>
        <w:trPr>
          <w:trHeight w:val="228"/>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1,772</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1,576</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1,744</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30,499</w:t>
            </w:r>
          </w:p>
        </w:tc>
      </w:tr>
      <w:tr>
        <w:trPr>
          <w:trHeight w:val="228"/>
        </w:trPr>
        <w:tc>
          <w:tcPr>
            <w:tcW w:w="6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40,081</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Amounts representing present value discounts</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21,607</w:t>
            </w:r>
          </w:p>
        </w:tc>
      </w:tr>
      <w:tr>
        <w:trPr>
          <w:trHeight w:val="228"/>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lease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18,474</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2,125</w:t>
            </w:r>
          </w:p>
        </w:tc>
      </w:tr>
      <w:tr>
        <w:trPr>
          <w:trHeight w:val="24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components of the Company’s inventory balances (in thousands) as of:</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2022</w:t>
            </w:r>
          </w:p>
        </w:tc>
        <w:tc>
          <w:tcPr>
            <w:tcW w:w="200" w:type="dxa"/>
            <w:vAlign w:val="bottom"/>
          </w:tcPr>
          <w:p>
            <w:pPr>
              <w:spacing w:after="0"/>
              <w:rPr>
                <w:sz w:val="20"/>
                <w:szCs w:val="20"/>
                <w:color w:val="auto"/>
              </w:rPr>
            </w:pPr>
          </w:p>
        </w:tc>
        <w:tc>
          <w:tcPr>
            <w:tcW w:w="1820" w:type="dxa"/>
            <w:vAlign w:val="bottom"/>
          </w:tcPr>
          <w:p>
            <w:pPr>
              <w:jc w:val="right"/>
              <w:ind w:right="213"/>
              <w:spacing w:after="0"/>
              <w:rPr>
                <w:sz w:val="20"/>
                <w:szCs w:val="20"/>
                <w:color w:val="auto"/>
              </w:rPr>
            </w:pPr>
            <w:r>
              <w:rPr>
                <w:rFonts w:ascii="Arial" w:cs="Arial" w:eastAsia="Arial" w:hAnsi="Arial"/>
                <w:sz w:val="17"/>
                <w:szCs w:val="17"/>
                <w:b w:val="1"/>
                <w:bCs w:val="1"/>
                <w:color w:val="auto"/>
                <w:w w:val="97"/>
              </w:rPr>
              <w:t>December 31, 2021</w:t>
            </w:r>
          </w:p>
        </w:tc>
      </w:tr>
      <w:tr>
        <w:trPr>
          <w:trHeight w:val="248"/>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00" w:type="dxa"/>
            <w:vAlign w:val="bottom"/>
            <w:tcBorders>
              <w:top w:val="single" w:sz="8" w:color="auto"/>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spacing w:after="0"/>
              <w:rPr>
                <w:sz w:val="21"/>
                <w:szCs w:val="21"/>
                <w:color w:val="auto"/>
              </w:rPr>
            </w:pPr>
          </w:p>
        </w:tc>
      </w:tr>
      <w:tr>
        <w:trPr>
          <w:trHeight w:val="242"/>
        </w:trPr>
        <w:tc>
          <w:tcPr>
            <w:tcW w:w="7080" w:type="dxa"/>
            <w:vAlign w:val="bottom"/>
          </w:tcPr>
          <w:p>
            <w:pPr>
              <w:ind w:left="180"/>
              <w:spacing w:after="0"/>
              <w:rPr>
                <w:sz w:val="20"/>
                <w:szCs w:val="20"/>
                <w:color w:val="auto"/>
              </w:rPr>
            </w:pPr>
            <w:r>
              <w:rPr>
                <w:rFonts w:ascii="Arial" w:cs="Arial" w:eastAsia="Arial" w:hAnsi="Arial"/>
                <w:sz w:val="17"/>
                <w:szCs w:val="17"/>
                <w:color w:val="auto"/>
              </w:rPr>
              <w:t>Corn</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301</w:t>
            </w:r>
          </w:p>
        </w:tc>
      </w:tr>
      <w:tr>
        <w:trPr>
          <w:trHeight w:val="255"/>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Enzymes and other inputs</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r>
      <w:tr>
        <w:trPr>
          <w:trHeight w:val="242"/>
        </w:trPr>
        <w:tc>
          <w:tcPr>
            <w:tcW w:w="7080" w:type="dxa"/>
            <w:vAlign w:val="bottom"/>
          </w:tcPr>
          <w:p>
            <w:pPr>
              <w:ind w:left="180"/>
              <w:spacing w:after="0"/>
              <w:rPr>
                <w:sz w:val="20"/>
                <w:szCs w:val="20"/>
                <w:color w:val="auto"/>
              </w:rPr>
            </w:pPr>
            <w:r>
              <w:rPr>
                <w:rFonts w:ascii="Arial" w:cs="Arial" w:eastAsia="Arial" w:hAnsi="Arial"/>
                <w:sz w:val="17"/>
                <w:szCs w:val="17"/>
                <w:color w:val="auto"/>
              </w:rPr>
              <w:t>Catalyst materials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5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42"/>
        </w:trPr>
        <w:tc>
          <w:tcPr>
            <w:tcW w:w="7080" w:type="dxa"/>
            <w:vAlign w:val="bottom"/>
          </w:tcPr>
          <w:p>
            <w:pPr>
              <w:ind w:left="180"/>
              <w:spacing w:after="0"/>
              <w:rPr>
                <w:sz w:val="20"/>
                <w:szCs w:val="20"/>
                <w:color w:val="auto"/>
              </w:rPr>
            </w:pPr>
            <w:r>
              <w:rPr>
                <w:rFonts w:ascii="Arial" w:cs="Arial" w:eastAsia="Arial" w:hAnsi="Arial"/>
                <w:sz w:val="17"/>
                <w:szCs w:val="17"/>
                <w:color w:val="auto"/>
              </w:rPr>
              <w:t>SAF, Isooctane, Isooctene and other</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335</w:t>
            </w:r>
          </w:p>
        </w:tc>
      </w:tr>
      <w:tr>
        <w:trPr>
          <w:trHeight w:val="255"/>
        </w:trPr>
        <w:tc>
          <w:tcPr>
            <w:tcW w:w="7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Isobutanol</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42"/>
        </w:trPr>
        <w:tc>
          <w:tcPr>
            <w:tcW w:w="7080" w:type="dxa"/>
            <w:vAlign w:val="bottom"/>
          </w:tcPr>
          <w:p>
            <w:pPr>
              <w:ind w:left="180"/>
              <w:spacing w:after="0"/>
              <w:rPr>
                <w:sz w:val="20"/>
                <w:szCs w:val="20"/>
                <w:color w:val="auto"/>
              </w:rPr>
            </w:pPr>
            <w:r>
              <w:rPr>
                <w:rFonts w:ascii="Arial" w:cs="Arial" w:eastAsia="Arial" w:hAnsi="Arial"/>
                <w:sz w:val="17"/>
                <w:szCs w:val="17"/>
                <w:color w:val="auto"/>
              </w:rPr>
              <w:t>Ethanol</w:t>
            </w:r>
          </w:p>
        </w:tc>
        <w:tc>
          <w:tcPr>
            <w:tcW w:w="200" w:type="dxa"/>
            <w:vAlign w:val="bottom"/>
          </w:tcPr>
          <w:p>
            <w:pPr>
              <w:spacing w:after="0"/>
              <w:rPr>
                <w:sz w:val="21"/>
                <w:szCs w:val="21"/>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5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 in process:</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42"/>
        </w:trPr>
        <w:tc>
          <w:tcPr>
            <w:tcW w:w="7080" w:type="dxa"/>
            <w:vAlign w:val="bottom"/>
          </w:tcPr>
          <w:p>
            <w:pPr>
              <w:ind w:left="120"/>
              <w:spacing w:after="0"/>
              <w:rPr>
                <w:sz w:val="20"/>
                <w:szCs w:val="20"/>
                <w:color w:val="auto"/>
              </w:rPr>
            </w:pPr>
            <w:r>
              <w:rPr>
                <w:rFonts w:ascii="Arial" w:cs="Arial" w:eastAsia="Arial" w:hAnsi="Arial"/>
                <w:sz w:val="17"/>
                <w:szCs w:val="17"/>
                <w:color w:val="auto"/>
              </w:rPr>
              <w:t>Isobutanol</w:t>
            </w:r>
          </w:p>
        </w:tc>
        <w:tc>
          <w:tcPr>
            <w:tcW w:w="200" w:type="dxa"/>
            <w:vAlign w:val="bottom"/>
          </w:tcPr>
          <w:p>
            <w:pPr>
              <w:spacing w:after="0"/>
              <w:rPr>
                <w:sz w:val="21"/>
                <w:szCs w:val="21"/>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55"/>
        </w:trPr>
        <w:tc>
          <w:tcPr>
            <w:tcW w:w="7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Jet fuel</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7080" w:type="dxa"/>
            <w:vAlign w:val="bottom"/>
          </w:tcPr>
          <w:p>
            <w:pPr>
              <w:ind w:left="20"/>
              <w:spacing w:after="0"/>
              <w:rPr>
                <w:sz w:val="20"/>
                <w:szCs w:val="20"/>
                <w:color w:val="auto"/>
              </w:rPr>
            </w:pPr>
            <w:r>
              <w:rPr>
                <w:rFonts w:ascii="Arial" w:cs="Arial" w:eastAsia="Arial" w:hAnsi="Arial"/>
                <w:sz w:val="17"/>
                <w:szCs w:val="17"/>
                <w:color w:val="auto"/>
              </w:rPr>
              <w:t>Spare parts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1,262</w:t>
            </w:r>
          </w:p>
        </w:tc>
      </w:tr>
      <w:tr>
        <w:trPr>
          <w:trHeight w:val="248"/>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RNG - environmental attributes</w:t>
            </w: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80" w:type="dxa"/>
            <w:vAlign w:val="bottom"/>
          </w:tcPr>
          <w:p>
            <w:pPr>
              <w:ind w:left="240"/>
              <w:spacing w:after="0"/>
              <w:rPr>
                <w:sz w:val="20"/>
                <w:szCs w:val="20"/>
                <w:color w:val="auto"/>
              </w:rPr>
            </w:pPr>
            <w:r>
              <w:rPr>
                <w:rFonts w:ascii="Arial" w:cs="Arial" w:eastAsia="Arial" w:hAnsi="Arial"/>
                <w:sz w:val="17"/>
                <w:szCs w:val="17"/>
                <w:color w:val="auto"/>
              </w:rPr>
              <w:t>Total inventories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2,751</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470"/>
        <w:spacing w:after="0" w:line="256" w:lineRule="auto"/>
        <w:rPr>
          <w:sz w:val="20"/>
          <w:szCs w:val="20"/>
          <w:color w:val="auto"/>
        </w:rPr>
      </w:pPr>
      <w:r>
        <w:rPr>
          <w:rFonts w:ascii="Arial" w:cs="Arial" w:eastAsia="Arial" w:hAnsi="Arial"/>
          <w:sz w:val="17"/>
          <w:szCs w:val="17"/>
          <w:color w:val="auto"/>
        </w:rPr>
        <w:t>Environmental attributes represent distinguishable and material output from our RNG operations. The Company started allocating the joint cost of production to the sales value of RNG, credits from California's LCFS program and U.S. Environmental Protection Agency ("EPA") RIN credits. The value of the environmental attributes is reviewed for potential write-downs based on the net realizable value methodology.</w:t>
      </w:r>
    </w:p>
    <w:p>
      <w:pPr>
        <w:spacing w:after="0" w:line="198"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During the three and nine months ended September 30, 2022, the Company adjusted its finished goods and work in process inventory to net realizable value and recorded a nil and $0.8 million loss, respectively, in cost of goods sold, as compared to $1.2 million and $2.0 million during the three and nine months ended September 30,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Property, Plant and Equipment</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property, plant and equipment by classification (in thousands) as of:</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2022</w:t>
            </w:r>
          </w:p>
        </w:tc>
        <w:tc>
          <w:tcPr>
            <w:tcW w:w="200" w:type="dxa"/>
            <w:vAlign w:val="bottom"/>
          </w:tcPr>
          <w:p>
            <w:pPr>
              <w:spacing w:after="0"/>
              <w:rPr>
                <w:sz w:val="20"/>
                <w:szCs w:val="20"/>
                <w:color w:val="auto"/>
              </w:rPr>
            </w:pPr>
          </w:p>
        </w:tc>
        <w:tc>
          <w:tcPr>
            <w:tcW w:w="1820" w:type="dxa"/>
            <w:vAlign w:val="bottom"/>
          </w:tcPr>
          <w:p>
            <w:pPr>
              <w:jc w:val="right"/>
              <w:ind w:right="213"/>
              <w:spacing w:after="0"/>
              <w:rPr>
                <w:sz w:val="20"/>
                <w:szCs w:val="20"/>
                <w:color w:val="auto"/>
              </w:rPr>
            </w:pPr>
            <w:r>
              <w:rPr>
                <w:rFonts w:ascii="Arial" w:cs="Arial" w:eastAsia="Arial" w:hAnsi="Arial"/>
                <w:sz w:val="17"/>
                <w:szCs w:val="17"/>
                <w:b w:val="1"/>
                <w:bCs w:val="1"/>
                <w:color w:val="auto"/>
                <w:w w:val="97"/>
              </w:rPr>
              <w:t>December 31, 2021</w:t>
            </w:r>
          </w:p>
        </w:tc>
      </w:tr>
      <w:tr>
        <w:trPr>
          <w:trHeight w:val="248"/>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42"/>
        </w:trPr>
        <w:tc>
          <w:tcPr>
            <w:tcW w:w="7080" w:type="dxa"/>
            <w:vAlign w:val="bottom"/>
          </w:tcPr>
          <w:p>
            <w:pPr>
              <w:ind w:left="20"/>
              <w:spacing w:after="0"/>
              <w:rPr>
                <w:sz w:val="20"/>
                <w:szCs w:val="20"/>
                <w:color w:val="auto"/>
              </w:rPr>
            </w:pPr>
            <w:r>
              <w:rPr>
                <w:rFonts w:ascii="Arial" w:cs="Arial" w:eastAsia="Arial" w:hAnsi="Arial"/>
                <w:sz w:val="17"/>
                <w:szCs w:val="17"/>
                <w:color w:val="auto"/>
              </w:rPr>
              <w:t>Plant facilities and infrastructure</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76,310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84,117</w:t>
            </w:r>
          </w:p>
        </w:tc>
      </w:tr>
      <w:tr>
        <w:trPr>
          <w:trHeight w:val="25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25,369</w:t>
            </w:r>
          </w:p>
        </w:tc>
      </w:tr>
      <w:tr>
        <w:trPr>
          <w:trHeight w:val="242"/>
        </w:trPr>
        <w:tc>
          <w:tcPr>
            <w:tcW w:w="7080" w:type="dxa"/>
            <w:vAlign w:val="bottom"/>
          </w:tcPr>
          <w:p>
            <w:pPr>
              <w:ind w:left="20"/>
              <w:spacing w:after="0"/>
              <w:rPr>
                <w:sz w:val="20"/>
                <w:szCs w:val="20"/>
                <w:color w:val="auto"/>
              </w:rPr>
            </w:pPr>
            <w:r>
              <w:rPr>
                <w:rFonts w:ascii="Arial" w:cs="Arial" w:eastAsia="Arial" w:hAnsi="Arial"/>
                <w:sz w:val="17"/>
                <w:szCs w:val="17"/>
                <w:color w:val="auto"/>
              </w:rPr>
              <w:t>Furniture and office equipment</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2,550</w:t>
            </w:r>
          </w:p>
        </w:tc>
      </w:tr>
      <w:tr>
        <w:trPr>
          <w:trHeight w:val="25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r>
      <w:tr>
        <w:trPr>
          <w:trHeight w:val="24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88,990</w:t>
            </w:r>
          </w:p>
        </w:tc>
      </w:tr>
      <w:tr>
        <w:trPr>
          <w:trHeight w:val="248"/>
        </w:trPr>
        <w:tc>
          <w:tcPr>
            <w:tcW w:w="7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property, plant and equipment</w:t>
            </w: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203,000</w:t>
            </w:r>
          </w:p>
        </w:tc>
      </w:tr>
      <w:tr>
        <w:trPr>
          <w:trHeight w:val="24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(68,101)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(63,859)</w:t>
            </w:r>
          </w:p>
        </w:tc>
      </w:tr>
      <w:tr>
        <w:trPr>
          <w:trHeight w:val="273"/>
        </w:trPr>
        <w:tc>
          <w:tcPr>
            <w:tcW w:w="7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166,004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139,141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Company recorded depreciation expenses of $1.3 million and $3.6 million for the three and nine months ended September 30, 2022, respectively, as compared with $1.2 million and $3.6 million for the same periods ended September 30, 2021.</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 September 30, 2022, construction in progress included accruals of $9.2 million.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Construction in progress includes $0.3 million for Gevo, $12.0 million for Agri-Energy related to a fractionation and hydrocarbon skid, $2.1 million for NW Iowa RNG and $42.3 million for NZ1 at September 30, 2022. Construction in progress includes $0.4 million for Gevo, $9.1 million for Agri-Energy, $56.9 million for NW Iowa RNG and $22.5 million for NZ1 at December 31, 2021. Construction in progress is not subject to depreciation until the assets are placed into service.</w:t>
      </w:r>
    </w:p>
    <w:p>
      <w:pPr>
        <w:spacing w:after="0" w:line="202"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i w:val="1"/>
          <w:iCs w:val="1"/>
          <w:color w:val="auto"/>
        </w:rPr>
        <w:t xml:space="preserve">Borrowing costs. </w:t>
      </w:r>
      <w:r>
        <w:rPr>
          <w:rFonts w:ascii="Arial" w:cs="Arial" w:eastAsia="Arial" w:hAnsi="Arial"/>
          <w:sz w:val="17"/>
          <w:szCs w:val="17"/>
          <w:color w:val="auto"/>
        </w:rPr>
        <w:t>Borrowing costs directly attributable to acquisition and construction of an asset are capitalized until it is completed and ready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use, and thereafter are recognized in profit or loss for the current period. The Company capitalized $1.2 million and nil of interest expense for the nine months ended September 30, 2022, and September 30,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Intangible Assets</w:t>
      </w:r>
    </w:p>
    <w:p>
      <w:pPr>
        <w:spacing w:after="0" w:line="255"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Intangible assets consist of patents, which management evaluates to determine whether they (i) support current products, (ii) support planned research and development, or (iii) prevent others from competing with Gevo's products.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identifiable intangible assets by classification (in thousands) as of:</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7"/>
                <w:szCs w:val="17"/>
                <w:b w:val="1"/>
                <w:bCs w:val="1"/>
                <w:color w:val="auto"/>
              </w:rPr>
              <w:t>September 30, 2022</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5"/>
              </w:rPr>
              <w:t>Identifiable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Gross Carrying</w:t>
            </w: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Accumulated</w:t>
            </w:r>
          </w:p>
        </w:tc>
        <w:tc>
          <w:tcPr>
            <w:tcW w:w="12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7"/>
                <w:szCs w:val="17"/>
                <w:b w:val="1"/>
                <w:bCs w:val="1"/>
                <w:color w:val="auto"/>
                <w:w w:val="90"/>
              </w:rPr>
              <w:t>Intangible Assets,</w:t>
            </w:r>
          </w:p>
        </w:tc>
        <w:tc>
          <w:tcPr>
            <w:tcW w:w="10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Arial" w:cs="Arial" w:eastAsia="Arial" w:hAnsi="Arial"/>
                <w:sz w:val="17"/>
                <w:szCs w:val="17"/>
                <w:b w:val="1"/>
                <w:bCs w:val="1"/>
                <w:color w:val="auto"/>
                <w:w w:val="97"/>
              </w:rPr>
              <w:t>Weighted-Average</w:t>
            </w:r>
          </w:p>
        </w:tc>
      </w:tr>
      <w:tr>
        <w:trPr>
          <w:trHeight w:val="247"/>
        </w:trPr>
        <w:tc>
          <w:tcPr>
            <w:tcW w:w="4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3"/>
              </w:rPr>
              <w:t>Amount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6"/>
              </w:rPr>
              <w:t>net</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w w:val="97"/>
              </w:rPr>
              <w:t>Useful Life (Years)</w:t>
            </w:r>
          </w:p>
        </w:tc>
      </w:tr>
      <w:tr>
        <w:trPr>
          <w:trHeight w:val="248"/>
        </w:trPr>
        <w:tc>
          <w:tcPr>
            <w:tcW w:w="4600" w:type="dxa"/>
            <w:vAlign w:val="bottom"/>
            <w:shd w:val="clear" w:color="auto" w:fill="CCEEFF"/>
          </w:tcPr>
          <w:p>
            <w:pPr>
              <w:ind w:left="80"/>
              <w:spacing w:after="0"/>
              <w:rPr>
                <w:sz w:val="20"/>
                <w:szCs w:val="20"/>
                <w:color w:val="auto"/>
              </w:rPr>
            </w:pPr>
            <w:r>
              <w:rPr>
                <w:rFonts w:ascii="Arial" w:cs="Arial" w:eastAsia="Arial" w:hAnsi="Arial"/>
                <w:sz w:val="17"/>
                <w:szCs w:val="17"/>
                <w:color w:val="auto"/>
              </w:rPr>
              <w:t>Patents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42"/>
        </w:trPr>
        <w:tc>
          <w:tcPr>
            <w:tcW w:w="46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Defensive assets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8.4</w:t>
            </w:r>
          </w:p>
        </w:tc>
      </w:tr>
      <w:tr>
        <w:trPr>
          <w:trHeight w:val="273"/>
        </w:trPr>
        <w:tc>
          <w:tcPr>
            <w:tcW w:w="4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Identifiable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567"/>
        </w:trPr>
        <w:tc>
          <w:tcPr>
            <w:tcW w:w="4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7"/>
                <w:szCs w:val="17"/>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4"/>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5"/>
              </w:rPr>
              <w:t>Identifiable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Gross Carrying</w:t>
            </w: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Accumulated</w:t>
            </w:r>
          </w:p>
        </w:tc>
        <w:tc>
          <w:tcPr>
            <w:tcW w:w="12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7"/>
                <w:szCs w:val="17"/>
                <w:b w:val="1"/>
                <w:bCs w:val="1"/>
                <w:color w:val="auto"/>
                <w:w w:val="90"/>
              </w:rPr>
              <w:t>Intangible Assets,</w:t>
            </w:r>
          </w:p>
        </w:tc>
        <w:tc>
          <w:tcPr>
            <w:tcW w:w="10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Arial" w:cs="Arial" w:eastAsia="Arial" w:hAnsi="Arial"/>
                <w:sz w:val="17"/>
                <w:szCs w:val="17"/>
                <w:b w:val="1"/>
                <w:bCs w:val="1"/>
                <w:color w:val="auto"/>
                <w:w w:val="97"/>
              </w:rPr>
              <w:t>Weighted-Average</w:t>
            </w:r>
          </w:p>
        </w:tc>
      </w:tr>
      <w:tr>
        <w:trPr>
          <w:trHeight w:val="247"/>
        </w:trPr>
        <w:tc>
          <w:tcPr>
            <w:tcW w:w="4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3"/>
              </w:rPr>
              <w:t>Amount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4"/>
              </w:rPr>
              <w:t>Net</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w w:val="97"/>
              </w:rPr>
              <w:t>Useful Life (Years)</w:t>
            </w:r>
          </w:p>
        </w:tc>
      </w:tr>
      <w:tr>
        <w:trPr>
          <w:trHeight w:val="248"/>
        </w:trPr>
        <w:tc>
          <w:tcPr>
            <w:tcW w:w="4600" w:type="dxa"/>
            <w:vAlign w:val="bottom"/>
            <w:shd w:val="clear" w:color="auto" w:fill="CCEEFF"/>
          </w:tcPr>
          <w:p>
            <w:pPr>
              <w:ind w:left="80"/>
              <w:spacing w:after="0"/>
              <w:rPr>
                <w:sz w:val="20"/>
                <w:szCs w:val="20"/>
                <w:color w:val="auto"/>
              </w:rPr>
            </w:pPr>
            <w:r>
              <w:rPr>
                <w:rFonts w:ascii="Arial" w:cs="Arial" w:eastAsia="Arial" w:hAnsi="Arial"/>
                <w:sz w:val="17"/>
                <w:szCs w:val="17"/>
                <w:color w:val="auto"/>
              </w:rPr>
              <w:t>Patents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42"/>
        </w:trPr>
        <w:tc>
          <w:tcPr>
            <w:tcW w:w="46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Defensive assets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8.4</w:t>
            </w:r>
          </w:p>
        </w:tc>
      </w:tr>
      <w:tr>
        <w:trPr>
          <w:trHeight w:val="273"/>
        </w:trPr>
        <w:tc>
          <w:tcPr>
            <w:tcW w:w="4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Identifiable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The Company recorded amortization expense of $0.4 million and $1.0 million for the three and nine months ended September 30, 2022, respectively, as compared with nil for each of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details the estimated amortization of identifiable intangible assets as of September 30, 2022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b w:val="1"/>
                <w:bCs w:val="1"/>
                <w:color w:val="auto"/>
              </w:rPr>
              <w:t>Patents</w:t>
            </w: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7"/>
                <w:szCs w:val="17"/>
                <w:b w:val="1"/>
                <w:bCs w:val="1"/>
                <w:color w:val="auto"/>
              </w:rPr>
              <w:t>Defensive Assets</w:t>
            </w:r>
          </w:p>
        </w:tc>
        <w:tc>
          <w:tcPr>
            <w:tcW w:w="360" w:type="dxa"/>
            <w:vAlign w:val="bottom"/>
          </w:tcPr>
          <w:p>
            <w:pPr>
              <w:spacing w:after="0"/>
              <w:rPr>
                <w:sz w:val="20"/>
                <w:szCs w:val="20"/>
                <w:color w:val="auto"/>
              </w:rPr>
            </w:pPr>
          </w:p>
        </w:tc>
        <w:tc>
          <w:tcPr>
            <w:tcW w:w="1220" w:type="dxa"/>
            <w:vAlign w:val="bottom"/>
          </w:tcPr>
          <w:p>
            <w:pPr>
              <w:jc w:val="right"/>
              <w:ind w:right="513"/>
              <w:spacing w:after="0"/>
              <w:rPr>
                <w:sz w:val="20"/>
                <w:szCs w:val="20"/>
                <w:color w:val="auto"/>
              </w:rPr>
            </w:pPr>
            <w:r>
              <w:rPr>
                <w:rFonts w:ascii="Arial" w:cs="Arial" w:eastAsia="Arial" w:hAnsi="Arial"/>
                <w:sz w:val="17"/>
                <w:szCs w:val="17"/>
                <w:b w:val="1"/>
                <w:bCs w:val="1"/>
                <w:color w:val="auto"/>
              </w:rPr>
              <w:t>Total</w:t>
            </w:r>
          </w:p>
        </w:tc>
      </w:tr>
      <w:tr>
        <w:trPr>
          <w:trHeight w:val="222"/>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r>
      <w:tr>
        <w:trPr>
          <w:trHeight w:val="222"/>
        </w:trPr>
        <w:tc>
          <w:tcPr>
            <w:tcW w:w="6300" w:type="dxa"/>
            <w:vAlign w:val="bottom"/>
          </w:tcPr>
          <w:p>
            <w:pPr>
              <w:ind w:left="20"/>
              <w:spacing w:after="0"/>
              <w:rPr>
                <w:sz w:val="20"/>
                <w:szCs w:val="20"/>
                <w:color w:val="auto"/>
              </w:rPr>
            </w:pPr>
            <w:r>
              <w:rPr>
                <w:rFonts w:ascii="Arial" w:cs="Arial" w:eastAsia="Arial" w:hAnsi="Arial"/>
                <w:sz w:val="17"/>
                <w:szCs w:val="17"/>
                <w:color w:val="auto"/>
              </w:rPr>
              <w:t>2023</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1,164</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r>
      <w:tr>
        <w:trPr>
          <w:trHeight w:val="222"/>
        </w:trPr>
        <w:tc>
          <w:tcPr>
            <w:tcW w:w="6300" w:type="dxa"/>
            <w:vAlign w:val="bottom"/>
          </w:tcPr>
          <w:p>
            <w:pPr>
              <w:ind w:left="20"/>
              <w:spacing w:after="0"/>
              <w:rPr>
                <w:sz w:val="20"/>
                <w:szCs w:val="20"/>
                <w:color w:val="auto"/>
              </w:rPr>
            </w:pPr>
            <w:r>
              <w:rPr>
                <w:rFonts w:ascii="Arial" w:cs="Arial" w:eastAsia="Arial" w:hAnsi="Arial"/>
                <w:sz w:val="17"/>
                <w:szCs w:val="17"/>
                <w:color w:val="auto"/>
              </w:rPr>
              <w:t>2025</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1,164</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r>
      <w:tr>
        <w:trPr>
          <w:trHeight w:val="222"/>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3,031</w:t>
            </w:r>
          </w:p>
        </w:tc>
      </w:tr>
      <w:tr>
        <w:trPr>
          <w:trHeight w:val="240"/>
        </w:trPr>
        <w:tc>
          <w:tcPr>
            <w:tcW w:w="6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Deposits and Other Assets</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sets forth the components of the Company's deposits and other assets (in thousands) as of:</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2022</w:t>
            </w:r>
          </w:p>
        </w:tc>
        <w:tc>
          <w:tcPr>
            <w:tcW w:w="200" w:type="dxa"/>
            <w:vAlign w:val="bottom"/>
          </w:tcPr>
          <w:p>
            <w:pPr>
              <w:spacing w:after="0"/>
              <w:rPr>
                <w:sz w:val="19"/>
                <w:szCs w:val="19"/>
                <w:color w:val="auto"/>
              </w:rPr>
            </w:pPr>
          </w:p>
        </w:tc>
        <w:tc>
          <w:tcPr>
            <w:tcW w:w="1820" w:type="dxa"/>
            <w:vAlign w:val="bottom"/>
          </w:tcPr>
          <w:p>
            <w:pPr>
              <w:jc w:val="right"/>
              <w:ind w:right="213"/>
              <w:spacing w:after="0"/>
              <w:rPr>
                <w:sz w:val="20"/>
                <w:szCs w:val="20"/>
                <w:color w:val="auto"/>
              </w:rPr>
            </w:pPr>
            <w:r>
              <w:rPr>
                <w:rFonts w:ascii="Arial" w:cs="Arial" w:eastAsia="Arial" w:hAnsi="Arial"/>
                <w:sz w:val="17"/>
                <w:szCs w:val="17"/>
                <w:b w:val="1"/>
                <w:bCs w:val="1"/>
                <w:color w:val="auto"/>
                <w:w w:val="97"/>
              </w:rPr>
              <w:t>December 31, 2021</w:t>
            </w:r>
          </w:p>
        </w:tc>
      </w:tr>
      <w:tr>
        <w:trPr>
          <w:trHeight w:val="215"/>
        </w:trPr>
        <w:tc>
          <w:tcPr>
            <w:tcW w:w="7080" w:type="dxa"/>
            <w:vAlign w:val="bottom"/>
            <w:tcBorders>
              <w:top w:val="single" w:sz="8" w:color="CCEEFF"/>
            </w:tcBorders>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Deposits </w:t>
            </w:r>
            <w:r>
              <w:rPr>
                <w:rFonts w:ascii="Arial" w:cs="Arial" w:eastAsia="Arial" w:hAnsi="Arial"/>
                <w:sz w:val="22"/>
                <w:szCs w:val="22"/>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w:t>
            </w:r>
          </w:p>
        </w:tc>
      </w:tr>
      <w:tr>
        <w:trPr>
          <w:trHeight w:val="222"/>
        </w:trPr>
        <w:tc>
          <w:tcPr>
            <w:tcW w:w="70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Equity interest </w:t>
            </w:r>
            <w:r>
              <w:rPr>
                <w:rFonts w:ascii="Arial" w:cs="Arial" w:eastAsia="Arial" w:hAnsi="Arial"/>
                <w:sz w:val="22"/>
                <w:szCs w:val="22"/>
                <w:color w:val="auto"/>
                <w:vertAlign w:val="superscript"/>
              </w:rPr>
              <w:t>(2)</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222"/>
        </w:trPr>
        <w:tc>
          <w:tcPr>
            <w:tcW w:w="70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Exclusivity fees </w:t>
            </w:r>
            <w:r>
              <w:rPr>
                <w:rFonts w:ascii="Arial" w:cs="Arial" w:eastAsia="Arial" w:hAnsi="Arial"/>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w:t>
            </w:r>
          </w:p>
        </w:tc>
      </w:tr>
      <w:tr>
        <w:trPr>
          <w:trHeight w:val="222"/>
        </w:trPr>
        <w:tc>
          <w:tcPr>
            <w:tcW w:w="708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Deposits receivable </w:t>
            </w:r>
            <w:r>
              <w:rPr>
                <w:rFonts w:ascii="Arial" w:cs="Arial" w:eastAsia="Arial" w:hAnsi="Arial"/>
                <w:sz w:val="22"/>
                <w:szCs w:val="22"/>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Deposits and Other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Deposits for legal services and products for NZ1.</w:t>
      </w:r>
    </w:p>
    <w:p>
      <w:pPr>
        <w:spacing w:after="0" w:line="25" w:lineRule="exact"/>
        <w:rPr>
          <w:rFonts w:ascii="Arial" w:cs="Arial" w:eastAsia="Arial" w:hAnsi="Arial"/>
          <w:sz w:val="17"/>
          <w:szCs w:val="17"/>
          <w:color w:val="auto"/>
        </w:rPr>
      </w:pPr>
    </w:p>
    <w:p>
      <w:pPr>
        <w:ind w:left="320" w:right="160" w:hanging="315"/>
        <w:spacing w:after="0" w:line="272" w:lineRule="auto"/>
        <w:tabs>
          <w:tab w:leader="none" w:pos="3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directly holds a 4.6% interest in the Series A Preferred Stock of Juhl Clean Energy Assets, Inc. ("Juhl"), which is not a publicly listed entity with a readily determinable fair value. The Company therefore measures the securities at cost, which is deemed to be the value indicated by the last observable transaction in Juhl's stock, subject to impairment. The equity interest in Juhl is also pledged as collateral against two future obligations to Rock County Wind Fuel, LLC ("RCWF"), a Juhl subsidiary, see Note 17, Commitments and Contingencies, for additional information.</w:t>
      </w:r>
    </w:p>
    <w:p>
      <w:pPr>
        <w:spacing w:after="0" w:line="2" w:lineRule="exact"/>
        <w:rPr>
          <w:rFonts w:ascii="Arial" w:cs="Arial" w:eastAsia="Arial" w:hAnsi="Arial"/>
          <w:sz w:val="16"/>
          <w:szCs w:val="16"/>
          <w:color w:val="auto"/>
        </w:rPr>
      </w:pPr>
    </w:p>
    <w:p>
      <w:pPr>
        <w:ind w:left="320" w:right="160" w:hanging="315"/>
        <w:spacing w:after="0" w:line="290" w:lineRule="auto"/>
        <w:tabs>
          <w:tab w:leader="none" w:pos="314" w:val="left"/>
        </w:tabs>
        <w:numPr>
          <w:ilvl w:val="0"/>
          <w:numId w:val="14"/>
        </w:numPr>
        <w:rPr>
          <w:rFonts w:ascii="Arial" w:cs="Arial" w:eastAsia="Arial" w:hAnsi="Arial"/>
          <w:sz w:val="15"/>
          <w:szCs w:val="15"/>
          <w:color w:val="auto"/>
        </w:rPr>
      </w:pPr>
      <w:r>
        <w:rPr>
          <w:rFonts w:ascii="Arial" w:cs="Arial" w:eastAsia="Arial" w:hAnsi="Arial"/>
          <w:sz w:val="15"/>
          <w:szCs w:val="15"/>
          <w:color w:val="auto"/>
        </w:rPr>
        <w:t>Axens North America, Inc. ("Axens") will provide certain alcohol-to-SAF services exclusively to the Company which may be offset against future license fees subject to the delivery of a process design package. On October 14, 2022, the Company entered into a licensing agreement with Axens to support development of the Company's alcohol-to-SAF process, incurring $4.2 million of licensing fees which will be offset against these prepaid exclusivity fees.</w:t>
      </w:r>
    </w:p>
    <w:p>
      <w:pPr>
        <w:spacing w:after="0" w:line="2" w:lineRule="exact"/>
        <w:rPr>
          <w:rFonts w:ascii="Arial" w:cs="Arial" w:eastAsia="Arial" w:hAnsi="Arial"/>
          <w:sz w:val="15"/>
          <w:szCs w:val="15"/>
          <w:color w:val="auto"/>
        </w:rPr>
      </w:pPr>
    </w:p>
    <w:p>
      <w:pPr>
        <w:ind w:left="320" w:right="240" w:hanging="315"/>
        <w:spacing w:after="0" w:line="262" w:lineRule="auto"/>
        <w:tabs>
          <w:tab w:leader="none" w:pos="3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Deposits provided to a developer of certain wind-farm projects and power utility contractor to induce to design and construct the power generation, transmission and distribution facilities that will serve NZ1, $5.5 million of which will be either reimbursed or used as an investment into wind generation facility and the remaining $2.8 million is expected to be fully reimbursed upon completion of the project. Gevo has contractual priority liens against the equipment and constructed facilities under the contracts.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Accounts Payable and Accrued Liabilities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components of the Company's accounts payable and accrued liabilities (in thousands) as of:</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2022</w:t>
            </w:r>
          </w:p>
        </w:tc>
        <w:tc>
          <w:tcPr>
            <w:tcW w:w="200" w:type="dxa"/>
            <w:vAlign w:val="bottom"/>
          </w:tcPr>
          <w:p>
            <w:pPr>
              <w:spacing w:after="0"/>
              <w:rPr>
                <w:sz w:val="20"/>
                <w:szCs w:val="20"/>
                <w:color w:val="auto"/>
              </w:rPr>
            </w:pPr>
          </w:p>
        </w:tc>
        <w:tc>
          <w:tcPr>
            <w:tcW w:w="1820" w:type="dxa"/>
            <w:vAlign w:val="bottom"/>
          </w:tcPr>
          <w:p>
            <w:pPr>
              <w:jc w:val="right"/>
              <w:ind w:right="213"/>
              <w:spacing w:after="0"/>
              <w:rPr>
                <w:sz w:val="20"/>
                <w:szCs w:val="20"/>
                <w:color w:val="auto"/>
              </w:rPr>
            </w:pPr>
            <w:r>
              <w:rPr>
                <w:rFonts w:ascii="Arial" w:cs="Arial" w:eastAsia="Arial" w:hAnsi="Arial"/>
                <w:sz w:val="17"/>
                <w:szCs w:val="17"/>
                <w:b w:val="1"/>
                <w:bCs w:val="1"/>
                <w:color w:val="auto"/>
                <w:w w:val="97"/>
              </w:rPr>
              <w:t>December 31, 2021</w:t>
            </w:r>
          </w:p>
        </w:tc>
      </w:tr>
      <w:tr>
        <w:trPr>
          <w:trHeight w:val="248"/>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4,830</w:t>
            </w:r>
          </w:p>
        </w:tc>
      </w:tr>
      <w:tr>
        <w:trPr>
          <w:trHeight w:val="242"/>
        </w:trPr>
        <w:tc>
          <w:tcPr>
            <w:tcW w:w="708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18,345</w:t>
            </w:r>
          </w:p>
        </w:tc>
      </w:tr>
      <w:tr>
        <w:trPr>
          <w:trHeight w:val="25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payroll and related benefits</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w:t>
            </w:r>
          </w:p>
        </w:tc>
      </w:tr>
      <w:tr>
        <w:trPr>
          <w:trHeight w:val="24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accrued liabilities</w:t>
            </w: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r>
      <w:tr>
        <w:trPr>
          <w:trHeight w:val="273"/>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accounts payable and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28,288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Bond Issuance</w:t>
      </w:r>
    </w:p>
    <w:p>
      <w:pPr>
        <w:spacing w:after="0" w:line="255"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On April 15, 2021, on behalf of Gevo NW Iowa RNG, LLC, the Iowa Finance Authority (the "Authority") issued $68,155,000 of its non-recourse Solid Waste Facility Revenue Bonds (Gevo NW Iowa RNG, LLC Renewable Natural Gas Project), Series 2021 (Green Bonds) (the "2021 Bonds") for NW Iowa RNG. The bond proceeds are being used as a source of construction financing alongside equity from the Company. The bonds were issued under a Trust Indenture dated April 1, 2021 (the "Indenture") between the Authority and Citibank, N.A. as trustee (the "Trustee"). The 2021 Bonds mature April 1, 2042. The bonds initially bear interest at 1.5% per annum during the Initial Term Rate Period, (as defined in the Indenture), payable semi-annually on January 1 and July 1 of each year. The effective interest rate is 1.0%. The bonds are supported by the $71.2 million Bond Letter of Credit; see Note 6, Restricted Cash. The Trustee can draw sufficient amounts on the Bond Letter of Credit to pay the principal and interest until the first mandatory tender date of April 1, 2024. The bonds are callable and re-marketable on or after October 1, 2022. If the bonds have not been called and re-marketed by the first mandatory tender date, the Trustee may draw on the Bond Letter of Credit to repay the bonds in their entirety at the purchase price. As of September 30, 2022, no amounts have been drawn under the Bond Letter of Credit.</w:t>
      </w:r>
    </w:p>
    <w:p>
      <w:pPr>
        <w:spacing w:after="0" w:line="209"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The 2021 Bonds were issued at a premium of $0.8 million and debt issuance costs were $3.0 million. The bond debt is classified as long-term debt and is presented net of the premium and issuance costs, which are being amortized over the life of the bonds using the interest method. As of September 30, 2022, the premium balance and the debt issuance cost net of amortization were $0.5 million and $1.5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Payable - Other</w:t>
      </w:r>
    </w:p>
    <w:p>
      <w:pPr>
        <w:spacing w:after="0" w:line="255"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April 2021, the entire balance of $0.5 million of the Company's and $0.1 million of Agri-Energy's loans and accrued interest obtained through the SBA</w:t>
      </w:r>
    </w:p>
    <w:p>
      <w:pPr>
        <w:spacing w:after="0" w:line="37" w:lineRule="exact"/>
        <w:rPr>
          <w:sz w:val="20"/>
          <w:szCs w:val="20"/>
          <w:color w:val="auto"/>
        </w:rPr>
      </w:pPr>
    </w:p>
    <w:p>
      <w:pPr>
        <w:ind w:right="620" w:firstLine="5"/>
        <w:spacing w:after="0" w:line="305" w:lineRule="auto"/>
        <w:tabs>
          <w:tab w:leader="none" w:pos="33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were forgiven. The remaining SBA Loan for Agri-Energy totals $0.3 million, bears interest at 1.0% per annum and matures in April 2025. Monthly payments of $8,230, including interest, began on June 5, 2021, and are payable through April 2025.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summary of the Company's long-term debt is as follows (in thousands) as of:</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3"/>
              </w:rPr>
              <w:t>Interest Rate</w:t>
            </w:r>
          </w:p>
        </w:tc>
        <w:tc>
          <w:tcPr>
            <w:tcW w:w="1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8"/>
              </w:rPr>
              <w:t>Maturity Date</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w w:val="94"/>
              </w:rPr>
              <w:t>September 30, 2022</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December 31, 2021</w:t>
            </w:r>
          </w:p>
        </w:tc>
        <w:tc>
          <w:tcPr>
            <w:tcW w:w="0" w:type="dxa"/>
            <w:vAlign w:val="bottom"/>
          </w:tcPr>
          <w:p>
            <w:pPr>
              <w:spacing w:after="0"/>
              <w:rPr>
                <w:sz w:val="1"/>
                <w:szCs w:val="1"/>
                <w:color w:val="auto"/>
              </w:rPr>
            </w:pPr>
          </w:p>
        </w:tc>
      </w:tr>
      <w:tr>
        <w:trPr>
          <w:trHeight w:val="242"/>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2021</w:t>
            </w:r>
          </w:p>
        </w:tc>
        <w:tc>
          <w:tcPr>
            <w:tcW w:w="2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Bonds</w:t>
            </w: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1.5%</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360" w:type="dxa"/>
            <w:vAlign w:val="bottom"/>
            <w:gridSpan w:val="3"/>
            <w:shd w:val="clear" w:color="auto" w:fill="CCEEFF"/>
          </w:tcPr>
          <w:p>
            <w:pPr>
              <w:jc w:val="center"/>
              <w:ind w:right="1420"/>
              <w:spacing w:after="0"/>
              <w:rPr>
                <w:sz w:val="20"/>
                <w:szCs w:val="20"/>
                <w:color w:val="auto"/>
              </w:rPr>
            </w:pPr>
            <w:r>
              <w:rPr>
                <w:rFonts w:ascii="Arial" w:cs="Arial" w:eastAsia="Arial" w:hAnsi="Arial"/>
                <w:sz w:val="17"/>
                <w:szCs w:val="17"/>
                <w:color w:val="auto"/>
                <w:w w:val="91"/>
              </w:rPr>
              <w:t>January 2042</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67,038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66,486</w:t>
            </w:r>
          </w:p>
        </w:tc>
        <w:tc>
          <w:tcPr>
            <w:tcW w:w="0" w:type="dxa"/>
            <w:vAlign w:val="bottom"/>
          </w:tcPr>
          <w:p>
            <w:pPr>
              <w:spacing w:after="0"/>
              <w:rPr>
                <w:sz w:val="1"/>
                <w:szCs w:val="1"/>
                <w:color w:val="auto"/>
              </w:rPr>
            </w:pPr>
          </w:p>
        </w:tc>
      </w:tr>
      <w:tr>
        <w:trPr>
          <w:trHeight w:val="242"/>
        </w:trPr>
        <w:tc>
          <w:tcPr>
            <w:tcW w:w="2740" w:type="dxa"/>
            <w:vAlign w:val="bottom"/>
            <w:gridSpan w:val="2"/>
          </w:tcPr>
          <w:p>
            <w:pPr>
              <w:ind w:left="20"/>
              <w:spacing w:after="0"/>
              <w:rPr>
                <w:sz w:val="20"/>
                <w:szCs w:val="20"/>
                <w:color w:val="auto"/>
              </w:rPr>
            </w:pPr>
            <w:r>
              <w:rPr>
                <w:rFonts w:ascii="Arial" w:cs="Arial" w:eastAsia="Arial" w:hAnsi="Arial"/>
                <w:sz w:val="17"/>
                <w:szCs w:val="17"/>
                <w:color w:val="auto"/>
              </w:rPr>
              <w:t>SBA Loans</w:t>
            </w:r>
          </w:p>
        </w:tc>
        <w:tc>
          <w:tcPr>
            <w:tcW w:w="44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1.0%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April 2025</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55"/>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to</w:t>
            </w:r>
          </w:p>
        </w:tc>
        <w:tc>
          <w:tcPr>
            <w:tcW w:w="4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0"/>
              </w:rPr>
              <w:t>February 2022</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2024</w:t>
            </w:r>
          </w:p>
        </w:tc>
        <w:tc>
          <w:tcPr>
            <w:tcW w:w="5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35"/>
        </w:trPr>
        <w:tc>
          <w:tcPr>
            <w:tcW w:w="2740" w:type="dxa"/>
            <w:vAlign w:val="bottom"/>
            <w:gridSpan w:val="2"/>
          </w:tcPr>
          <w:p>
            <w:pPr>
              <w:ind w:left="120"/>
              <w:spacing w:after="0"/>
              <w:rPr>
                <w:sz w:val="20"/>
                <w:szCs w:val="20"/>
                <w:color w:val="auto"/>
              </w:rPr>
            </w:pPr>
            <w:r>
              <w:rPr>
                <w:rFonts w:ascii="Arial" w:cs="Arial" w:eastAsia="Arial" w:hAnsi="Arial"/>
                <w:sz w:val="17"/>
                <w:szCs w:val="17"/>
                <w:color w:val="auto"/>
              </w:rPr>
              <w:t>Total loans payable - other</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67,395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66,962</w:t>
            </w:r>
          </w:p>
        </w:tc>
        <w:tc>
          <w:tcPr>
            <w:tcW w:w="0" w:type="dxa"/>
            <w:vAlign w:val="bottom"/>
          </w:tcPr>
          <w:p>
            <w:pPr>
              <w:spacing w:after="0"/>
              <w:rPr>
                <w:sz w:val="1"/>
                <w:szCs w:val="1"/>
                <w:color w:val="auto"/>
              </w:rPr>
            </w:pPr>
          </w:p>
        </w:tc>
      </w:tr>
      <w:tr>
        <w:trPr>
          <w:trHeight w:val="248"/>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center"/>
              <w:ind w:left="493"/>
              <w:spacing w:after="0"/>
              <w:rPr>
                <w:sz w:val="20"/>
                <w:szCs w:val="20"/>
                <w:color w:val="auto"/>
              </w:rPr>
            </w:pPr>
            <w:r>
              <w:rPr>
                <w:rFonts w:ascii="Arial" w:cs="Arial" w:eastAsia="Arial" w:hAnsi="Arial"/>
                <w:sz w:val="17"/>
                <w:szCs w:val="17"/>
                <w:color w:val="auto"/>
                <w:w w:val="95"/>
              </w:rPr>
              <w:t>(158)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48"/>
        </w:trPr>
        <w:tc>
          <w:tcPr>
            <w:tcW w:w="2740" w:type="dxa"/>
            <w:vAlign w:val="bottom"/>
            <w:gridSpan w:val="2"/>
          </w:tcPr>
          <w:p>
            <w:pPr>
              <w:ind w:left="20"/>
              <w:spacing w:after="0"/>
              <w:rPr>
                <w:sz w:val="20"/>
                <w:szCs w:val="20"/>
                <w:color w:val="auto"/>
              </w:rPr>
            </w:pPr>
            <w:r>
              <w:rPr>
                <w:rFonts w:ascii="Arial" w:cs="Arial" w:eastAsia="Arial" w:hAnsi="Arial"/>
                <w:sz w:val="17"/>
                <w:szCs w:val="17"/>
                <w:color w:val="auto"/>
              </w:rPr>
              <w:t>Long-term portion</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67,237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66,804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580" w:type="dxa"/>
            <w:vAlign w:val="bottom"/>
            <w:gridSpan w:val="9"/>
            <w:vMerge w:val="restart"/>
          </w:tcPr>
          <w:p>
            <w:pPr>
              <w:ind w:left="80"/>
              <w:spacing w:after="0"/>
              <w:rPr>
                <w:sz w:val="20"/>
                <w:szCs w:val="20"/>
                <w:color w:val="auto"/>
              </w:rPr>
            </w:pPr>
            <w:r>
              <w:rPr>
                <w:rFonts w:ascii="Arial" w:cs="Arial" w:eastAsia="Arial" w:hAnsi="Arial"/>
                <w:sz w:val="17"/>
                <w:szCs w:val="17"/>
                <w:color w:val="auto"/>
              </w:rPr>
              <w:t>Future principal payments for the Company's long-term debt are as follows (in thousands):</w:t>
            </w: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0" w:type="dxa"/>
            <w:vAlign w:val="bottom"/>
          </w:tcPr>
          <w:p>
            <w:pPr>
              <w:spacing w:after="0"/>
              <w:rPr>
                <w:sz w:val="24"/>
                <w:szCs w:val="24"/>
                <w:color w:val="auto"/>
              </w:rPr>
            </w:pPr>
          </w:p>
        </w:tc>
        <w:tc>
          <w:tcPr>
            <w:tcW w:w="7580" w:type="dxa"/>
            <w:vAlign w:val="bottom"/>
            <w:gridSpan w:val="9"/>
            <w:vMerge w:val="continue"/>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74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w w:val="98"/>
              </w:rPr>
              <w:t>Total Debt</w:t>
            </w:r>
          </w:p>
        </w:tc>
        <w:tc>
          <w:tcPr>
            <w:tcW w:w="0" w:type="dxa"/>
            <w:vAlign w:val="bottom"/>
          </w:tcPr>
          <w:p>
            <w:pPr>
              <w:spacing w:after="0"/>
              <w:rPr>
                <w:sz w:val="1"/>
                <w:szCs w:val="1"/>
                <w:color w:val="auto"/>
              </w:rPr>
            </w:pPr>
          </w:p>
        </w:tc>
      </w:tr>
      <w:tr>
        <w:trPr>
          <w:trHeight w:val="235"/>
        </w:trPr>
        <w:tc>
          <w:tcPr>
            <w:tcW w:w="400" w:type="dxa"/>
            <w:vAlign w:val="bottom"/>
          </w:tcPr>
          <w:p>
            <w:pPr>
              <w:ind w:left="20"/>
              <w:spacing w:after="0"/>
              <w:rPr>
                <w:sz w:val="20"/>
                <w:szCs w:val="20"/>
                <w:color w:val="auto"/>
              </w:rPr>
            </w:pPr>
            <w:r>
              <w:rPr>
                <w:rFonts w:ascii="Arial" w:cs="Arial" w:eastAsia="Arial" w:hAnsi="Arial"/>
                <w:sz w:val="17"/>
                <w:szCs w:val="17"/>
                <w:color w:val="auto"/>
                <w:w w:val="95"/>
              </w:rPr>
              <w:t>2022</w:t>
            </w:r>
          </w:p>
        </w:tc>
        <w:tc>
          <w:tcPr>
            <w:tcW w:w="2340" w:type="dxa"/>
            <w:vAlign w:val="bottom"/>
          </w:tcPr>
          <w:p>
            <w:pPr>
              <w:ind w:left="20"/>
              <w:spacing w:after="0"/>
              <w:rPr>
                <w:sz w:val="20"/>
                <w:szCs w:val="20"/>
                <w:color w:val="auto"/>
              </w:rPr>
            </w:pPr>
            <w:r>
              <w:rPr>
                <w:rFonts w:ascii="Arial" w:cs="Arial" w:eastAsia="Arial" w:hAnsi="Arial"/>
                <w:sz w:val="17"/>
                <w:szCs w:val="17"/>
                <w:color w:val="auto"/>
              </w:rPr>
              <w:t>(remaining)</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2"/>
          </w:tcPr>
          <w:p>
            <w:pPr>
              <w:jc w:val="center"/>
              <w:ind w:left="473"/>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55"/>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2023</w:t>
            </w:r>
          </w:p>
        </w:tc>
        <w:tc>
          <w:tcPr>
            <w:tcW w:w="23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42"/>
        </w:trPr>
        <w:tc>
          <w:tcPr>
            <w:tcW w:w="400" w:type="dxa"/>
            <w:vAlign w:val="bottom"/>
          </w:tcPr>
          <w:p>
            <w:pPr>
              <w:ind w:left="20"/>
              <w:spacing w:after="0"/>
              <w:rPr>
                <w:sz w:val="20"/>
                <w:szCs w:val="20"/>
                <w:color w:val="auto"/>
              </w:rPr>
            </w:pPr>
            <w:r>
              <w:rPr>
                <w:rFonts w:ascii="Arial" w:cs="Arial" w:eastAsia="Arial" w:hAnsi="Arial"/>
                <w:sz w:val="17"/>
                <w:szCs w:val="17"/>
                <w:color w:val="auto"/>
                <w:w w:val="95"/>
              </w:rPr>
              <w:t>2024</w:t>
            </w:r>
          </w:p>
        </w:tc>
        <w:tc>
          <w:tcPr>
            <w:tcW w:w="2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67,167</w:t>
            </w:r>
          </w:p>
        </w:tc>
        <w:tc>
          <w:tcPr>
            <w:tcW w:w="0" w:type="dxa"/>
            <w:vAlign w:val="bottom"/>
          </w:tcPr>
          <w:p>
            <w:pPr>
              <w:spacing w:after="0"/>
              <w:rPr>
                <w:sz w:val="1"/>
                <w:szCs w:val="1"/>
                <w:color w:val="auto"/>
              </w:rPr>
            </w:pPr>
          </w:p>
        </w:tc>
      </w:tr>
      <w:tr>
        <w:trPr>
          <w:trHeight w:val="248"/>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2025</w:t>
            </w:r>
          </w:p>
        </w:tc>
        <w:tc>
          <w:tcPr>
            <w:tcW w:w="23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48"/>
        </w:trPr>
        <w:tc>
          <w:tcPr>
            <w:tcW w:w="2740" w:type="dxa"/>
            <w:vAlign w:val="bottom"/>
            <w:gridSpan w:val="2"/>
          </w:tcPr>
          <w:p>
            <w:pPr>
              <w:ind w:left="240"/>
              <w:spacing w:after="0"/>
              <w:rPr>
                <w:sz w:val="20"/>
                <w:szCs w:val="20"/>
                <w:color w:val="auto"/>
              </w:rPr>
            </w:pPr>
            <w:r>
              <w:rPr>
                <w:rFonts w:ascii="Arial" w:cs="Arial" w:eastAsia="Arial" w:hAnsi="Arial"/>
                <w:sz w:val="17"/>
                <w:szCs w:val="17"/>
                <w:color w:val="auto"/>
              </w:rPr>
              <w:t>Total loans payable - other</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center"/>
              <w:ind w:left="473"/>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67,395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Stock-Based Compensation</w:t>
      </w:r>
    </w:p>
    <w:p>
      <w:pPr>
        <w:spacing w:after="0" w:line="255"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i w:val="1"/>
          <w:iCs w:val="1"/>
          <w:color w:val="auto"/>
        </w:rPr>
        <w:t>Equity incentive plans</w:t>
      </w:r>
      <w:r>
        <w:rPr>
          <w:rFonts w:ascii="Arial" w:cs="Arial" w:eastAsia="Arial" w:hAnsi="Arial"/>
          <w:sz w:val="17"/>
          <w:szCs w:val="17"/>
          <w:color w:val="auto"/>
        </w:rPr>
        <w:t>. In February 2011, the Company’s stockholders approved the Gevo, Inc. 2010 Stock Incentive Plan (as amended and restated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"2010 Plan"), and the Employee Stock Purchase Plan (the "ESPP").</w:t>
      </w:r>
    </w:p>
    <w:p>
      <w:pPr>
        <w:spacing w:after="0" w:line="184" w:lineRule="exact"/>
        <w:rPr>
          <w:sz w:val="20"/>
          <w:szCs w:val="20"/>
          <w:color w:val="auto"/>
        </w:rPr>
      </w:pPr>
    </w:p>
    <w:p>
      <w:pPr>
        <w:ind w:right="160" w:firstLine="470"/>
        <w:spacing w:after="0" w:line="288" w:lineRule="auto"/>
        <w:rPr>
          <w:sz w:val="20"/>
          <w:szCs w:val="20"/>
          <w:color w:val="auto"/>
        </w:rPr>
      </w:pPr>
      <w:r>
        <w:rPr>
          <w:rFonts w:ascii="Arial" w:cs="Arial" w:eastAsia="Arial" w:hAnsi="Arial"/>
          <w:sz w:val="16"/>
          <w:szCs w:val="16"/>
          <w:color w:val="auto"/>
        </w:rPr>
        <w:t>The 2010 Plan provides for the grant of non-qualified stock options, incentive stock options, stock appreciation rights, restricted stock awards, restricted stock units and other equity awards to employees and directors of the Company. In June 2021, upon approval of stockholders at the 2021 Annual Meeting of Stockholders, the 2010 Plan was amended and restated, which increased the number of shares of common stock reserved for issuance under the 2010 Plan to 22,980,074 shares. On September 30, 2022, 4,113,735 shares remained available for awards under the 2010 Plan.</w:t>
      </w:r>
    </w:p>
    <w:p>
      <w:pPr>
        <w:spacing w:after="0" w:line="188" w:lineRule="exact"/>
        <w:rPr>
          <w:sz w:val="20"/>
          <w:szCs w:val="20"/>
          <w:color w:val="auto"/>
        </w:rPr>
      </w:pPr>
    </w:p>
    <w:p>
      <w:pPr>
        <w:ind w:right="320" w:firstLine="470"/>
        <w:spacing w:after="0" w:line="267"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 Company granted 67,739 stock appreciation rights valued at an aggregate of $0.1 million on the respective grant dates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year ended December 31, 2018, with exercise prices ranging from $3.45 to $138.00 per share, expiring in 2028. The vesting period for stock appreciation rights granted is based on a service period. The stock appreciation rights have the potential to be cash settled and are therefore classified as a liability and remeasured at each reporting period based on the price of the Company's common stock.</w:t>
      </w:r>
    </w:p>
    <w:p>
      <w:pPr>
        <w:spacing w:after="0" w:line="202"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 The Company records stock-based compensation expense during the requisite service period for stock-based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granted to employees and non-employees. Our stock-based compensation is classified as either an equity award or a liability award in accordance with generally accepted accounting principles. The fair value of an equity-classified award is determined at the grant date and is amortized on a straight-line basis over the vesting life of the award. The fair-value of a liability-classified award is determined on a quarterly basis through the final vesting date and is amortized based on the current fair value of the award and the percentage of vesting period incurred to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stock-based compensation expense for the periods indicated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7"/>
                <w:szCs w:val="17"/>
                <w:b w:val="1"/>
                <w:bCs w:val="1"/>
                <w:color w:val="auto"/>
              </w:rPr>
              <w:t>Nine Months Ended September 30,</w:t>
            </w:r>
          </w:p>
        </w:tc>
      </w:tr>
      <w:tr>
        <w:trPr>
          <w:trHeight w:val="235"/>
        </w:trPr>
        <w:tc>
          <w:tcPr>
            <w:tcW w:w="2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4"/>
              </w:rPr>
              <w:t>Equity Classified Awards</w:t>
            </w:r>
          </w:p>
        </w:tc>
        <w:tc>
          <w:tcPr>
            <w:tcW w:w="2000" w:type="dxa"/>
            <w:vAlign w:val="bottom"/>
            <w:tcBorders>
              <w:bottom w:val="single" w:sz="8" w:color="CCEEFF"/>
            </w:tcBorders>
            <w:gridSpan w:val="2"/>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Cost of goods sold</w:t>
            </w:r>
          </w:p>
        </w:tc>
        <w:tc>
          <w:tcPr>
            <w:tcW w:w="1180" w:type="dxa"/>
            <w:vAlign w:val="bottom"/>
          </w:tcPr>
          <w:p>
            <w:pPr>
              <w:jc w:val="right"/>
              <w:ind w:right="993"/>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21"/>
                <w:szCs w:val="21"/>
                <w:color w:val="auto"/>
              </w:rPr>
            </w:pP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1"/>
                <w:szCs w:val="21"/>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599</w:t>
            </w:r>
          </w:p>
        </w:tc>
        <w:tc>
          <w:tcPr>
            <w:tcW w:w="120" w:type="dxa"/>
            <w:vAlign w:val="bottom"/>
          </w:tcPr>
          <w:p>
            <w:pPr>
              <w:spacing w:after="0"/>
              <w:rPr>
                <w:sz w:val="21"/>
                <w:szCs w:val="21"/>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55"/>
        </w:trPr>
        <w:tc>
          <w:tcPr>
            <w:tcW w:w="20" w:type="dxa"/>
            <w:vAlign w:val="bottom"/>
            <w:shd w:val="clear" w:color="auto" w:fill="CCEEFF"/>
          </w:tcPr>
          <w:p>
            <w:pPr>
              <w:spacing w:after="0"/>
              <w:rPr>
                <w:sz w:val="22"/>
                <w:szCs w:val="22"/>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Selling, general and administrative</w:t>
            </w:r>
          </w:p>
        </w:tc>
        <w:tc>
          <w:tcPr>
            <w:tcW w:w="1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3,910</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2,593</w:t>
            </w:r>
          </w:p>
        </w:tc>
      </w:tr>
      <w:tr>
        <w:trPr>
          <w:trHeight w:val="242"/>
        </w:trPr>
        <w:tc>
          <w:tcPr>
            <w:tcW w:w="20" w:type="dxa"/>
            <w:vAlign w:val="bottom"/>
            <w:tcBorders>
              <w:bottom w:val="single" w:sz="8" w:color="CCEEFF"/>
            </w:tcBorders>
          </w:tcPr>
          <w:p>
            <w:pPr>
              <w:spacing w:after="0"/>
              <w:rPr>
                <w:sz w:val="21"/>
                <w:szCs w:val="21"/>
                <w:color w:val="auto"/>
              </w:rPr>
            </w:pPr>
          </w:p>
        </w:tc>
        <w:tc>
          <w:tcPr>
            <w:tcW w:w="3780" w:type="dxa"/>
            <w:vAlign w:val="bottom"/>
            <w:tcBorders>
              <w:bottom w:val="single" w:sz="8" w:color="CCEEFF"/>
            </w:tcBorders>
            <w:gridSpan w:val="3"/>
          </w:tcPr>
          <w:p>
            <w:pPr>
              <w:ind w:left="260"/>
              <w:spacing w:after="0"/>
              <w:rPr>
                <w:sz w:val="20"/>
                <w:szCs w:val="20"/>
                <w:color w:val="auto"/>
              </w:rPr>
            </w:pPr>
            <w:r>
              <w:rPr>
                <w:rFonts w:ascii="Arial" w:cs="Arial" w:eastAsia="Arial" w:hAnsi="Arial"/>
                <w:sz w:val="17"/>
                <w:szCs w:val="17"/>
                <w:color w:val="auto"/>
              </w:rPr>
              <w:t>Other</w:t>
            </w: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w:t>
            </w:r>
          </w:p>
        </w:tc>
      </w:tr>
      <w:tr>
        <w:trPr>
          <w:trHeight w:val="248"/>
        </w:trPr>
        <w:tc>
          <w:tcPr>
            <w:tcW w:w="20" w:type="dxa"/>
            <w:vAlign w:val="bottom"/>
            <w:shd w:val="clear" w:color="auto" w:fill="CCEEFF"/>
          </w:tcPr>
          <w:p>
            <w:pPr>
              <w:spacing w:after="0"/>
              <w:rPr>
                <w:sz w:val="21"/>
                <w:szCs w:val="21"/>
                <w:color w:val="auto"/>
              </w:rPr>
            </w:pPr>
          </w:p>
        </w:tc>
        <w:tc>
          <w:tcPr>
            <w:tcW w:w="378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equity classified awards</w:t>
            </w:r>
          </w:p>
        </w:tc>
        <w:tc>
          <w:tcPr>
            <w:tcW w:w="1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4,361</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1,880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12,625</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3,300</w:t>
            </w:r>
          </w:p>
        </w:tc>
      </w:tr>
      <w:tr>
        <w:trPr>
          <w:trHeight w:val="176"/>
        </w:trPr>
        <w:tc>
          <w:tcPr>
            <w:tcW w:w="20" w:type="dxa"/>
            <w:vAlign w:val="bottom"/>
          </w:tcPr>
          <w:p>
            <w:pPr>
              <w:spacing w:after="0"/>
              <w:rPr>
                <w:sz w:val="15"/>
                <w:szCs w:val="15"/>
                <w:color w:val="auto"/>
              </w:rPr>
            </w:pPr>
          </w:p>
        </w:tc>
        <w:tc>
          <w:tcPr>
            <w:tcW w:w="3780" w:type="dxa"/>
            <w:vAlign w:val="bottom"/>
            <w:gridSpan w:val="3"/>
          </w:tcPr>
          <w:p>
            <w:pPr>
              <w:spacing w:after="0" w:line="176" w:lineRule="exact"/>
              <w:rPr>
                <w:sz w:val="20"/>
                <w:szCs w:val="20"/>
                <w:color w:val="auto"/>
              </w:rPr>
            </w:pPr>
            <w:r>
              <w:rPr>
                <w:rFonts w:ascii="Arial" w:cs="Arial" w:eastAsia="Arial" w:hAnsi="Arial"/>
                <w:sz w:val="17"/>
                <w:szCs w:val="17"/>
                <w:color w:val="auto"/>
              </w:rPr>
              <w:t>Liability Classified Awards</w:t>
            </w: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8"/>
        </w:trPr>
        <w:tc>
          <w:tcPr>
            <w:tcW w:w="20" w:type="dxa"/>
            <w:vAlign w:val="bottom"/>
            <w:shd w:val="clear" w:color="auto" w:fill="CCEEFF"/>
          </w:tcPr>
          <w:p>
            <w:pPr>
              <w:spacing w:after="0"/>
              <w:rPr>
                <w:sz w:val="21"/>
                <w:szCs w:val="21"/>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Selling, general and administrative</w:t>
            </w:r>
          </w:p>
        </w:tc>
        <w:tc>
          <w:tcPr>
            <w:tcW w:w="1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r>
      <w:tr>
        <w:trPr>
          <w:trHeight w:val="242"/>
        </w:trPr>
        <w:tc>
          <w:tcPr>
            <w:tcW w:w="20" w:type="dxa"/>
            <w:vAlign w:val="bottom"/>
          </w:tcPr>
          <w:p>
            <w:pPr>
              <w:spacing w:after="0"/>
              <w:rPr>
                <w:sz w:val="21"/>
                <w:szCs w:val="21"/>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Other</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41"/>
        </w:trPr>
        <w:tc>
          <w:tcPr>
            <w:tcW w:w="20" w:type="dxa"/>
            <w:vAlign w:val="bottom"/>
            <w:tcBorders>
              <w:top w:val="single" w:sz="8" w:color="CCEEFF"/>
            </w:tcBorders>
            <w:shd w:val="clear" w:color="auto" w:fill="CCEEFF"/>
          </w:tcPr>
          <w:p>
            <w:pPr>
              <w:spacing w:after="0"/>
              <w:rPr>
                <w:sz w:val="20"/>
                <w:szCs w:val="20"/>
                <w:color w:val="auto"/>
              </w:rPr>
            </w:pPr>
          </w:p>
        </w:tc>
        <w:tc>
          <w:tcPr>
            <w:tcW w:w="378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7"/>
                <w:szCs w:val="17"/>
                <w:color w:val="auto"/>
              </w:rPr>
              <w:t>Total liability classified awards</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2,326</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2,523</w:t>
            </w:r>
          </w:p>
        </w:tc>
      </w:tr>
      <w:tr>
        <w:trPr>
          <w:trHeight w:val="248"/>
        </w:trPr>
        <w:tc>
          <w:tcPr>
            <w:tcW w:w="20" w:type="dxa"/>
            <w:vAlign w:val="bottom"/>
          </w:tcPr>
          <w:p>
            <w:pPr>
              <w:spacing w:after="0"/>
              <w:rPr>
                <w:sz w:val="21"/>
                <w:szCs w:val="21"/>
                <w:color w:val="auto"/>
              </w:rPr>
            </w:pPr>
          </w:p>
        </w:tc>
        <w:tc>
          <w:tcPr>
            <w:tcW w:w="3780" w:type="dxa"/>
            <w:vAlign w:val="bottom"/>
            <w:gridSpan w:val="3"/>
          </w:tcPr>
          <w:p>
            <w:pPr>
              <w:ind w:left="520"/>
              <w:spacing w:after="0"/>
              <w:rPr>
                <w:sz w:val="20"/>
                <w:szCs w:val="20"/>
                <w:color w:val="auto"/>
              </w:rPr>
            </w:pPr>
            <w:r>
              <w:rPr>
                <w:rFonts w:ascii="Arial" w:cs="Arial" w:eastAsia="Arial" w:hAnsi="Arial"/>
                <w:sz w:val="17"/>
                <w:szCs w:val="17"/>
                <w:color w:val="auto"/>
              </w:rPr>
              <w:t>Total stock-based compensation</w:t>
            </w:r>
          </w:p>
        </w:tc>
        <w:tc>
          <w:tcPr>
            <w:tcW w:w="1180" w:type="dxa"/>
            <w:vAlign w:val="bottom"/>
            <w:tcBorders>
              <w:bottom w:val="single" w:sz="8" w:color="auto"/>
            </w:tcBorders>
          </w:tcPr>
          <w:p>
            <w:pPr>
              <w:jc w:val="right"/>
              <w:ind w:right="99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4,220</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111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4,206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5,823</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i w:val="1"/>
          <w:iCs w:val="1"/>
          <w:color w:val="auto"/>
        </w:rPr>
        <w:t>Stock option award activity</w:t>
      </w:r>
      <w:r>
        <w:rPr>
          <w:rFonts w:ascii="Arial" w:cs="Arial" w:eastAsia="Arial" w:hAnsi="Arial"/>
          <w:sz w:val="17"/>
          <w:szCs w:val="17"/>
          <w:color w:val="auto"/>
        </w:rPr>
        <w:t>. Stock option activity under the Company’s stock incentive plans and changes during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were as follows:</w:t>
      </w:r>
    </w:p>
    <w:p>
      <w:pPr>
        <w:spacing w:after="0" w:line="231"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Weighted-Average</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Remaining</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ind w:left="80"/>
              <w:spacing w:after="0"/>
              <w:rPr>
                <w:sz w:val="20"/>
                <w:szCs w:val="20"/>
                <w:color w:val="auto"/>
              </w:rPr>
            </w:pPr>
            <w:r>
              <w:rPr>
                <w:rFonts w:ascii="Arial" w:cs="Arial" w:eastAsia="Arial" w:hAnsi="Arial"/>
                <w:sz w:val="17"/>
                <w:szCs w:val="17"/>
                <w:b w:val="1"/>
                <w:bCs w:val="1"/>
                <w:color w:val="auto"/>
              </w:rPr>
              <w:t>Weighted-Average</w:t>
            </w:r>
          </w:p>
        </w:tc>
        <w:tc>
          <w:tcPr>
            <w:tcW w:w="16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Contractual Term</w:t>
            </w:r>
          </w:p>
        </w:tc>
        <w:tc>
          <w:tcPr>
            <w:tcW w:w="1580" w:type="dxa"/>
            <w:vAlign w:val="bottom"/>
            <w:gridSpan w:val="2"/>
          </w:tcPr>
          <w:p>
            <w:pPr>
              <w:ind w:left="60"/>
              <w:spacing w:after="0"/>
              <w:rPr>
                <w:sz w:val="20"/>
                <w:szCs w:val="20"/>
                <w:color w:val="auto"/>
              </w:rPr>
            </w:pPr>
            <w:r>
              <w:rPr>
                <w:rFonts w:ascii="Arial" w:cs="Arial" w:eastAsia="Arial" w:hAnsi="Arial"/>
                <w:sz w:val="17"/>
                <w:szCs w:val="17"/>
                <w:b w:val="1"/>
                <w:bCs w:val="1"/>
                <w:color w:val="auto"/>
                <w:w w:val="96"/>
              </w:rPr>
              <w:t>Aggregate Intrinsic</w:t>
            </w:r>
          </w:p>
        </w:tc>
        <w:tc>
          <w:tcPr>
            <w:tcW w:w="0" w:type="dxa"/>
            <w:vAlign w:val="bottom"/>
          </w:tcPr>
          <w:p>
            <w:pPr>
              <w:spacing w:after="0"/>
              <w:rPr>
                <w:sz w:val="1"/>
                <w:szCs w:val="1"/>
                <w:color w:val="auto"/>
              </w:rPr>
            </w:pPr>
          </w:p>
        </w:tc>
      </w:tr>
      <w:tr>
        <w:trPr>
          <w:trHeight w:val="254"/>
        </w:trPr>
        <w:tc>
          <w:tcPr>
            <w:tcW w:w="446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Number of Options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9"/>
              </w:rPr>
              <w:t xml:space="preserve">Exercise Price </w:t>
            </w:r>
            <w:r>
              <w:rPr>
                <w:rFonts w:ascii="Arial" w:cs="Arial" w:eastAsia="Arial" w:hAnsi="Arial"/>
                <w:sz w:val="22"/>
                <w:szCs w:val="22"/>
                <w:b w:val="1"/>
                <w:bCs w:val="1"/>
                <w:color w:val="auto"/>
                <w:w w:val="89"/>
                <w:vertAlign w:val="superscript"/>
              </w:rPr>
              <w:t>(1)</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(years)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41"/>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2021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4,746,368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Arial" w:cs="Arial" w:eastAsia="Arial" w:hAnsi="Arial"/>
                <w:sz w:val="17"/>
                <w:szCs w:val="17"/>
                <w:color w:val="auto"/>
              </w:rPr>
              <w:t>Granted</w:t>
            </w:r>
          </w:p>
        </w:tc>
        <w:tc>
          <w:tcPr>
            <w:tcW w:w="1540" w:type="dxa"/>
            <w:vAlign w:val="bottom"/>
          </w:tcPr>
          <w:p>
            <w:pPr>
              <w:jc w:val="right"/>
              <w:spacing w:after="0"/>
              <w:rPr>
                <w:sz w:val="20"/>
                <w:szCs w:val="20"/>
                <w:color w:val="auto"/>
              </w:rPr>
            </w:pPr>
            <w:r>
              <w:rPr>
                <w:rFonts w:ascii="Arial" w:cs="Arial" w:eastAsia="Arial" w:hAnsi="Arial"/>
                <w:sz w:val="17"/>
                <w:szCs w:val="17"/>
                <w:color w:val="auto"/>
              </w:rPr>
              <w:t>1,620,183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Canceled or forfeited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Exercised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7"/>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Options outstanding at September 30,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6,013,382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Options vested and expected to vest at Options vested at</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1,510,728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7"/>
                <w:szCs w:val="17"/>
                <w:color w:val="auto"/>
              </w:rPr>
              <w:t>September 30, 2022</w:t>
            </w:r>
          </w:p>
        </w:tc>
        <w:tc>
          <w:tcPr>
            <w:tcW w:w="1540" w:type="dxa"/>
            <w:vAlign w:val="bottom"/>
            <w:tcBorders>
              <w:bottom w:val="single" w:sz="8" w:color="auto"/>
            </w:tcBorders>
            <w:vMerge w:val="continue"/>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320" w:right="320" w:hanging="315"/>
        <w:spacing w:after="0" w:line="288" w:lineRule="auto"/>
        <w:tabs>
          <w:tab w:leader="none" w:pos="3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Exercise price of options outstanding range from $2.42 to $11,340 as of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higher end of the range is due to the impact of reverse stock splits subsequent to grants.</w:t>
      </w:r>
    </w:p>
    <w:p>
      <w:pPr>
        <w:spacing w:after="0" w:line="184" w:lineRule="exact"/>
        <w:rPr>
          <w:sz w:val="20"/>
          <w:szCs w:val="20"/>
          <w:color w:val="auto"/>
        </w:rPr>
      </w:pPr>
    </w:p>
    <w:p>
      <w:pPr>
        <w:ind w:right="140" w:firstLine="470"/>
        <w:spacing w:after="0" w:line="288" w:lineRule="auto"/>
        <w:rPr>
          <w:sz w:val="20"/>
          <w:szCs w:val="20"/>
          <w:color w:val="auto"/>
        </w:rPr>
      </w:pPr>
      <w:r>
        <w:rPr>
          <w:rFonts w:ascii="Arial" w:cs="Arial" w:eastAsia="Arial" w:hAnsi="Arial"/>
          <w:sz w:val="17"/>
          <w:szCs w:val="17"/>
          <w:color w:val="auto"/>
        </w:rPr>
        <w:t>As of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total unrecognized compensation expense, net of estimated forfeitures, relating to stock options was $15.7 million, which is expected to be recognized over the remaining weighted-average period of approximately 2.4 years.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Non-vested restricted stock awards and the changes during the nine months ended September 30, 2022,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213"/>
              <w:spacing w:after="0"/>
              <w:rPr>
                <w:sz w:val="20"/>
                <w:szCs w:val="20"/>
                <w:color w:val="auto"/>
              </w:rPr>
            </w:pPr>
            <w:r>
              <w:rPr>
                <w:rFonts w:ascii="Arial" w:cs="Arial" w:eastAsia="Arial" w:hAnsi="Arial"/>
                <w:sz w:val="17"/>
                <w:szCs w:val="17"/>
                <w:b w:val="1"/>
                <w:bCs w:val="1"/>
                <w:color w:val="auto"/>
              </w:rPr>
              <w:t>Weighted-Average</w:t>
            </w:r>
          </w:p>
        </w:tc>
      </w:tr>
      <w:tr>
        <w:trPr>
          <w:trHeight w:val="234"/>
        </w:trPr>
        <w:tc>
          <w:tcPr>
            <w:tcW w:w="722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6"/>
              </w:rPr>
              <w:t>Grant-Date Fair Value</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6,882,502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Granted</w:t>
            </w:r>
          </w:p>
        </w:tc>
        <w:tc>
          <w:tcPr>
            <w:tcW w:w="1960" w:type="dxa"/>
            <w:vAlign w:val="bottom"/>
          </w:tcPr>
          <w:p>
            <w:pPr>
              <w:jc w:val="right"/>
              <w:spacing w:after="0"/>
              <w:rPr>
                <w:sz w:val="20"/>
                <w:szCs w:val="20"/>
                <w:color w:val="auto"/>
              </w:rPr>
            </w:pPr>
            <w:r>
              <w:rPr>
                <w:rFonts w:ascii="Arial" w:cs="Arial" w:eastAsia="Arial" w:hAnsi="Arial"/>
                <w:sz w:val="17"/>
                <w:szCs w:val="17"/>
                <w:color w:val="auto"/>
              </w:rPr>
              <w:t>2,348,105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2.58</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and issued</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(3,484,585)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4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Canceled or 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(374,842)</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4.90</w:t>
            </w:r>
          </w:p>
        </w:tc>
      </w:tr>
      <w:tr>
        <w:trPr>
          <w:trHeight w:val="273"/>
        </w:trPr>
        <w:tc>
          <w:tcPr>
            <w:tcW w:w="7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Non-vested at September 30, 2022</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5,371,180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The total fair value of restricted stock that vested during the nine months ended September 30, 2022, was $0.6 million. As of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total unrecognized compensation expense, net of estimated forfeitures, relating to restricted stock awards was $19.4 million, which is expected to be recognized over the remaining weighted-average period of approximately 2.3 years. As of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we have no unvested liability-classified restricted stock awards</w:t>
      </w:r>
      <w:r>
        <w:rPr>
          <w:rFonts w:ascii="Arial" w:cs="Arial" w:eastAsia="Arial" w:hAnsi="Arial"/>
          <w:sz w:val="17"/>
          <w:szCs w:val="17"/>
          <w:i w:val="1"/>
          <w:iCs w:val="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w:t>
      </w:r>
    </w:p>
    <w:p>
      <w:pPr>
        <w:spacing w:after="0" w:line="255"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The Company has incurred operating losses since inception, therefore no provision for income taxes was recorded and all related deferred tax assets are fully reserved. We continue to assess the impact of a deferred tax asset as it relates to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Commitments and Contingencies</w:t>
      </w:r>
    </w:p>
    <w:p>
      <w:pPr>
        <w:spacing w:after="0" w:line="255" w:lineRule="exact"/>
        <w:rPr>
          <w:sz w:val="20"/>
          <w:szCs w:val="20"/>
          <w:color w:val="auto"/>
        </w:rPr>
      </w:pPr>
    </w:p>
    <w:p>
      <w:pPr>
        <w:ind w:right="320" w:firstLine="470"/>
        <w:spacing w:after="0" w:line="272" w:lineRule="auto"/>
        <w:rPr>
          <w:sz w:val="20"/>
          <w:szCs w:val="20"/>
          <w:color w:val="auto"/>
        </w:rPr>
      </w:pPr>
      <w:r>
        <w:rPr>
          <w:rFonts w:ascii="Arial" w:cs="Arial" w:eastAsia="Arial" w:hAnsi="Arial"/>
          <w:sz w:val="17"/>
          <w:szCs w:val="17"/>
          <w:i w:val="1"/>
          <w:iCs w:val="1"/>
          <w:color w:val="auto"/>
        </w:rPr>
        <w:t>Legal matters</w:t>
      </w:r>
      <w:r>
        <w:rPr>
          <w:rFonts w:ascii="Arial" w:cs="Arial" w:eastAsia="Arial" w:hAnsi="Arial"/>
          <w:sz w:val="17"/>
          <w:szCs w:val="17"/>
          <w:color w:val="auto"/>
        </w:rPr>
        <w:t>. From time to time, the Company has been, and may again become, involved in legal proceedings arising in the ordinary course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198"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i w:val="1"/>
          <w:iCs w:val="1"/>
          <w:color w:val="auto"/>
        </w:rPr>
        <w:t>Indemnifications</w:t>
      </w:r>
      <w:r>
        <w:rPr>
          <w:rFonts w:ascii="Arial" w:cs="Arial" w:eastAsia="Arial" w:hAnsi="Arial"/>
          <w:sz w:val="17"/>
          <w:szCs w:val="17"/>
          <w:color w:val="auto"/>
        </w:rPr>
        <w:t>. In the ordinary course of its business, the Company makes certain indemnities under which it may be required to make payments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 to certain transactions. As of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did not have any liabilities associated with indemnities.</w:t>
      </w:r>
    </w:p>
    <w:p>
      <w:pPr>
        <w:spacing w:after="0" w:line="184"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spacing w:after="0" w:line="206" w:lineRule="exact"/>
        <w:rPr>
          <w:sz w:val="20"/>
          <w:szCs w:val="20"/>
          <w:color w:val="auto"/>
        </w:rPr>
      </w:pPr>
    </w:p>
    <w:p>
      <w:pPr>
        <w:ind w:right="160" w:firstLine="470"/>
        <w:spacing w:after="0" w:line="26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September 30, 2022.</w:t>
      </w:r>
    </w:p>
    <w:p>
      <w:pPr>
        <w:spacing w:after="0" w:line="205"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In June 2021 the Company contracted with a manufacturer in India to build a fractionation and hydrocarbon skid for $10.2 million, the remaining commitment for the contract is $3.5 million as of September 30, 2022.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In February 2022, an incident occurred at one of the anaerobic digesters that is part of NW Iowa RNG that resulted in the accidental discharge of a mixture of water and manure into the environment. We promptly notified the Iowa Department of Natural Resources (the "DNR") and began mitigation work to minimize the impact of the discharge. The DNR has issued a notice of violation in connection with the discharge. This matter was resolved with the DNR in July 2022 through an administrative consent order and damages of $10,000 were assessed.</w:t>
      </w:r>
    </w:p>
    <w:p>
      <w:pPr>
        <w:spacing w:after="0" w:line="202" w:lineRule="exact"/>
        <w:rPr>
          <w:sz w:val="20"/>
          <w:szCs w:val="20"/>
          <w:color w:val="auto"/>
        </w:rPr>
      </w:pPr>
    </w:p>
    <w:p>
      <w:pPr>
        <w:ind w:right="40" w:firstLine="470"/>
        <w:spacing w:after="0" w:line="321" w:lineRule="auto"/>
        <w:rPr>
          <w:sz w:val="20"/>
          <w:szCs w:val="20"/>
          <w:color w:val="auto"/>
        </w:rPr>
      </w:pPr>
      <w:r>
        <w:rPr>
          <w:rFonts w:ascii="Arial" w:cs="Arial" w:eastAsia="Arial" w:hAnsi="Arial"/>
          <w:sz w:val="16"/>
          <w:szCs w:val="16"/>
          <w:color w:val="auto"/>
        </w:rPr>
        <w:t>In April 2022, two separate incidents occurred at two of the anaerobic digesters that are part of NW Iowa RNG that resulted in the accidental discharge of very small amounts of water and manure into the environment. The DNR has issued notices of violation in connection with the two discharges.</w:t>
      </w:r>
    </w:p>
    <w:p>
      <w:pPr>
        <w:spacing w:after="0" w:line="161"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There is a possibility that the DNR will initiate an enforcement action with respect to the April 2022, discharges described above that could result in a monetary sanction being levied against Gevo for the accidental discharges. We do not believe that any such monetary sanctions would have a material impact on the financial statements.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Juhl Commitment.</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September 2022, the Company entered into a Development Agreement with Juhl to construct and operate a wind project for the provision of electric</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energy for the NZ1. Pursuant to the agreement, the Company has committed to pay Juhl a total development charges of $8.6 million, comprised of advanced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development fee payments of $0.9 million, certain reimbursable costs of $1.2 million, and $6.5 million upon completion of the project. The Company has paid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$0.6 million pursuant to the agreement as of September 30, 2022. The Company is not contractually obligated for the specified development charges until certain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milestones are met in future periods, and upon completion of the project.</w:t>
      </w:r>
    </w:p>
    <w:p>
      <w:pPr>
        <w:spacing w:after="0" w:line="237" w:lineRule="exact"/>
        <w:rPr>
          <w:sz w:val="20"/>
          <w:szCs w:val="20"/>
          <w:color w:val="auto"/>
        </w:rPr>
      </w:pPr>
    </w:p>
    <w:p>
      <w:pPr>
        <w:ind w:right="80" w:firstLine="470"/>
        <w:spacing w:after="0" w:line="297" w:lineRule="auto"/>
        <w:rPr>
          <w:sz w:val="20"/>
          <w:szCs w:val="20"/>
          <w:color w:val="auto"/>
        </w:rPr>
      </w:pPr>
      <w:r>
        <w:rPr>
          <w:rFonts w:ascii="Arial" w:cs="Arial" w:eastAsia="Arial" w:hAnsi="Arial"/>
          <w:sz w:val="16"/>
          <w:szCs w:val="16"/>
          <w:color w:val="auto"/>
        </w:rPr>
        <w:t>The Company's investment in Juhl is pledged as a collateral for two commitments related to a purchase of wind electricity for the Luverne Facility, as well as 100% of RCWF's renewable energy credits. Gevo has a commitment to purchase all of RCWF's electricity. The portion not used by the Luverne Facility is charged to the Company at a lower price. The estimated commitments as of September 30, 2022, and thereafter are shown below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Electricity Above Use</w:t>
            </w:r>
          </w:p>
        </w:tc>
        <w:tc>
          <w:tcPr>
            <w:tcW w:w="200" w:type="dxa"/>
            <w:vAlign w:val="bottom"/>
          </w:tcPr>
          <w:p>
            <w:pPr>
              <w:spacing w:after="0"/>
              <w:rPr>
                <w:sz w:val="17"/>
                <w:szCs w:val="17"/>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6"/>
              </w:rPr>
              <w:t>Renewable Energy</w:t>
            </w:r>
          </w:p>
        </w:tc>
      </w:tr>
      <w:tr>
        <w:trPr>
          <w:trHeight w:val="253"/>
        </w:trPr>
        <w:tc>
          <w:tcPr>
            <w:tcW w:w="722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(estimated)</w:t>
            </w:r>
          </w:p>
        </w:tc>
        <w:tc>
          <w:tcPr>
            <w:tcW w:w="200" w:type="dxa"/>
            <w:vAlign w:val="bottom"/>
          </w:tcPr>
          <w:p>
            <w:pPr>
              <w:spacing w:after="0"/>
              <w:rPr>
                <w:sz w:val="22"/>
                <w:szCs w:val="22"/>
                <w:color w:val="auto"/>
              </w:rPr>
            </w:pPr>
          </w:p>
        </w:tc>
        <w:tc>
          <w:tcPr>
            <w:tcW w:w="1760" w:type="dxa"/>
            <w:vAlign w:val="bottom"/>
          </w:tcPr>
          <w:p>
            <w:pPr>
              <w:jc w:val="right"/>
              <w:ind w:right="613"/>
              <w:spacing w:after="0"/>
              <w:rPr>
                <w:sz w:val="20"/>
                <w:szCs w:val="20"/>
                <w:color w:val="auto"/>
              </w:rPr>
            </w:pPr>
            <w:r>
              <w:rPr>
                <w:rFonts w:ascii="Arial" w:cs="Arial" w:eastAsia="Arial" w:hAnsi="Arial"/>
                <w:sz w:val="17"/>
                <w:szCs w:val="17"/>
                <w:b w:val="1"/>
                <w:bCs w:val="1"/>
                <w:color w:val="auto"/>
              </w:rPr>
              <w:t>Credits</w:t>
            </w:r>
          </w:p>
        </w:tc>
      </w:tr>
      <w:tr>
        <w:trPr>
          <w:trHeight w:val="22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48"/>
        </w:trPr>
        <w:tc>
          <w:tcPr>
            <w:tcW w:w="722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48"/>
        </w:trPr>
        <w:tc>
          <w:tcPr>
            <w:tcW w:w="7220" w:type="dxa"/>
            <w:vAlign w:val="bottom"/>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4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1,985</w:t>
            </w:r>
          </w:p>
        </w:tc>
      </w:tr>
      <w:tr>
        <w:trPr>
          <w:trHeight w:val="240"/>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commitments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 Value Measurements</w:t>
      </w:r>
    </w:p>
    <w:p>
      <w:pPr>
        <w:spacing w:after="0" w:line="255"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 inputs include quoted market prices in an active market for identical assets or liabilities.</w:t>
      </w:r>
    </w:p>
    <w:p>
      <w:pPr>
        <w:spacing w:after="0" w:line="249" w:lineRule="exact"/>
        <w:rPr>
          <w:sz w:val="20"/>
          <w:szCs w:val="20"/>
          <w:color w:val="auto"/>
        </w:rPr>
      </w:pPr>
    </w:p>
    <w:p>
      <w:pPr>
        <w:ind w:right="460" w:firstLine="470"/>
        <w:spacing w:after="0" w:line="321"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3 – inputs are unobservable and corroborated by little or no market data.</w:t>
      </w:r>
    </w:p>
    <w:p>
      <w:pPr>
        <w:spacing w:after="0" w:line="249" w:lineRule="exact"/>
        <w:rPr>
          <w:sz w:val="20"/>
          <w:szCs w:val="20"/>
          <w:color w:val="auto"/>
        </w:rPr>
      </w:pPr>
    </w:p>
    <w:p>
      <w:pPr>
        <w:ind w:right="560" w:firstLine="470"/>
        <w:spacing w:after="0" w:line="288" w:lineRule="auto"/>
        <w:rPr>
          <w:sz w:val="20"/>
          <w:szCs w:val="20"/>
          <w:color w:val="auto"/>
        </w:rPr>
      </w:pPr>
      <w:r>
        <w:rPr>
          <w:rFonts w:ascii="Arial" w:cs="Arial" w:eastAsia="Arial" w:hAnsi="Arial"/>
          <w:sz w:val="17"/>
          <w:szCs w:val="17"/>
          <w:color w:val="auto"/>
        </w:rPr>
        <w:t>The carrying value and fair value, by fair value hierarchy, of the Company's financial instruments at September 30, 2022, and December 31, 2021, respectively,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7"/>
                <w:szCs w:val="17"/>
                <w:b w:val="1"/>
                <w:bCs w:val="1"/>
                <w:color w:val="auto"/>
                <w:w w:val="92"/>
              </w:rPr>
              <w:t>Fair Value Measurements at September 30, 2022</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Quoted Prices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restart"/>
          </w:tcPr>
          <w:p>
            <w:pPr>
              <w:jc w:val="center"/>
              <w:ind w:right="93"/>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71"/>
        </w:trPr>
        <w:tc>
          <w:tcPr>
            <w:tcW w:w="4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3"/>
            <w:vMerge w:val="restart"/>
          </w:tcPr>
          <w:p>
            <w:pPr>
              <w:jc w:val="center"/>
              <w:ind w:right="120"/>
              <w:spacing w:after="0"/>
              <w:rPr>
                <w:sz w:val="20"/>
                <w:szCs w:val="20"/>
                <w:color w:val="auto"/>
              </w:rPr>
            </w:pPr>
            <w:r>
              <w:rPr>
                <w:rFonts w:ascii="Arial" w:cs="Arial" w:eastAsia="Arial" w:hAnsi="Arial"/>
                <w:sz w:val="17"/>
                <w:szCs w:val="17"/>
                <w:b w:val="1"/>
                <w:bCs w:val="1"/>
                <w:color w:val="auto"/>
                <w:w w:val="94"/>
              </w:rPr>
              <w:t>Active Markets for</w:t>
            </w: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w w:val="94"/>
              </w:rPr>
              <w:t>Fair Value at</w:t>
            </w:r>
          </w:p>
        </w:tc>
        <w:tc>
          <w:tcPr>
            <w:tcW w:w="16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center"/>
              <w:ind w:right="220"/>
              <w:spacing w:after="0" w:line="170" w:lineRule="exact"/>
              <w:rPr>
                <w:sz w:val="20"/>
                <w:szCs w:val="20"/>
                <w:color w:val="auto"/>
              </w:rPr>
            </w:pPr>
            <w:r>
              <w:rPr>
                <w:rFonts w:ascii="Arial" w:cs="Arial" w:eastAsia="Arial" w:hAnsi="Arial"/>
                <w:sz w:val="17"/>
                <w:szCs w:val="17"/>
                <w:b w:val="1"/>
                <w:bCs w:val="1"/>
                <w:color w:val="auto"/>
                <w:w w:val="94"/>
              </w:rPr>
              <w:t>Significant Other</w:t>
            </w:r>
          </w:p>
        </w:tc>
        <w:tc>
          <w:tcPr>
            <w:tcW w:w="200" w:type="dxa"/>
            <w:vAlign w:val="bottom"/>
          </w:tcPr>
          <w:p>
            <w:pPr>
              <w:spacing w:after="0"/>
              <w:rPr>
                <w:sz w:val="12"/>
                <w:szCs w:val="12"/>
                <w:color w:val="auto"/>
              </w:rPr>
            </w:pPr>
          </w:p>
        </w:tc>
        <w:tc>
          <w:tcPr>
            <w:tcW w:w="1380" w:type="dxa"/>
            <w:vAlign w:val="bottom"/>
            <w:vMerge w:val="restart"/>
          </w:tcPr>
          <w:p>
            <w:pPr>
              <w:jc w:val="center"/>
              <w:ind w:right="113"/>
              <w:spacing w:after="0" w:line="170" w:lineRule="exact"/>
              <w:rPr>
                <w:sz w:val="20"/>
                <w:szCs w:val="20"/>
                <w:color w:val="auto"/>
              </w:rPr>
            </w:pPr>
            <w:r>
              <w:rPr>
                <w:rFonts w:ascii="Arial" w:cs="Arial" w:eastAsia="Arial" w:hAnsi="Arial"/>
                <w:sz w:val="17"/>
                <w:szCs w:val="17"/>
                <w:b w:val="1"/>
                <w:bCs w:val="1"/>
                <w:color w:val="auto"/>
                <w:w w:val="90"/>
              </w:rPr>
              <w:t>Unobservable</w:t>
            </w:r>
          </w:p>
        </w:tc>
        <w:tc>
          <w:tcPr>
            <w:tcW w:w="0" w:type="dxa"/>
            <w:vAlign w:val="bottom"/>
          </w:tcPr>
          <w:p>
            <w:pPr>
              <w:spacing w:after="0"/>
              <w:rPr>
                <w:sz w:val="1"/>
                <w:szCs w:val="1"/>
                <w:color w:val="auto"/>
              </w:rPr>
            </w:pPr>
          </w:p>
        </w:tc>
      </w:tr>
      <w:tr>
        <w:trPr>
          <w:trHeight w:val="31"/>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89"/>
              </w:rPr>
              <w:t>Identical Assets</w:t>
            </w: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80" w:type="dxa"/>
            <w:vAlign w:val="bottom"/>
            <w:gridSpan w:val="3"/>
          </w:tcPr>
          <w:p>
            <w:pPr>
              <w:jc w:val="center"/>
              <w:ind w:right="100"/>
              <w:spacing w:after="0" w:line="183" w:lineRule="exact"/>
              <w:rPr>
                <w:sz w:val="20"/>
                <w:szCs w:val="20"/>
                <w:color w:val="auto"/>
              </w:rPr>
            </w:pPr>
            <w:r>
              <w:rPr>
                <w:rFonts w:ascii="Arial" w:cs="Arial" w:eastAsia="Arial" w:hAnsi="Arial"/>
                <w:sz w:val="17"/>
                <w:szCs w:val="17"/>
                <w:b w:val="1"/>
                <w:bCs w:val="1"/>
                <w:color w:val="auto"/>
                <w:w w:val="93"/>
              </w:rPr>
              <w:t>Observable Inputs</w:t>
            </w:r>
          </w:p>
        </w:tc>
        <w:tc>
          <w:tcPr>
            <w:tcW w:w="200" w:type="dxa"/>
            <w:vAlign w:val="bottom"/>
          </w:tcPr>
          <w:p>
            <w:pPr>
              <w:spacing w:after="0"/>
              <w:rPr>
                <w:sz w:val="15"/>
                <w:szCs w:val="15"/>
                <w:color w:val="auto"/>
              </w:rPr>
            </w:pPr>
          </w:p>
        </w:tc>
        <w:tc>
          <w:tcPr>
            <w:tcW w:w="1380" w:type="dxa"/>
            <w:vAlign w:val="bottom"/>
          </w:tcPr>
          <w:p>
            <w:pPr>
              <w:jc w:val="center"/>
              <w:ind w:right="93"/>
              <w:spacing w:after="0" w:line="183" w:lineRule="exact"/>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19"/>
                <w:szCs w:val="19"/>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September 30, 2022</w:t>
            </w:r>
          </w:p>
        </w:tc>
        <w:tc>
          <w:tcPr>
            <w:tcW w:w="12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(Level 1)</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(Level 2)</w:t>
            </w:r>
          </w:p>
        </w:tc>
        <w:tc>
          <w:tcPr>
            <w:tcW w:w="200" w:type="dxa"/>
            <w:vAlign w:val="bottom"/>
          </w:tcPr>
          <w:p>
            <w:pPr>
              <w:spacing w:after="0"/>
              <w:rPr>
                <w:sz w:val="19"/>
                <w:szCs w:val="19"/>
                <w:color w:val="auto"/>
              </w:rPr>
            </w:pPr>
          </w:p>
        </w:tc>
        <w:tc>
          <w:tcPr>
            <w:tcW w:w="1380" w:type="dxa"/>
            <w:vAlign w:val="bottom"/>
          </w:tcPr>
          <w:p>
            <w:pPr>
              <w:jc w:val="center"/>
              <w:ind w:right="113"/>
              <w:spacing w:after="0"/>
              <w:rPr>
                <w:sz w:val="20"/>
                <w:szCs w:val="20"/>
                <w:color w:val="auto"/>
              </w:rPr>
            </w:pPr>
            <w:r>
              <w:rPr>
                <w:rFonts w:ascii="Arial" w:cs="Arial" w:eastAsia="Arial" w:hAnsi="Arial"/>
                <w:sz w:val="17"/>
                <w:szCs w:val="17"/>
                <w:b w:val="1"/>
                <w:bCs w:val="1"/>
                <w:color w:val="auto"/>
                <w:w w:val="95"/>
              </w:rPr>
              <w:t>(Level 3)</w:t>
            </w:r>
          </w:p>
        </w:tc>
        <w:tc>
          <w:tcPr>
            <w:tcW w:w="0" w:type="dxa"/>
            <w:vAlign w:val="bottom"/>
          </w:tcPr>
          <w:p>
            <w:pPr>
              <w:spacing w:after="0"/>
              <w:rPr>
                <w:sz w:val="1"/>
                <w:szCs w:val="1"/>
                <w:color w:val="auto"/>
              </w:rPr>
            </w:pPr>
          </w:p>
        </w:tc>
      </w:tr>
      <w:tr>
        <w:trPr>
          <w:trHeight w:val="24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Recurring</w:t>
            </w: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00" w:type="dxa"/>
            <w:vAlign w:val="bottom"/>
          </w:tcPr>
          <w:p>
            <w:pPr>
              <w:ind w:left="180"/>
              <w:spacing w:after="0"/>
              <w:rPr>
                <w:sz w:val="20"/>
                <w:szCs w:val="20"/>
                <w:color w:val="auto"/>
              </w:rPr>
            </w:pPr>
            <w:r>
              <w:rPr>
                <w:rFonts w:ascii="Arial" w:cs="Arial" w:eastAsia="Arial" w:hAnsi="Arial"/>
                <w:sz w:val="17"/>
                <w:szCs w:val="17"/>
                <w:color w:val="auto"/>
              </w:rPr>
              <w:t>Marketable securities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U.S. Treasury notes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108,598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U.S. Government-sponsored enterprise securities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113,414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113,414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Total recurring</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7"/>
                <w:szCs w:val="17"/>
                <w:b w:val="1"/>
                <w:bCs w:val="1"/>
                <w:color w:val="auto"/>
                <w:w w:val="93"/>
              </w:rPr>
              <w:t>Fair Value Measurements at December 31, 2021</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Quoted Prices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restart"/>
          </w:tcPr>
          <w:p>
            <w:pPr>
              <w:jc w:val="center"/>
              <w:ind w:right="93"/>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71"/>
        </w:trPr>
        <w:tc>
          <w:tcPr>
            <w:tcW w:w="4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3"/>
            <w:vMerge w:val="restart"/>
          </w:tcPr>
          <w:p>
            <w:pPr>
              <w:jc w:val="center"/>
              <w:ind w:right="120"/>
              <w:spacing w:after="0"/>
              <w:rPr>
                <w:sz w:val="20"/>
                <w:szCs w:val="20"/>
                <w:color w:val="auto"/>
              </w:rPr>
            </w:pPr>
            <w:r>
              <w:rPr>
                <w:rFonts w:ascii="Arial" w:cs="Arial" w:eastAsia="Arial" w:hAnsi="Arial"/>
                <w:sz w:val="17"/>
                <w:szCs w:val="17"/>
                <w:b w:val="1"/>
                <w:bCs w:val="1"/>
                <w:color w:val="auto"/>
                <w:w w:val="94"/>
              </w:rPr>
              <w:t>Active Markets for</w:t>
            </w: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restart"/>
          </w:tcPr>
          <w:p>
            <w:pPr>
              <w:jc w:val="center"/>
              <w:ind w:right="220"/>
              <w:spacing w:after="0" w:line="170" w:lineRule="exact"/>
              <w:rPr>
                <w:sz w:val="20"/>
                <w:szCs w:val="20"/>
                <w:color w:val="auto"/>
              </w:rPr>
            </w:pPr>
            <w:r>
              <w:rPr>
                <w:rFonts w:ascii="Arial" w:cs="Arial" w:eastAsia="Arial" w:hAnsi="Arial"/>
                <w:sz w:val="17"/>
                <w:szCs w:val="17"/>
                <w:b w:val="1"/>
                <w:bCs w:val="1"/>
                <w:color w:val="auto"/>
                <w:w w:val="94"/>
              </w:rPr>
              <w:t>Significant Other</w:t>
            </w:r>
          </w:p>
        </w:tc>
        <w:tc>
          <w:tcPr>
            <w:tcW w:w="200" w:type="dxa"/>
            <w:vAlign w:val="bottom"/>
          </w:tcPr>
          <w:p>
            <w:pPr>
              <w:spacing w:after="0"/>
              <w:rPr>
                <w:sz w:val="10"/>
                <w:szCs w:val="10"/>
                <w:color w:val="auto"/>
              </w:rPr>
            </w:pPr>
          </w:p>
        </w:tc>
        <w:tc>
          <w:tcPr>
            <w:tcW w:w="1380" w:type="dxa"/>
            <w:vAlign w:val="bottom"/>
            <w:vMerge w:val="restart"/>
          </w:tcPr>
          <w:p>
            <w:pPr>
              <w:jc w:val="center"/>
              <w:ind w:right="113"/>
              <w:spacing w:after="0" w:line="170" w:lineRule="exact"/>
              <w:rPr>
                <w:sz w:val="20"/>
                <w:szCs w:val="20"/>
                <w:color w:val="auto"/>
              </w:rPr>
            </w:pPr>
            <w:r>
              <w:rPr>
                <w:rFonts w:ascii="Arial" w:cs="Arial" w:eastAsia="Arial" w:hAnsi="Arial"/>
                <w:sz w:val="17"/>
                <w:szCs w:val="17"/>
                <w:b w:val="1"/>
                <w:bCs w:val="1"/>
                <w:color w:val="auto"/>
                <w:w w:val="90"/>
              </w:rPr>
              <w:t>Unobservable</w:t>
            </w:r>
          </w:p>
        </w:tc>
        <w:tc>
          <w:tcPr>
            <w:tcW w:w="0" w:type="dxa"/>
            <w:vAlign w:val="bottom"/>
          </w:tcPr>
          <w:p>
            <w:pPr>
              <w:spacing w:after="0"/>
              <w:rPr>
                <w:sz w:val="1"/>
                <w:szCs w:val="1"/>
                <w:color w:val="auto"/>
              </w:rPr>
            </w:pPr>
          </w:p>
        </w:tc>
      </w:tr>
      <w:tr>
        <w:trPr>
          <w:trHeight w:val="45"/>
        </w:trPr>
        <w:tc>
          <w:tcPr>
            <w:tcW w:w="4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w w:val="94"/>
              </w:rPr>
              <w:t>Fair Value at</w:t>
            </w:r>
          </w:p>
        </w:tc>
        <w:tc>
          <w:tcPr>
            <w:tcW w:w="120" w:type="dxa"/>
            <w:vAlign w:val="bottom"/>
          </w:tcPr>
          <w:p>
            <w:pPr>
              <w:spacing w:after="0"/>
              <w:rPr>
                <w:sz w:val="3"/>
                <w:szCs w:val="3"/>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89"/>
              </w:rPr>
              <w:t>Identical Assets</w:t>
            </w:r>
          </w:p>
        </w:tc>
        <w:tc>
          <w:tcPr>
            <w:tcW w:w="1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80" w:type="dxa"/>
            <w:vAlign w:val="bottom"/>
            <w:gridSpan w:val="3"/>
          </w:tcPr>
          <w:p>
            <w:pPr>
              <w:jc w:val="center"/>
              <w:ind w:right="100"/>
              <w:spacing w:after="0" w:line="170" w:lineRule="exact"/>
              <w:rPr>
                <w:sz w:val="20"/>
                <w:szCs w:val="20"/>
                <w:color w:val="auto"/>
              </w:rPr>
            </w:pPr>
            <w:r>
              <w:rPr>
                <w:rFonts w:ascii="Arial" w:cs="Arial" w:eastAsia="Arial" w:hAnsi="Arial"/>
                <w:sz w:val="17"/>
                <w:szCs w:val="17"/>
                <w:b w:val="1"/>
                <w:bCs w:val="1"/>
                <w:color w:val="auto"/>
                <w:w w:val="93"/>
              </w:rPr>
              <w:t>Observable Inputs</w:t>
            </w:r>
          </w:p>
        </w:tc>
        <w:tc>
          <w:tcPr>
            <w:tcW w:w="200" w:type="dxa"/>
            <w:vAlign w:val="bottom"/>
          </w:tcPr>
          <w:p>
            <w:pPr>
              <w:spacing w:after="0"/>
              <w:rPr>
                <w:sz w:val="14"/>
                <w:szCs w:val="14"/>
                <w:color w:val="auto"/>
              </w:rPr>
            </w:pPr>
          </w:p>
        </w:tc>
        <w:tc>
          <w:tcPr>
            <w:tcW w:w="1380" w:type="dxa"/>
            <w:vAlign w:val="bottom"/>
          </w:tcPr>
          <w:p>
            <w:pPr>
              <w:jc w:val="center"/>
              <w:ind w:right="93"/>
              <w:spacing w:after="0" w:line="170" w:lineRule="exact"/>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December 31, 2021</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(Level 1)</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(Level 2)</w:t>
            </w:r>
          </w:p>
        </w:tc>
        <w:tc>
          <w:tcPr>
            <w:tcW w:w="200" w:type="dxa"/>
            <w:vAlign w:val="bottom"/>
          </w:tcPr>
          <w:p>
            <w:pPr>
              <w:spacing w:after="0"/>
              <w:rPr>
                <w:sz w:val="20"/>
                <w:szCs w:val="20"/>
                <w:color w:val="auto"/>
              </w:rPr>
            </w:pPr>
          </w:p>
        </w:tc>
        <w:tc>
          <w:tcPr>
            <w:tcW w:w="1380" w:type="dxa"/>
            <w:vAlign w:val="bottom"/>
          </w:tcPr>
          <w:p>
            <w:pPr>
              <w:jc w:val="center"/>
              <w:ind w:right="113"/>
              <w:spacing w:after="0"/>
              <w:rPr>
                <w:sz w:val="20"/>
                <w:szCs w:val="20"/>
                <w:color w:val="auto"/>
              </w:rPr>
            </w:pPr>
            <w:r>
              <w:rPr>
                <w:rFonts w:ascii="Arial" w:cs="Arial" w:eastAsia="Arial" w:hAnsi="Arial"/>
                <w:sz w:val="17"/>
                <w:szCs w:val="17"/>
                <w:b w:val="1"/>
                <w:bCs w:val="1"/>
                <w:color w:val="auto"/>
                <w:w w:val="95"/>
              </w:rPr>
              <w:t>(Level 3)</w:t>
            </w:r>
          </w:p>
        </w:tc>
        <w:tc>
          <w:tcPr>
            <w:tcW w:w="0" w:type="dxa"/>
            <w:vAlign w:val="bottom"/>
          </w:tcPr>
          <w:p>
            <w:pPr>
              <w:spacing w:after="0"/>
              <w:rPr>
                <w:sz w:val="1"/>
                <w:szCs w:val="1"/>
                <w:color w:val="auto"/>
              </w:rPr>
            </w:pPr>
          </w:p>
        </w:tc>
      </w:tr>
      <w:tr>
        <w:trPr>
          <w:trHeight w:val="22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Recurring</w:t>
            </w: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0" w:type="dxa"/>
            <w:vAlign w:val="bottom"/>
          </w:tcPr>
          <w:p>
            <w:pPr>
              <w:ind w:left="180"/>
              <w:spacing w:after="0"/>
              <w:rPr>
                <w:sz w:val="20"/>
                <w:szCs w:val="20"/>
                <w:color w:val="auto"/>
              </w:rPr>
            </w:pPr>
            <w:r>
              <w:rPr>
                <w:rFonts w:ascii="Arial" w:cs="Arial" w:eastAsia="Arial" w:hAnsi="Arial"/>
                <w:sz w:val="17"/>
                <w:szCs w:val="17"/>
                <w:color w:val="auto"/>
              </w:rPr>
              <w:t>Marketable securities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U.S. Treasury notes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600" w:type="dxa"/>
            <w:vAlign w:val="bottom"/>
          </w:tcPr>
          <w:p>
            <w:pPr>
              <w:ind w:left="380"/>
              <w:spacing w:after="0"/>
              <w:rPr>
                <w:sz w:val="20"/>
                <w:szCs w:val="20"/>
                <w:color w:val="auto"/>
              </w:rPr>
            </w:pPr>
            <w:r>
              <w:rPr>
                <w:rFonts w:ascii="Arial" w:cs="Arial" w:eastAsia="Arial" w:hAnsi="Arial"/>
                <w:sz w:val="17"/>
                <w:szCs w:val="17"/>
                <w:color w:val="auto"/>
              </w:rPr>
              <w:t>U.S. Government-sponsored enterprise securities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113,944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113,944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ind w:left="1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Liability-classified restricted stock awards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8"/>
        </w:trPr>
        <w:tc>
          <w:tcPr>
            <w:tcW w:w="46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recurring</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had no transfers of assets or liabilities between fair value hierarchy levels between December 31, 2021, and September 30, 2022.</w:t>
      </w:r>
    </w:p>
    <w:p>
      <w:pPr>
        <w:spacing w:after="0" w:line="260"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For the 2021 Bonds, the fair values are estimated using the Black-Derman-Toy interest rate lattice framework. The effective maturity of the 2021 Bonds was assumed to be April 1, 2024 (three years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September 30, 2022,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7"/>
                <w:szCs w:val="17"/>
                <w:b w:val="1"/>
                <w:bCs w:val="1"/>
                <w:color w:val="auto"/>
              </w:rPr>
              <w:t>September 30, 2022</w:t>
            </w:r>
          </w:p>
        </w:tc>
      </w:tr>
      <w:tr>
        <w:trPr>
          <w:trHeight w:val="215"/>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Arial" w:cs="Arial" w:eastAsia="Arial" w:hAnsi="Arial"/>
                <w:sz w:val="17"/>
                <w:szCs w:val="17"/>
                <w:b w:val="1"/>
                <w:bCs w:val="1"/>
                <w:color w:val="auto"/>
              </w:rPr>
              <w:t>Carrying Value</w:t>
            </w:r>
          </w:p>
        </w:tc>
        <w:tc>
          <w:tcPr>
            <w:tcW w:w="160" w:type="dxa"/>
            <w:vAlign w:val="bottom"/>
          </w:tcPr>
          <w:p>
            <w:pPr>
              <w:spacing w:after="0"/>
              <w:rPr>
                <w:sz w:val="18"/>
                <w:szCs w:val="18"/>
                <w:color w:val="auto"/>
              </w:rPr>
            </w:pPr>
          </w:p>
        </w:tc>
        <w:tc>
          <w:tcPr>
            <w:tcW w:w="1800" w:type="dxa"/>
            <w:vAlign w:val="bottom"/>
          </w:tcPr>
          <w:p>
            <w:pPr>
              <w:jc w:val="right"/>
              <w:ind w:right="93"/>
              <w:spacing w:after="0"/>
              <w:rPr>
                <w:sz w:val="20"/>
                <w:szCs w:val="20"/>
                <w:color w:val="auto"/>
              </w:rPr>
            </w:pPr>
            <w:r>
              <w:rPr>
                <w:rFonts w:ascii="Arial" w:cs="Arial" w:eastAsia="Arial" w:hAnsi="Arial"/>
                <w:sz w:val="17"/>
                <w:szCs w:val="17"/>
                <w:b w:val="1"/>
                <w:bCs w:val="1"/>
                <w:color w:val="auto"/>
                <w:w w:val="95"/>
              </w:rPr>
              <w:t>Estimated Fair Value</w:t>
            </w:r>
          </w:p>
        </w:tc>
      </w:tr>
      <w:tr>
        <w:trPr>
          <w:trHeight w:val="266"/>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 Bonds</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64,910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right="9340" w:firstLine="5"/>
        <w:spacing w:after="0" w:line="583" w:lineRule="auto"/>
        <w:tabs>
          <w:tab w:leader="none" w:pos="309"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Equity Share Issuances</w:t>
      </w:r>
    </w:p>
    <w:p>
      <w:pPr>
        <w:spacing w:after="0" w:line="1"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In February 2018, the Company commenced an at-the-market offering program, which allows it to sell and issue shares of its common stock from time to time. In 2021, the at-the-market offering program was amended to provide a total capacity of $500.0 million. As of September 30, 2022, the Company has remaining capacity to issue up to approximately $360.6 million of common stock under the at-the-market offering program.</w:t>
      </w:r>
    </w:p>
    <w:p>
      <w:pPr>
        <w:spacing w:after="0" w:line="198"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On June 8,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September 30, 2022, none of the Series 2022-A Warrants had been exercised.</w:t>
      </w:r>
    </w:p>
    <w:p>
      <w:pPr>
        <w:spacing w:after="0" w:line="206" w:lineRule="exact"/>
        <w:rPr>
          <w:sz w:val="20"/>
          <w:szCs w:val="20"/>
          <w:color w:val="auto"/>
        </w:rPr>
      </w:pPr>
    </w:p>
    <w:p>
      <w:pPr>
        <w:jc w:val="both"/>
        <w:ind w:right="440" w:firstLine="470"/>
        <w:spacing w:after="0" w:line="324" w:lineRule="auto"/>
        <w:rPr>
          <w:sz w:val="20"/>
          <w:szCs w:val="20"/>
          <w:color w:val="auto"/>
        </w:rPr>
      </w:pPr>
      <w:r>
        <w:rPr>
          <w:rFonts w:ascii="Arial" w:cs="Arial" w:eastAsia="Arial" w:hAnsi="Arial"/>
          <w:sz w:val="15"/>
          <w:szCs w:val="15"/>
          <w:color w:val="auto"/>
        </w:rPr>
        <w:t>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 The Company intends to use the net proceeds from the June 2022 Offering to fund capital projects, working capital and for general corporate purposes.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55" w:lineRule="exact"/>
        <w:rPr>
          <w:sz w:val="20"/>
          <w:szCs w:val="20"/>
          <w:color w:val="auto"/>
        </w:rPr>
      </w:pPr>
    </w:p>
    <w:p>
      <w:pPr>
        <w:ind w:right="420" w:firstLine="470"/>
        <w:spacing w:after="0" w:line="267" w:lineRule="auto"/>
        <w:rPr>
          <w:sz w:val="20"/>
          <w:szCs w:val="20"/>
          <w:color w:val="auto"/>
        </w:rPr>
      </w:pPr>
      <w:r>
        <w:rPr>
          <w:rFonts w:ascii="Arial" w:cs="Arial" w:eastAsia="Arial" w:hAnsi="Arial"/>
          <w:sz w:val="17"/>
          <w:szCs w:val="17"/>
          <w:color w:val="auto"/>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spacing w:after="0" w:line="202" w:lineRule="exact"/>
        <w:rPr>
          <w:sz w:val="20"/>
          <w:szCs w:val="20"/>
          <w:color w:val="auto"/>
        </w:rPr>
      </w:pPr>
    </w:p>
    <w:p>
      <w:pPr>
        <w:ind w:right="200" w:firstLine="470"/>
        <w:spacing w:after="0" w:line="293" w:lineRule="auto"/>
        <w:rPr>
          <w:sz w:val="20"/>
          <w:szCs w:val="20"/>
          <w:color w:val="auto"/>
        </w:rPr>
      </w:pPr>
      <w:r>
        <w:rPr>
          <w:rFonts w:ascii="Arial" w:cs="Arial" w:eastAsia="Arial" w:hAnsi="Arial"/>
          <w:sz w:val="15"/>
          <w:szCs w:val="15"/>
          <w:color w:val="auto"/>
        </w:rPr>
        <w:t>The Series 2022-A Warrants and Series 2020-A Warrants are classified as component of permanent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 The Company valued the Series 2022-A Warrants and Series 2020-A Warrants at issuance using the Black-Scholes option pricing model. The fair value at the issuance date of the Series 2022-A Warrants was $92.9 million with the key inputs to the valuation model including a weighted average volatility of 151.1%, a risk-free rate of 2.86% and an expected term of five years. The fair value at the issuance date of the Series 2020-A Warrants was</w:t>
      </w:r>
    </w:p>
    <w:p>
      <w:pPr>
        <w:spacing w:after="0" w:line="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$8.3 million with the key inputs to the valuation model including a weighted average volatility of 130%, a risk-free rate of 0.30% and an expected term of five years.</w:t>
      </w:r>
    </w:p>
    <w:p>
      <w:pPr>
        <w:spacing w:after="0" w:line="197" w:lineRule="exact"/>
        <w:rPr>
          <w:sz w:val="20"/>
          <w:szCs w:val="20"/>
          <w:color w:val="auto"/>
        </w:rPr>
      </w:pPr>
    </w:p>
    <w:p>
      <w:pPr>
        <w:ind w:firstLine="470"/>
        <w:spacing w:after="0" w:line="358" w:lineRule="auto"/>
        <w:rPr>
          <w:sz w:val="20"/>
          <w:szCs w:val="20"/>
          <w:color w:val="auto"/>
        </w:rPr>
      </w:pPr>
      <w:r>
        <w:rPr>
          <w:rFonts w:ascii="Arial" w:cs="Arial" w:eastAsia="Arial" w:hAnsi="Arial"/>
          <w:sz w:val="15"/>
          <w:szCs w:val="15"/>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February 17, 2022, the remaining Series K warrants expired with 7,126 unexercised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pertaining to shares issued upon the exercise of warrants: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Shares Issued</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1"/>
              </w:rPr>
              <w:t>Shares Underlying</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8"/>
              </w:rPr>
              <w:t>Exercise Price as</w:t>
            </w:r>
          </w:p>
        </w:tc>
        <w:tc>
          <w:tcPr>
            <w:tcW w:w="1440" w:type="dxa"/>
            <w:vAlign w:val="bottom"/>
            <w:gridSpan w:val="2"/>
          </w:tcPr>
          <w:p>
            <w:pPr>
              <w:jc w:val="center"/>
              <w:ind w:right="100"/>
              <w:spacing w:after="0" w:line="183" w:lineRule="exact"/>
              <w:rPr>
                <w:sz w:val="20"/>
                <w:szCs w:val="20"/>
                <w:color w:val="auto"/>
              </w:rPr>
            </w:pPr>
            <w:r>
              <w:rPr>
                <w:rFonts w:ascii="Arial" w:cs="Arial" w:eastAsia="Arial" w:hAnsi="Arial"/>
                <w:sz w:val="17"/>
                <w:szCs w:val="17"/>
                <w:b w:val="1"/>
                <w:bCs w:val="1"/>
                <w:color w:val="auto"/>
                <w:w w:val="88"/>
              </w:rPr>
              <w:t>Shares</w:t>
            </w:r>
          </w:p>
        </w:tc>
        <w:tc>
          <w:tcPr>
            <w:tcW w:w="1460" w:type="dxa"/>
            <w:vAlign w:val="bottom"/>
            <w:gridSpan w:val="2"/>
          </w:tcPr>
          <w:p>
            <w:pPr>
              <w:jc w:val="center"/>
              <w:ind w:right="100"/>
              <w:spacing w:after="0" w:line="183" w:lineRule="exact"/>
              <w:rPr>
                <w:sz w:val="20"/>
                <w:szCs w:val="20"/>
                <w:color w:val="auto"/>
              </w:rPr>
            </w:pPr>
            <w:r>
              <w:rPr>
                <w:rFonts w:ascii="Arial" w:cs="Arial" w:eastAsia="Arial" w:hAnsi="Arial"/>
                <w:sz w:val="17"/>
                <w:szCs w:val="17"/>
                <w:b w:val="1"/>
                <w:bCs w:val="1"/>
                <w:color w:val="auto"/>
                <w:w w:val="97"/>
              </w:rPr>
              <w:t>upon Warrant</w:t>
            </w:r>
          </w:p>
        </w:tc>
        <w:tc>
          <w:tcPr>
            <w:tcW w:w="146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4"/>
              </w:rPr>
              <w:t>Warrants</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40" w:type="dxa"/>
            <w:vAlign w:val="bottom"/>
            <w:gridSpan w:val="2"/>
          </w:tcPr>
          <w:p>
            <w:pPr>
              <w:jc w:val="center"/>
              <w:ind w:right="80"/>
              <w:spacing w:after="0" w:line="170" w:lineRule="exact"/>
              <w:rPr>
                <w:sz w:val="20"/>
                <w:szCs w:val="20"/>
                <w:color w:val="auto"/>
              </w:rPr>
            </w:pPr>
            <w:r>
              <w:rPr>
                <w:rFonts w:ascii="Arial" w:cs="Arial" w:eastAsia="Arial" w:hAnsi="Arial"/>
                <w:sz w:val="17"/>
                <w:szCs w:val="17"/>
                <w:b w:val="1"/>
                <w:bCs w:val="1"/>
                <w:color w:val="auto"/>
                <w:w w:val="94"/>
              </w:rPr>
              <w:t>Underlying</w:t>
            </w:r>
          </w:p>
        </w:tc>
        <w:tc>
          <w:tcPr>
            <w:tcW w:w="1460" w:type="dxa"/>
            <w:vAlign w:val="bottom"/>
            <w:gridSpan w:val="2"/>
          </w:tcPr>
          <w:p>
            <w:pPr>
              <w:jc w:val="center"/>
              <w:ind w:right="100"/>
              <w:spacing w:after="0" w:line="170" w:lineRule="exact"/>
              <w:rPr>
                <w:sz w:val="20"/>
                <w:szCs w:val="20"/>
                <w:color w:val="auto"/>
              </w:rPr>
            </w:pPr>
            <w:r>
              <w:rPr>
                <w:rFonts w:ascii="Arial" w:cs="Arial" w:eastAsia="Arial" w:hAnsi="Arial"/>
                <w:sz w:val="17"/>
                <w:szCs w:val="17"/>
                <w:b w:val="1"/>
                <w:bCs w:val="1"/>
                <w:color w:val="auto"/>
                <w:w w:val="87"/>
              </w:rPr>
              <w:t>Exercises as of</w:t>
            </w:r>
          </w:p>
        </w:tc>
        <w:tc>
          <w:tcPr>
            <w:tcW w:w="14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89"/>
              </w:rPr>
              <w:t>Outstanding as of</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89"/>
              </w:rPr>
              <w:t>Issuance Date</w:t>
            </w:r>
          </w:p>
        </w:tc>
        <w:tc>
          <w:tcPr>
            <w:tcW w:w="144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Expiration Date</w:t>
            </w:r>
          </w:p>
        </w:tc>
        <w:tc>
          <w:tcPr>
            <w:tcW w:w="1440" w:type="dxa"/>
            <w:vAlign w:val="bottom"/>
            <w:gridSpan w:val="3"/>
          </w:tcPr>
          <w:p>
            <w:pPr>
              <w:ind w:left="40"/>
              <w:spacing w:after="0" w:line="183" w:lineRule="exact"/>
              <w:rPr>
                <w:sz w:val="20"/>
                <w:szCs w:val="20"/>
                <w:color w:val="auto"/>
              </w:rPr>
            </w:pPr>
            <w:r>
              <w:rPr>
                <w:rFonts w:ascii="Arial" w:cs="Arial" w:eastAsia="Arial" w:hAnsi="Arial"/>
                <w:sz w:val="17"/>
                <w:szCs w:val="17"/>
                <w:b w:val="1"/>
                <w:bCs w:val="1"/>
                <w:color w:val="auto"/>
              </w:rPr>
              <w:t>of September 30,</w:t>
            </w:r>
          </w:p>
        </w:tc>
        <w:tc>
          <w:tcPr>
            <w:tcW w:w="1440" w:type="dxa"/>
            <w:vAlign w:val="bottom"/>
            <w:gridSpan w:val="2"/>
          </w:tcPr>
          <w:p>
            <w:pPr>
              <w:jc w:val="center"/>
              <w:ind w:right="100"/>
              <w:spacing w:after="0" w:line="183" w:lineRule="exact"/>
              <w:rPr>
                <w:sz w:val="20"/>
                <w:szCs w:val="20"/>
                <w:color w:val="auto"/>
              </w:rPr>
            </w:pPr>
            <w:r>
              <w:rPr>
                <w:rFonts w:ascii="Arial" w:cs="Arial" w:eastAsia="Arial" w:hAnsi="Arial"/>
                <w:sz w:val="17"/>
                <w:szCs w:val="17"/>
                <w:b w:val="1"/>
                <w:bCs w:val="1"/>
                <w:color w:val="auto"/>
                <w:w w:val="94"/>
              </w:rPr>
              <w:t>Warrants on</w:t>
            </w:r>
          </w:p>
        </w:tc>
        <w:tc>
          <w:tcPr>
            <w:tcW w:w="1460" w:type="dxa"/>
            <w:vAlign w:val="bottom"/>
            <w:gridSpan w:val="2"/>
          </w:tcPr>
          <w:p>
            <w:pPr>
              <w:jc w:val="center"/>
              <w:ind w:right="80"/>
              <w:spacing w:after="0" w:line="183" w:lineRule="exact"/>
              <w:rPr>
                <w:sz w:val="20"/>
                <w:szCs w:val="20"/>
                <w:color w:val="auto"/>
              </w:rPr>
            </w:pPr>
            <w:r>
              <w:rPr>
                <w:rFonts w:ascii="Arial" w:cs="Arial" w:eastAsia="Arial" w:hAnsi="Arial"/>
                <w:sz w:val="17"/>
                <w:szCs w:val="17"/>
                <w:b w:val="1"/>
                <w:bCs w:val="1"/>
                <w:color w:val="auto"/>
                <w:w w:val="91"/>
              </w:rPr>
              <w:t>September 30,</w:t>
            </w:r>
          </w:p>
        </w:tc>
        <w:tc>
          <w:tcPr>
            <w:tcW w:w="146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1"/>
              </w:rPr>
              <w:t>September 30,</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Issuance Date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41"/>
        </w:trPr>
        <w:tc>
          <w:tcPr>
            <w:tcW w:w="2460" w:type="dxa"/>
            <w:vAlign w:val="bottom"/>
            <w:tcBorders>
              <w:top w:val="single" w:sz="8" w:color="auto"/>
            </w:tcBorders>
            <w:shd w:val="clear" w:color="auto" w:fill="CCEEFF"/>
          </w:tcPr>
          <w:p>
            <w:pPr>
              <w:ind w:left="20"/>
              <w:spacing w:after="0" w:line="241" w:lineRule="exact"/>
              <w:rPr>
                <w:sz w:val="20"/>
                <w:szCs w:val="20"/>
                <w:color w:val="auto"/>
              </w:rPr>
            </w:pPr>
            <w:r>
              <w:rPr>
                <w:rFonts w:ascii="Arial" w:cs="Arial" w:eastAsia="Arial" w:hAnsi="Arial"/>
                <w:sz w:val="17"/>
                <w:szCs w:val="17"/>
                <w:color w:val="auto"/>
              </w:rPr>
              <w:t xml:space="preserve">Series 2020-A Warrants </w:t>
            </w:r>
            <w:r>
              <w:rPr>
                <w:rFonts w:ascii="Arial" w:cs="Arial" w:eastAsia="Arial" w:hAnsi="Arial"/>
                <w:sz w:val="22"/>
                <w:szCs w:val="22"/>
                <w:color w:val="auto"/>
                <w:vertAlign w:val="superscript"/>
              </w:rPr>
              <w:t>(1)</w:t>
            </w:r>
          </w:p>
        </w:tc>
        <w:tc>
          <w:tcPr>
            <w:tcW w:w="14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7"/>
                <w:szCs w:val="17"/>
                <w:color w:val="auto"/>
                <w:w w:val="93"/>
              </w:rPr>
              <w:t>7/6/2020</w:t>
            </w:r>
          </w:p>
        </w:tc>
        <w:tc>
          <w:tcPr>
            <w:tcW w:w="8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7/6/2025</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1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29,914,069</w:t>
            </w:r>
          </w:p>
        </w:tc>
        <w:tc>
          <w:tcPr>
            <w:tcW w:w="1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85,931</w:t>
            </w:r>
          </w:p>
        </w:tc>
        <w:tc>
          <w:tcPr>
            <w:tcW w:w="0" w:type="dxa"/>
            <w:vAlign w:val="bottom"/>
          </w:tcPr>
          <w:p>
            <w:pPr>
              <w:spacing w:after="0"/>
              <w:rPr>
                <w:sz w:val="1"/>
                <w:szCs w:val="1"/>
                <w:color w:val="auto"/>
              </w:rPr>
            </w:pPr>
          </w:p>
        </w:tc>
      </w:tr>
      <w:tr>
        <w:trPr>
          <w:trHeight w:val="248"/>
        </w:trPr>
        <w:tc>
          <w:tcPr>
            <w:tcW w:w="2460" w:type="dxa"/>
            <w:vAlign w:val="bottom"/>
          </w:tcPr>
          <w:p>
            <w:pPr>
              <w:ind w:left="20"/>
              <w:spacing w:after="0" w:line="248" w:lineRule="exact"/>
              <w:rPr>
                <w:sz w:val="20"/>
                <w:szCs w:val="20"/>
                <w:color w:val="auto"/>
              </w:rPr>
            </w:pPr>
            <w:r>
              <w:rPr>
                <w:rFonts w:ascii="Arial" w:cs="Arial" w:eastAsia="Arial" w:hAnsi="Arial"/>
                <w:sz w:val="17"/>
                <w:szCs w:val="17"/>
                <w:color w:val="auto"/>
              </w:rPr>
              <w:t xml:space="preserve">Series 2022-A Warrants </w:t>
            </w:r>
            <w:r>
              <w:rPr>
                <w:rFonts w:ascii="Arial" w:cs="Arial" w:eastAsia="Arial" w:hAnsi="Arial"/>
                <w:sz w:val="22"/>
                <w:szCs w:val="22"/>
                <w:color w:val="auto"/>
                <w:vertAlign w:val="superscript"/>
              </w:rPr>
              <w:t>(1)</w:t>
            </w:r>
          </w:p>
        </w:tc>
        <w:tc>
          <w:tcPr>
            <w:tcW w:w="1460" w:type="dxa"/>
            <w:vAlign w:val="bottom"/>
          </w:tcPr>
          <w:p>
            <w:pPr>
              <w:jc w:val="center"/>
              <w:ind w:left="33"/>
              <w:spacing w:after="0"/>
              <w:rPr>
                <w:sz w:val="20"/>
                <w:szCs w:val="20"/>
                <w:color w:val="auto"/>
              </w:rPr>
            </w:pPr>
            <w:r>
              <w:rPr>
                <w:rFonts w:ascii="Arial" w:cs="Arial" w:eastAsia="Arial" w:hAnsi="Arial"/>
                <w:sz w:val="17"/>
                <w:szCs w:val="17"/>
                <w:color w:val="auto"/>
                <w:w w:val="93"/>
              </w:rPr>
              <w:t>6/8/2022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6/7/2027</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33,333,336</w:t>
            </w:r>
          </w:p>
        </w:tc>
        <w:tc>
          <w:tcPr>
            <w:tcW w:w="1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33,333,336</w:t>
            </w:r>
          </w:p>
        </w:tc>
        <w:tc>
          <w:tcPr>
            <w:tcW w:w="0" w:type="dxa"/>
            <w:vAlign w:val="bottom"/>
          </w:tcPr>
          <w:p>
            <w:pPr>
              <w:spacing w:after="0"/>
              <w:rPr>
                <w:sz w:val="1"/>
                <w:szCs w:val="1"/>
                <w:color w:val="auto"/>
              </w:rPr>
            </w:pPr>
          </w:p>
        </w:tc>
      </w:tr>
      <w:tr>
        <w:trPr>
          <w:trHeight w:val="266"/>
        </w:trPr>
        <w:tc>
          <w:tcPr>
            <w:tcW w:w="24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Warrants</w:t>
            </w:r>
          </w:p>
        </w:tc>
        <w:tc>
          <w:tcPr>
            <w:tcW w:w="14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63,333,336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29,914,069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33,419,267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(1) Equity-classified warrants.</w:t>
            </w: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460" w:type="dxa"/>
            <w:vAlign w:val="bottom"/>
            <w:vMerge w:val="continue"/>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780" w:firstLine="470"/>
        <w:spacing w:after="0" w:line="288" w:lineRule="auto"/>
        <w:rPr>
          <w:sz w:val="20"/>
          <w:szCs w:val="20"/>
          <w:color w:val="auto"/>
        </w:rPr>
      </w:pPr>
      <w:r>
        <w:rPr>
          <w:rFonts w:ascii="Arial" w:cs="Arial" w:eastAsia="Arial" w:hAnsi="Arial"/>
          <w:sz w:val="17"/>
          <w:szCs w:val="17"/>
          <w:color w:val="auto"/>
        </w:rPr>
        <w:t>During the nine months ended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common stock was issued as a result of the exercise of warrants as shown below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Common Stock Issued</w:t>
            </w:r>
          </w:p>
        </w:tc>
        <w:tc>
          <w:tcPr>
            <w:tcW w:w="380" w:type="dxa"/>
            <w:vAlign w:val="bottom"/>
          </w:tcPr>
          <w:p>
            <w:pPr>
              <w:spacing w:after="0"/>
              <w:rPr>
                <w:sz w:val="20"/>
                <w:szCs w:val="20"/>
                <w:color w:val="auto"/>
              </w:rPr>
            </w:pPr>
          </w:p>
        </w:tc>
        <w:tc>
          <w:tcPr>
            <w:tcW w:w="1580" w:type="dxa"/>
            <w:vAlign w:val="bottom"/>
          </w:tcPr>
          <w:p>
            <w:pPr>
              <w:jc w:val="right"/>
              <w:ind w:right="553"/>
              <w:spacing w:after="0"/>
              <w:rPr>
                <w:sz w:val="20"/>
                <w:szCs w:val="20"/>
                <w:color w:val="auto"/>
              </w:rPr>
            </w:pPr>
            <w:r>
              <w:rPr>
                <w:rFonts w:ascii="Arial" w:cs="Arial" w:eastAsia="Arial" w:hAnsi="Arial"/>
                <w:sz w:val="17"/>
                <w:szCs w:val="17"/>
                <w:b w:val="1"/>
                <w:bCs w:val="1"/>
                <w:color w:val="auto"/>
              </w:rPr>
              <w:t>Proceeds</w:t>
            </w:r>
          </w:p>
        </w:tc>
      </w:tr>
      <w:tr>
        <w:trPr>
          <w:trHeight w:val="273"/>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2020-A Warrants</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Segments</w:t>
      </w:r>
    </w:p>
    <w:p>
      <w:pPr>
        <w:spacing w:after="0" w:line="255" w:lineRule="exact"/>
        <w:rPr>
          <w:sz w:val="20"/>
          <w:szCs w:val="20"/>
          <w:color w:val="auto"/>
        </w:rPr>
      </w:pPr>
    </w:p>
    <w:p>
      <w:pPr>
        <w:ind w:right="220" w:firstLine="470"/>
        <w:spacing w:after="0" w:line="263" w:lineRule="auto"/>
        <w:rPr>
          <w:sz w:val="20"/>
          <w:szCs w:val="20"/>
          <w:color w:val="auto"/>
        </w:rPr>
      </w:pPr>
      <w:r>
        <w:rPr>
          <w:rFonts w:ascii="Arial" w:cs="Arial" w:eastAsia="Arial" w:hAnsi="Arial"/>
          <w:sz w:val="17"/>
          <w:szCs w:val="17"/>
          <w:color w:val="auto"/>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purposes of making operating decisions, allocating resources, and evaluating financial performance. As such, management has determined that the Company has organized its operations and activities into three reportable segments: (i) Gevo segment; (ii) Agri-Energy segment; (iii) Renewable Natural Gas segment. Transactions between segments are eliminated in consolidation.</w:t>
      </w:r>
    </w:p>
    <w:p>
      <w:pPr>
        <w:spacing w:after="0" w:line="205" w:lineRule="exact"/>
        <w:rPr>
          <w:sz w:val="20"/>
          <w:szCs w:val="20"/>
          <w:color w:val="auto"/>
        </w:rPr>
      </w:pPr>
    </w:p>
    <w:p>
      <w:pPr>
        <w:ind w:right="280" w:firstLine="470"/>
        <w:spacing w:after="0" w:line="288" w:lineRule="auto"/>
        <w:rPr>
          <w:sz w:val="20"/>
          <w:szCs w:val="20"/>
          <w:color w:val="auto"/>
        </w:rPr>
      </w:pPr>
      <w:r>
        <w:rPr>
          <w:rFonts w:ascii="Arial" w:cs="Arial" w:eastAsia="Arial" w:hAnsi="Arial"/>
          <w:sz w:val="16"/>
          <w:szCs w:val="16"/>
          <w:i w:val="1"/>
          <w:iCs w:val="1"/>
          <w:color w:val="auto"/>
        </w:rPr>
        <w:t>Gevo segment</w:t>
      </w:r>
      <w:r>
        <w:rPr>
          <w:rFonts w:ascii="Arial" w:cs="Arial" w:eastAsia="Arial" w:hAnsi="Arial"/>
          <w:sz w:val="16"/>
          <w:szCs w:val="16"/>
          <w:color w:val="auto"/>
        </w:rPr>
        <w:t>. The Gevo segment is responsible for all research and development activities related to the future production of SAF,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responsible for development and construction of our Net-Zero projects.</w:t>
      </w:r>
    </w:p>
    <w:p>
      <w:pPr>
        <w:spacing w:after="0" w:line="188" w:lineRule="exact"/>
        <w:rPr>
          <w:sz w:val="20"/>
          <w:szCs w:val="20"/>
          <w:color w:val="auto"/>
        </w:rPr>
      </w:pPr>
    </w:p>
    <w:p>
      <w:pPr>
        <w:ind w:right="760" w:firstLine="470"/>
        <w:spacing w:after="0" w:line="288" w:lineRule="auto"/>
        <w:rPr>
          <w:sz w:val="20"/>
          <w:szCs w:val="20"/>
          <w:color w:val="auto"/>
        </w:rPr>
      </w:pPr>
      <w:r>
        <w:rPr>
          <w:rFonts w:ascii="Arial" w:cs="Arial" w:eastAsia="Arial" w:hAnsi="Arial"/>
          <w:sz w:val="17"/>
          <w:szCs w:val="17"/>
          <w:i w:val="1"/>
          <w:iCs w:val="1"/>
          <w:color w:val="auto"/>
        </w:rPr>
        <w:t>Agri-Energy segment</w:t>
      </w:r>
      <w:r>
        <w:rPr>
          <w:rFonts w:ascii="Arial" w:cs="Arial" w:eastAsia="Arial" w:hAnsi="Arial"/>
          <w:sz w:val="17"/>
          <w:szCs w:val="17"/>
          <w:color w:val="auto"/>
        </w:rPr>
        <w:t>. The Agri-Energy segment is currently responsible for the operation of the Company’s Luverne Facility,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optimization of the production of isobutanol, ethanol and related products.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Renewable Natural Gas segment</w:t>
      </w:r>
      <w:r>
        <w:rPr>
          <w:rFonts w:ascii="Arial" w:cs="Arial" w:eastAsia="Arial" w:hAnsi="Arial"/>
          <w:sz w:val="16"/>
          <w:szCs w:val="16"/>
          <w:color w:val="auto"/>
        </w:rPr>
        <w:t>. The Renewable Natural Gas segment produces-pipeline quality methane gas captured from dairy cow manure.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Table of Contents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ind w:left="80"/>
              <w:spacing w:after="0"/>
              <w:rPr>
                <w:sz w:val="20"/>
                <w:szCs w:val="20"/>
                <w:color w:val="auto"/>
              </w:rPr>
            </w:pPr>
            <w:r>
              <w:rPr>
                <w:rFonts w:ascii="Arial" w:cs="Arial" w:eastAsia="Arial" w:hAnsi="Arial"/>
                <w:sz w:val="17"/>
                <w:szCs w:val="17"/>
                <w:b w:val="1"/>
                <w:bCs w:val="1"/>
                <w:color w:val="auto"/>
                <w:w w:val="98"/>
              </w:rPr>
              <w:t>Three Months Ended September 30, 2022</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Renewable Natural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Gevo</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Agri-Energy</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Gas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8"/>
              </w:rPr>
              <w:t>Consolidated</w:t>
            </w:r>
          </w:p>
        </w:tc>
      </w:tr>
      <w:tr>
        <w:trPr>
          <w:trHeight w:val="24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r>
      <w:tr>
        <w:trPr>
          <w:trHeight w:val="242"/>
        </w:trPr>
        <w:tc>
          <w:tcPr>
            <w:tcW w:w="4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(15,480)</w:t>
            </w:r>
          </w:p>
        </w:tc>
        <w:tc>
          <w:tcPr>
            <w:tcW w:w="14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(27,948)</w:t>
            </w:r>
          </w:p>
        </w:tc>
        <w:tc>
          <w:tcPr>
            <w:tcW w:w="10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(43,669)</w:t>
            </w:r>
          </w:p>
        </w:tc>
      </w:tr>
      <w:tr>
        <w:trPr>
          <w:trHeight w:val="25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28,114</w:t>
            </w: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ind w:left="80"/>
              <w:spacing w:after="0"/>
              <w:rPr>
                <w:sz w:val="20"/>
                <w:szCs w:val="20"/>
                <w:color w:val="auto"/>
              </w:rPr>
            </w:pPr>
            <w:r>
              <w:rPr>
                <w:rFonts w:ascii="Arial" w:cs="Arial" w:eastAsia="Arial" w:hAnsi="Arial"/>
                <w:sz w:val="17"/>
                <w:szCs w:val="17"/>
                <w:b w:val="1"/>
                <w:bCs w:val="1"/>
                <w:color w:val="auto"/>
                <w:w w:val="98"/>
              </w:rPr>
              <w:t>Three Months Ended September 30, 2021</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Renewable Natural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Gevo</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Agri-Energy</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Gas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8"/>
              </w:rPr>
              <w:t>Consolidated</w:t>
            </w:r>
          </w:p>
        </w:tc>
      </w:tr>
      <w:tr>
        <w:trPr>
          <w:trHeight w:val="24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42"/>
        </w:trPr>
        <w:tc>
          <w:tcPr>
            <w:tcW w:w="4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(10,968)</w:t>
            </w:r>
          </w:p>
        </w:tc>
        <w:tc>
          <w:tcPr>
            <w:tcW w:w="14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(3,548)</w:t>
            </w:r>
          </w:p>
        </w:tc>
        <w:tc>
          <w:tcPr>
            <w:tcW w:w="10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(14,734)</w:t>
            </w:r>
          </w:p>
        </w:tc>
      </w:tr>
      <w:tr>
        <w:trPr>
          <w:trHeight w:val="25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33,115</w:t>
            </w: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w w:val="99"/>
              </w:rPr>
              <w:t>Nine Months Ended September 30, 2022</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4"/>
              </w:rPr>
              <w:t>Renewable Natural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7"/>
                <w:szCs w:val="17"/>
                <w:b w:val="1"/>
                <w:bCs w:val="1"/>
                <w:color w:val="auto"/>
              </w:rPr>
              <w:t>Gevo</w:t>
            </w:r>
          </w:p>
        </w:tc>
        <w:tc>
          <w:tcPr>
            <w:tcW w:w="1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7"/>
                <w:szCs w:val="17"/>
                <w:b w:val="1"/>
                <w:bCs w:val="1"/>
                <w:color w:val="auto"/>
              </w:rPr>
              <w:t>Agri-Energy</w:t>
            </w:r>
          </w:p>
        </w:tc>
        <w:tc>
          <w:tcPr>
            <w:tcW w:w="38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3"/>
              </w:rPr>
              <w:t>Gas</w:t>
            </w:r>
          </w:p>
        </w:tc>
        <w:tc>
          <w:tcPr>
            <w:tcW w:w="200" w:type="dxa"/>
            <w:vAlign w:val="bottom"/>
          </w:tcPr>
          <w:p>
            <w:pPr>
              <w:spacing w:after="0"/>
              <w:rPr>
                <w:sz w:val="20"/>
                <w:szCs w:val="20"/>
                <w:color w:val="auto"/>
              </w:rPr>
            </w:pPr>
          </w:p>
        </w:tc>
        <w:tc>
          <w:tcPr>
            <w:tcW w:w="1380" w:type="dxa"/>
            <w:vAlign w:val="bottom"/>
          </w:tcPr>
          <w:p>
            <w:pPr>
              <w:jc w:val="right"/>
              <w:ind w:right="213"/>
              <w:spacing w:after="0"/>
              <w:rPr>
                <w:sz w:val="20"/>
                <w:szCs w:val="20"/>
                <w:color w:val="auto"/>
              </w:rPr>
            </w:pPr>
            <w:r>
              <w:rPr>
                <w:rFonts w:ascii="Arial" w:cs="Arial" w:eastAsia="Arial" w:hAnsi="Arial"/>
                <w:sz w:val="17"/>
                <w:szCs w:val="17"/>
                <w:b w:val="1"/>
                <w:bCs w:val="1"/>
                <w:color w:val="auto"/>
                <w:w w:val="98"/>
              </w:rPr>
              <w:t>Consolidated</w:t>
            </w:r>
          </w:p>
        </w:tc>
      </w:tr>
      <w:tr>
        <w:trPr>
          <w:trHeight w:val="24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r>
      <w:tr>
        <w:trPr>
          <w:trHeight w:val="242"/>
        </w:trPr>
        <w:tc>
          <w:tcPr>
            <w:tcW w:w="4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(40,629)</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(34,869)</w:t>
            </w:r>
          </w:p>
        </w:tc>
        <w:tc>
          <w:tcPr>
            <w:tcW w:w="10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(75,739)</w:t>
            </w:r>
          </w:p>
        </w:tc>
      </w:tr>
      <w:tr>
        <w:trPr>
          <w:trHeight w:val="25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33,766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67,365</w:t>
            </w: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w w:val="99"/>
              </w:rPr>
              <w:t>Nine Months Ended September 30, 2021</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Renewable Natural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Gevo</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Agri-Energy</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Gas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8"/>
              </w:rPr>
              <w:t>Consolidated</w:t>
            </w:r>
          </w:p>
        </w:tc>
      </w:tr>
      <w:tr>
        <w:trPr>
          <w:trHeight w:val="24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r>
      <w:tr>
        <w:trPr>
          <w:trHeight w:val="242"/>
        </w:trPr>
        <w:tc>
          <w:tcPr>
            <w:tcW w:w="4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(30,697)</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(12,807)</w:t>
            </w:r>
          </w:p>
        </w:tc>
        <w:tc>
          <w:tcPr>
            <w:tcW w:w="10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(43,790)</w:t>
            </w:r>
          </w:p>
        </w:tc>
      </w:tr>
      <w:tr>
        <w:trPr>
          <w:trHeight w:val="25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52,965</w:t>
            </w: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September 30, 2022</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7"/>
              </w:rPr>
              <w:t>Renewable Natural</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7"/>
                <w:szCs w:val="17"/>
                <w:b w:val="1"/>
                <w:bCs w:val="1"/>
                <w:color w:val="auto"/>
              </w:rPr>
              <w:t>Gevo</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7"/>
                <w:szCs w:val="17"/>
                <w:b w:val="1"/>
                <w:bCs w:val="1"/>
                <w:color w:val="auto"/>
              </w:rPr>
              <w:t>Agri-Energy</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Gas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33"/>
              <w:spacing w:after="0"/>
              <w:rPr>
                <w:sz w:val="20"/>
                <w:szCs w:val="20"/>
                <w:color w:val="auto"/>
              </w:rPr>
            </w:pPr>
            <w:r>
              <w:rPr>
                <w:rFonts w:ascii="Arial" w:cs="Arial" w:eastAsia="Arial" w:hAnsi="Arial"/>
                <w:sz w:val="17"/>
                <w:szCs w:val="17"/>
                <w:b w:val="1"/>
                <w:bCs w:val="1"/>
                <w:color w:val="auto"/>
                <w:w w:val="96"/>
              </w:rPr>
              <w:t>Consolidated</w:t>
            </w:r>
          </w:p>
        </w:tc>
      </w:tr>
      <w:tr>
        <w:trPr>
          <w:trHeight w:val="24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579,984</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38,473</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110,954</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729,411</w:t>
            </w:r>
          </w:p>
        </w:tc>
      </w:tr>
      <w:tr>
        <w:trPr>
          <w:trHeight w:val="490"/>
        </w:trPr>
        <w:tc>
          <w:tcPr>
            <w:tcW w:w="4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7"/>
                <w:szCs w:val="17"/>
                <w:b w:val="1"/>
                <w:bCs w:val="1"/>
                <w:color w:val="auto"/>
              </w:rPr>
              <w:t>December 31, 2021</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7"/>
              </w:rPr>
              <w:t>Renewable Natural</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7"/>
                <w:szCs w:val="17"/>
                <w:b w:val="1"/>
                <w:bCs w:val="1"/>
                <w:color w:val="auto"/>
              </w:rPr>
              <w:t>Gevo</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7"/>
                <w:szCs w:val="17"/>
                <w:b w:val="1"/>
                <w:bCs w:val="1"/>
                <w:color w:val="auto"/>
              </w:rPr>
              <w:t>Agri-Energy</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Gas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33"/>
              <w:spacing w:after="0"/>
              <w:rPr>
                <w:sz w:val="20"/>
                <w:szCs w:val="20"/>
                <w:color w:val="auto"/>
              </w:rPr>
            </w:pPr>
            <w:r>
              <w:rPr>
                <w:rFonts w:ascii="Arial" w:cs="Arial" w:eastAsia="Arial" w:hAnsi="Arial"/>
                <w:sz w:val="17"/>
                <w:szCs w:val="17"/>
                <w:b w:val="1"/>
                <w:bCs w:val="1"/>
                <w:color w:val="auto"/>
                <w:w w:val="96"/>
              </w:rPr>
              <w:t>Consolidated</w:t>
            </w:r>
          </w:p>
        </w:tc>
      </w:tr>
      <w:tr>
        <w:trPr>
          <w:trHeight w:val="24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484,528</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64,008</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117,940</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666,476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55" w:lineRule="exact"/>
        <w:rPr>
          <w:sz w:val="20"/>
          <w:szCs w:val="20"/>
          <w:color w:val="auto"/>
        </w:rPr>
      </w:pPr>
    </w:p>
    <w:p>
      <w:pPr>
        <w:ind w:firstLine="470"/>
        <w:spacing w:after="0" w:line="274"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our ability to finance and construct our Net-Zero 1 project (as defined below), our ability to produce our products at our demonstration facility in Luverne, Minnesota (the “Luverne Facility”) or elsewhere, our ability to meet production, financial and operational guidance, our strategy to pursue low-carbon or "net-zero" carbon renewable fuels for sale into California and elsewhere, our ability to replace our fossil-based energy sources with renewable energy sources at our Net-Zero 1 project and elsewhere, our ability and plans to construct greenfield commercial hydrocarbon facilities to produce sustainable aviation fuel ("SAF") and other products, our ability to raise additional funds to finance our business, our ability to perform under our existing off-take agreements and other supply agreements we may enter into in the future, our ability to successfully operate our renewable natural gas ("RNG") project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2021 (our “2021 Annual Report”), including Item 1A. "Risk Factors" of our 2021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49" w:lineRule="exact"/>
        <w:rPr>
          <w:sz w:val="20"/>
          <w:szCs w:val="20"/>
          <w:color w:val="auto"/>
        </w:rPr>
      </w:pPr>
    </w:p>
    <w:p>
      <w:pPr>
        <w:jc w:val="both"/>
        <w:ind w:right="320" w:firstLine="470"/>
        <w:spacing w:after="0" w:line="297" w:lineRule="auto"/>
        <w:rPr>
          <w:sz w:val="20"/>
          <w:szCs w:val="20"/>
          <w:color w:val="auto"/>
        </w:rPr>
      </w:pPr>
      <w:r>
        <w:rPr>
          <w:rFonts w:ascii="Arial" w:cs="Arial" w:eastAsia="Arial" w:hAnsi="Arial"/>
          <w:sz w:val="16"/>
          <w:szCs w:val="16"/>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2021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255"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Gevo, Inc. (Nasdaq: GEVO), a Delaware corporation founded in 2005, is a growth-oriented company with the mission of solving the problem of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 We also believe that we can achieve at least one billion gallons per year of hydrocarbon production and sales by 2030.</w:t>
      </w:r>
    </w:p>
    <w:p>
      <w:pPr>
        <w:spacing w:after="0" w:line="202"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We are focused on transforming renewable energy into energy-dense liquid hydrocarbons that can be used as renewable fuels, such as SAF, with the potential to achieve a “net-zero” greenhouse gas ("GHG") footprint. We believe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8" w:name="page29"/>
    <w:bookmarkEnd w:id="28"/>
    <w:p>
      <w:pPr>
        <w:ind w:right="20"/>
        <w:spacing w:after="0" w:line="318" w:lineRule="auto"/>
        <w:rPr>
          <w:sz w:val="20"/>
          <w:szCs w:val="20"/>
          <w:color w:val="auto"/>
        </w:rPr>
      </w:pPr>
      <w:r>
        <w:rPr>
          <w:rFonts w:ascii="Arial" w:cs="Arial" w:eastAsia="Arial" w:hAnsi="Arial"/>
          <w:sz w:val="15"/>
          <w:szCs w:val="15"/>
          <w:color w:val="auto"/>
        </w:rPr>
        <w:t>that this addresses the global need of reducing GHG emissions with "drop in" sustainable alternatives to petroleum fuels. We use Argonne National Laboratory’s GREET (Greenhouse gases, Regulated Emissions, and Energy use in Transportation) model (the "GREET Model") to measure, predict and verify GHG</w:t>
      </w:r>
    </w:p>
    <w:p>
      <w:pPr>
        <w:ind w:right="160"/>
        <w:spacing w:after="0" w:line="272" w:lineRule="auto"/>
        <w:rPr>
          <w:sz w:val="20"/>
          <w:szCs w:val="20"/>
          <w:color w:val="auto"/>
        </w:rPr>
      </w:pPr>
      <w:r>
        <w:rPr>
          <w:rFonts w:ascii="Arial" w:cs="Arial" w:eastAsia="Arial" w:hAnsi="Arial"/>
          <w:sz w:val="17"/>
          <w:szCs w:val="17"/>
          <w:color w:val="auto"/>
        </w:rPr>
        <w:t>emissions across the life cycle of our products. The "net-zero" concept means we expect to produce fuels that could have a carbon neutral or a net-zero GHG footprint across the whole of the life cycle of the fuel, from the capture of renewable carbon, through production, and the subsequent burning of the fuel in, for example, a jet engine.</w:t>
      </w:r>
    </w:p>
    <w:p>
      <w:pPr>
        <w:spacing w:after="0" w:line="198"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Our primary market focus, given current demand and growing customer interest, is SAF. We believe we also have commercial opportunities for other renewable hydrocarbon products, such as RNG; hydrocarbons for gasoline blendstocks and diesel fuel; ingredients for the chemical industry, such as ethylene and butenes; plastics and materials; and other chemicals. The global fuel consumption by commercial airlines was an all-time high of 95 billion gallons in 2019. However, due to the COVID-19 pandemic, fuel consumption dropped to 52 billion gallons in 2020 and then reached 57 billion gallons in 2021, but the 2022 fuel consumption trend is nearly back to pre-COVID levels.</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believe that there is a growing and significant market demand for SAF production generally based on a number of factors, including:</w:t>
      </w:r>
    </w:p>
    <w:p>
      <w:pPr>
        <w:spacing w:after="0" w:line="288" w:lineRule="exact"/>
        <w:rPr>
          <w:sz w:val="20"/>
          <w:szCs w:val="20"/>
          <w:color w:val="auto"/>
        </w:rPr>
      </w:pPr>
    </w:p>
    <w:p>
      <w:pPr>
        <w:jc w:val="both"/>
        <w:ind w:left="860" w:right="300" w:hanging="368"/>
        <w:spacing w:after="0" w:line="228"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International Air Transport Association ("IATA") 77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Annual General Meeting approved a resolution for the global air transport industry to achieve net-zero carbon emissions by 2050. IATA has 288 airline members, including Alaska Airlines, American Airlines, Delta Air Lines, FedEx Express, United Airlines and UPS Airlines.</w:t>
      </w:r>
    </w:p>
    <w:p>
      <w:pPr>
        <w:spacing w:after="0" w:line="28" w:lineRule="exact"/>
        <w:rPr>
          <w:rFonts w:ascii="Arial" w:cs="Arial" w:eastAsia="Arial" w:hAnsi="Arial"/>
          <w:sz w:val="17"/>
          <w:szCs w:val="17"/>
          <w:color w:val="auto"/>
        </w:rPr>
      </w:pPr>
    </w:p>
    <w:p>
      <w:pPr>
        <w:jc w:val="both"/>
        <w:ind w:left="860" w:right="300" w:hanging="368"/>
        <w:spacing w:after="0" w:line="25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March 2020, Delta Air Lines committed to spending $1 billion over the next 10 years on its objective to mitigating emissions from its global business going forward. Delta will invest in innovation, advancing clean air travel technologies, accelerating the reduction of carbon emissions and waste, and establishing new projects to mitigate the balance of emissions.</w:t>
      </w:r>
    </w:p>
    <w:p>
      <w:pPr>
        <w:spacing w:after="0" w:line="27" w:lineRule="exact"/>
        <w:rPr>
          <w:rFonts w:ascii="Arial" w:cs="Arial" w:eastAsia="Arial" w:hAnsi="Arial"/>
          <w:sz w:val="17"/>
          <w:szCs w:val="17"/>
          <w:color w:val="auto"/>
        </w:rPr>
      </w:pPr>
    </w:p>
    <w:p>
      <w:pPr>
        <w:ind w:left="860" w:hanging="368"/>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one</w:t>
      </w:r>
      <w:r>
        <w:rPr>
          <w:rFonts w:ascii="Arial" w:cs="Arial" w:eastAsia="Arial" w:hAnsi="Arial"/>
          <w:sz w:val="16"/>
          <w:szCs w:val="16"/>
          <w:i w:val="1"/>
          <w:iCs w:val="1"/>
          <w:color w:val="auto"/>
        </w:rPr>
        <w:t>world®</w:t>
      </w:r>
      <w:r>
        <w:rPr>
          <w:rFonts w:ascii="Arial" w:cs="Arial" w:eastAsia="Arial" w:hAnsi="Arial"/>
          <w:sz w:val="16"/>
          <w:szCs w:val="16"/>
          <w:color w:val="auto"/>
        </w:rPr>
        <w:t xml:space="preserve"> alliance committed to a target of 10% SAF use across the alliance by 2030 and plans to reach net zero emissions by 2050.</w:t>
      </w:r>
    </w:p>
    <w:p>
      <w:pPr>
        <w:spacing w:after="0" w:line="378"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color w:val="auto"/>
        </w:rPr>
        <w:t>We believe that we possess the ability to convert various carbohydrate feedstocks through a fermentation process into alcohols and then transform the alcohols into renewable fuels and materials, through a combination of our own technology, know-how, engineering, and licensing of technology and engineering from Axens North America, Inc. ("Axens"). While we expect our major capital deployments to focus on the production of SAF, we recognize there are opportunities to operate in several different renewable fuels and materials markets and we will pursue those opportunities when appropriate based on customer interest, access to capital, and expected investment returns.</w:t>
      </w:r>
    </w:p>
    <w:p>
      <w:pPr>
        <w:spacing w:after="0" w:line="206" w:lineRule="exact"/>
        <w:rPr>
          <w:sz w:val="20"/>
          <w:szCs w:val="20"/>
          <w:color w:val="auto"/>
        </w:rPr>
      </w:pPr>
    </w:p>
    <w:p>
      <w:pPr>
        <w:ind w:right="220" w:firstLine="470"/>
        <w:spacing w:after="0" w:line="313" w:lineRule="auto"/>
        <w:rPr>
          <w:sz w:val="20"/>
          <w:szCs w:val="20"/>
          <w:color w:val="auto"/>
        </w:rPr>
      </w:pPr>
      <w:r>
        <w:rPr>
          <w:rFonts w:ascii="Arial" w:cs="Arial" w:eastAsia="Arial" w:hAnsi="Arial"/>
          <w:sz w:val="15"/>
          <w:szCs w:val="15"/>
          <w:color w:val="auto"/>
        </w:rPr>
        <w:t>Our SAF production process uses carbohydrates as a feedstock. Carbohydrates are plant matter that result from photosynthesis. Photosynthesis is the natural process by which carbon dioxide is captured from the air by plants. The carbon in carbohydrates is therefore renewable because it is already in the atmosphere. The carbohydrates are fermented to produce alcohol intermediate products (</w:t>
      </w:r>
      <w:r>
        <w:rPr>
          <w:rFonts w:ascii="Arial" w:cs="Arial" w:eastAsia="Arial" w:hAnsi="Arial"/>
          <w:sz w:val="15"/>
          <w:szCs w:val="15"/>
          <w:i w:val="1"/>
          <w:iCs w:val="1"/>
          <w:color w:val="auto"/>
        </w:rPr>
        <w:t>e.g.</w:t>
      </w:r>
      <w:r>
        <w:rPr>
          <w:rFonts w:ascii="Arial" w:cs="Arial" w:eastAsia="Arial" w:hAnsi="Arial"/>
          <w:sz w:val="15"/>
          <w:szCs w:val="15"/>
          <w:color w:val="auto"/>
        </w:rPr>
        <w:t>, ethanol or isobutanol). The alcohol-based intermediates are then chemically processed to make renewable hydrocarbons. To achieve net-zero carbon intensity ("CI") across the whole life cycle of the products, we believe:</w:t>
      </w:r>
    </w:p>
    <w:p>
      <w:pPr>
        <w:spacing w:after="0" w:line="211" w:lineRule="exact"/>
        <w:rPr>
          <w:sz w:val="20"/>
          <w:szCs w:val="20"/>
          <w:color w:val="auto"/>
        </w:rPr>
      </w:pPr>
    </w:p>
    <w:p>
      <w:pPr>
        <w:ind w:left="840" w:hanging="348"/>
        <w:spacing w:after="0"/>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carbohydrates with a low CI score must be used in production;</w:t>
      </w:r>
    </w:p>
    <w:p>
      <w:pPr>
        <w:spacing w:after="0" w:line="52" w:lineRule="exact"/>
        <w:rPr>
          <w:rFonts w:ascii="Arial" w:cs="Arial" w:eastAsia="Arial" w:hAnsi="Arial"/>
          <w:sz w:val="17"/>
          <w:szCs w:val="17"/>
          <w:color w:val="auto"/>
        </w:rPr>
      </w:pPr>
    </w:p>
    <w:p>
      <w:pPr>
        <w:ind w:left="840" w:hanging="348"/>
        <w:spacing w:after="0"/>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energy (electricity and heat source) used in production must be de-fossilized; and</w:t>
      </w:r>
    </w:p>
    <w:p>
      <w:pPr>
        <w:spacing w:after="0" w:line="52" w:lineRule="exact"/>
        <w:rPr>
          <w:rFonts w:ascii="Arial" w:cs="Arial" w:eastAsia="Arial" w:hAnsi="Arial"/>
          <w:sz w:val="17"/>
          <w:szCs w:val="17"/>
          <w:color w:val="auto"/>
        </w:rPr>
      </w:pPr>
    </w:p>
    <w:p>
      <w:pPr>
        <w:ind w:left="840" w:hanging="348"/>
        <w:spacing w:after="0"/>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products cannot contain fossil-based carbon.</w:t>
      </w:r>
    </w:p>
    <w:p>
      <w:pPr>
        <w:spacing w:after="0" w:line="366"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We believe sustainably grown industrial field corn (</w:t>
      </w:r>
      <w:r>
        <w:rPr>
          <w:rFonts w:ascii="Arial" w:cs="Arial" w:eastAsia="Arial" w:hAnsi="Arial"/>
          <w:sz w:val="17"/>
          <w:szCs w:val="17"/>
          <w:i w:val="1"/>
          <w:iCs w:val="1"/>
          <w:color w:val="auto"/>
        </w:rPr>
        <w:t>i.e.</w:t>
      </w:r>
      <w:r>
        <w:rPr>
          <w:rFonts w:ascii="Arial" w:cs="Arial" w:eastAsia="Arial" w:hAnsi="Arial"/>
          <w:sz w:val="17"/>
          <w:szCs w:val="17"/>
          <w:color w:val="auto"/>
        </w:rPr>
        <w:t>, corn that is grown with precision agricultural techniques and low-till or no till cultivation to conserve nutrients, prevent water runoff, and erosion) is the best feedstock to commercialize for SAF initially because:</w:t>
      </w:r>
    </w:p>
    <w:p>
      <w:pPr>
        <w:spacing w:after="0" w:line="223" w:lineRule="exact"/>
        <w:rPr>
          <w:sz w:val="20"/>
          <w:szCs w:val="20"/>
          <w:color w:val="auto"/>
        </w:rPr>
      </w:pPr>
    </w:p>
    <w:p>
      <w:pPr>
        <w:ind w:left="840" w:right="520" w:hanging="348"/>
        <w:spacing w:after="0" w:line="256" w:lineRule="auto"/>
        <w:tabs>
          <w:tab w:leader="none" w:pos="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produces a significant amount of protein and vegetable oil for nutritional products on a per acre basis while also producing an abundance of low CI carbohydrates that can be captured and used as a feedstock for fuels and chemicals;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382" w:right="359" w:bottom="1440" w:gutter="0" w:footer="0" w:header="0"/>
        </w:sectPr>
      </w:pPr>
    </w:p>
    <w:bookmarkStart w:id="29" w:name="page30"/>
    <w:bookmarkEnd w:id="29"/>
    <w:p>
      <w:pPr>
        <w:ind w:left="840" w:right="600" w:hanging="348"/>
        <w:spacing w:after="0" w:line="272"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protein and oil that are produced can be easily separated and sold as co-products into the food chain markets. The protein and oil revenue serves to offset the cost of the corn feedstock;</w:t>
      </w:r>
    </w:p>
    <w:p>
      <w:pPr>
        <w:spacing w:after="0" w:line="1" w:lineRule="exact"/>
        <w:rPr>
          <w:rFonts w:ascii="Arial" w:cs="Arial" w:eastAsia="Arial" w:hAnsi="Arial"/>
          <w:sz w:val="17"/>
          <w:szCs w:val="17"/>
          <w:color w:val="auto"/>
        </w:rPr>
      </w:pPr>
    </w:p>
    <w:p>
      <w:pPr>
        <w:ind w:left="840" w:right="380" w:hanging="348"/>
        <w:spacing w:after="0" w:line="272"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believe the carbon footprint of growing corn can be negative, according to calculations completed with the GREET Model, when a full suite of climate-smart agricultural practices is employed on appropriate acres of cropland;</w:t>
      </w:r>
    </w:p>
    <w:p>
      <w:pPr>
        <w:spacing w:after="0" w:line="1" w:lineRule="exact"/>
        <w:rPr>
          <w:rFonts w:ascii="Arial" w:cs="Arial" w:eastAsia="Arial" w:hAnsi="Arial"/>
          <w:sz w:val="17"/>
          <w:szCs w:val="17"/>
          <w:color w:val="auto"/>
        </w:rPr>
      </w:pPr>
    </w:p>
    <w:p>
      <w:pPr>
        <w:ind w:left="840" w:hanging="348"/>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believe the corn can achieve lower CI scores when grown with climate-smart agricultural techniques than waste raw materials or wood; and</w:t>
      </w:r>
    </w:p>
    <w:p>
      <w:pPr>
        <w:spacing w:after="0" w:line="64" w:lineRule="exact"/>
        <w:rPr>
          <w:rFonts w:ascii="Arial" w:cs="Arial" w:eastAsia="Arial" w:hAnsi="Arial"/>
          <w:sz w:val="16"/>
          <w:szCs w:val="16"/>
          <w:color w:val="auto"/>
        </w:rPr>
      </w:pPr>
    </w:p>
    <w:p>
      <w:pPr>
        <w:ind w:left="840" w:right="440" w:hanging="348"/>
        <w:spacing w:after="0" w:line="272"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believe that residual carbohydrates from corn are the lowest cost carbohydrates available as a renewable raw material, and the production is proven and scalable.</w:t>
      </w:r>
    </w:p>
    <w:p>
      <w:pPr>
        <w:spacing w:after="0" w:line="315"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We believe utilizing sustainable agriculture practices to help solve GHG problems is a breakthrough that addresses the problem of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Net-Zero Projects</w:t>
      </w:r>
    </w:p>
    <w:p>
      <w:pPr>
        <w:spacing w:after="0" w:line="255" w:lineRule="exact"/>
        <w:rPr>
          <w:sz w:val="20"/>
          <w:szCs w:val="20"/>
          <w:color w:val="auto"/>
        </w:rPr>
      </w:pPr>
    </w:p>
    <w:p>
      <w:pPr>
        <w:ind w:right="140" w:firstLine="470"/>
        <w:spacing w:after="0" w:line="264" w:lineRule="auto"/>
        <w:rPr>
          <w:sz w:val="20"/>
          <w:szCs w:val="20"/>
          <w:color w:val="auto"/>
        </w:rPr>
      </w:pPr>
      <w:r>
        <w:rPr>
          <w:rFonts w:ascii="Arial" w:cs="Arial" w:eastAsia="Arial" w:hAnsi="Arial"/>
          <w:sz w:val="17"/>
          <w:szCs w:val="17"/>
          <w:color w:val="auto"/>
        </w:rPr>
        <w:t>In early 2021, we announced the concept of “Net-Zero Projects” as a series of planned facilities to produce energy dense liquid hydrocarbons using renewable energy and our proprietary technology. The concept of a Net-Zero Project is to convert renewable energy (</w:t>
      </w:r>
      <w:r>
        <w:rPr>
          <w:rFonts w:ascii="Arial" w:cs="Arial" w:eastAsia="Arial" w:hAnsi="Arial"/>
          <w:sz w:val="17"/>
          <w:szCs w:val="17"/>
          <w:i w:val="1"/>
          <w:iCs w:val="1"/>
          <w:color w:val="auto"/>
        </w:rPr>
        <w:t>e.g.</w:t>
      </w:r>
      <w:r>
        <w:rPr>
          <w:rFonts w:ascii="Arial" w:cs="Arial" w:eastAsia="Arial" w:hAnsi="Arial"/>
          <w:sz w:val="17"/>
          <w:szCs w:val="17"/>
          <w:color w:val="auto"/>
        </w:rPr>
        <w:t>, photosynthetic, wind, RNG, and/or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burnt as a fuel for cars, planes, trucks and ships.</w:t>
      </w:r>
    </w:p>
    <w:p>
      <w:pPr>
        <w:spacing w:after="0" w:line="206"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Our initial Net-Zero Project, Net-Zero 1 (“NZ1"), is located in Lake Preston, South Dakota, and is being currently designed to produce approximately 62 million gallons per year ("MGPY") of total hydrocarbon volumes, including 55 MGPY of SAF, which would fulfill part of our more than 375 MGPY of SAF and hydrocarbon supply agreements. The liquid hydrocarbons when burned are expected to have a “net-zero” GHG footprint. Along with the hydrocarbons, NZ1 is expected to produce approximately 475 million pounds per year of high-value protein products for use in the food chain and more than 30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 We have an exclusive license in the United States from Axens to the technology and plant designs to convert alcohols to hydrocarbon fuels. Axens will also provide certain process guarantees for our production process. Additionally, Axens has extensive commercial experience in the technology, design, and deployment of the unit operations needed to convert alcohols to hydrocarbon fuels, based on their experience in the petrochemical industry. The fermentation side of the facility is being engineered with Fluid Quip Technologies who has extensive experience in fermentation and agriculture-based facilities. We believe that by using known commercial technologies, the plant design is substantially de-risked.</w:t>
      </w:r>
    </w:p>
    <w:p>
      <w:pPr>
        <w:spacing w:after="0" w:line="199" w:lineRule="exact"/>
        <w:rPr>
          <w:sz w:val="20"/>
          <w:szCs w:val="20"/>
          <w:color w:val="auto"/>
        </w:rPr>
      </w:pPr>
    </w:p>
    <w:p>
      <w:pPr>
        <w:ind w:right="140" w:firstLine="470"/>
        <w:spacing w:after="0" w:line="272" w:lineRule="auto"/>
        <w:rPr>
          <w:sz w:val="20"/>
          <w:szCs w:val="20"/>
          <w:color w:val="auto"/>
        </w:rPr>
      </w:pPr>
      <w:r>
        <w:rPr>
          <w:rFonts w:ascii="Arial" w:cs="Arial" w:eastAsia="Arial" w:hAnsi="Arial"/>
          <w:sz w:val="17"/>
          <w:szCs w:val="17"/>
          <w:color w:val="auto"/>
        </w:rPr>
        <w:t>The transition to an ethanol-to-SAF design from our original isobutanol-to-SAF and isooctane design for NZ1 has resulted in an improved design output capacity, which should result in an increased cash flow. Gevo’s ethanol-to-SAF engineering design work to date has resulted in a significant uplift in volumes and cash flows per unit of capital invested.</w:t>
      </w:r>
    </w:p>
    <w:p>
      <w:pPr>
        <w:spacing w:after="0" w:line="185" w:lineRule="exact"/>
        <w:rPr>
          <w:sz w:val="20"/>
          <w:szCs w:val="20"/>
          <w:color w:val="auto"/>
        </w:rPr>
      </w:pPr>
    </w:p>
    <w:p>
      <w:pPr>
        <w:ind w:right="60" w:firstLine="470"/>
        <w:spacing w:after="0" w:line="237" w:lineRule="auto"/>
        <w:rPr>
          <w:sz w:val="20"/>
          <w:szCs w:val="20"/>
          <w:color w:val="auto"/>
        </w:rPr>
      </w:pPr>
      <w:r>
        <w:rPr>
          <w:rFonts w:ascii="Arial" w:cs="Arial" w:eastAsia="Arial" w:hAnsi="Arial"/>
          <w:sz w:val="17"/>
          <w:szCs w:val="17"/>
          <w:color w:val="auto"/>
        </w:rPr>
        <w:t>In July 2022, the purchase of the land for NZ1 in Lake Preston, South Dakota was completed. This was followed by a groundbreaking ceremony in Lake Preston and we believe NZ1 is on schedule with initial volumes of SAF expected to be delivered in 2025. Water and wind energy development agreements were executed in the third quarter of 2022, and other key milestones are on track for completion in accordance with our comprehensive project plan. Based on the ongoing engineering work, the installed cost for NZ1 is currently forecasted to be approximately $850 million, excluding certain contingencies and financing costs.</w:t>
      </w:r>
    </w:p>
    <w:p>
      <w:pPr>
        <w:spacing w:after="0" w:line="211"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Gevo is also in the process of identifying and performing early site development work for additional SAF production locations. These sites include several greenfield locations that are particularly advantageous in terms of potential economics, opportunities to decarbonize, and time to market. In addition, we are pursuing prospects with several existing ethanol plant sites. Existing ethanol plants need to be decarbonized with renewable energy or de-fossilized energy and/or carbon sequestration. Gevo has developed a preferred list of partners and sites with decarbonization in mind and is engaged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0" w:name="page31"/>
    <w:bookmarkEnd w:id="30"/>
    <w:p>
      <w:pPr>
        <w:ind w:right="580"/>
        <w:spacing w:after="0" w:line="288" w:lineRule="auto"/>
        <w:rPr>
          <w:sz w:val="20"/>
          <w:szCs w:val="20"/>
          <w:color w:val="auto"/>
        </w:rPr>
      </w:pPr>
      <w:r>
        <w:rPr>
          <w:rFonts w:ascii="Arial" w:cs="Arial" w:eastAsia="Arial" w:hAnsi="Arial"/>
          <w:sz w:val="17"/>
          <w:szCs w:val="17"/>
          <w:color w:val="auto"/>
        </w:rPr>
        <w:t>in preliminary feasibility and development discussions with several of them. We plan to give priority to existing industrial plant sites that have attractive potential economics and high predictability of timeline for decarbonization.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Renewable Natural Gas Projects</w:t>
      </w:r>
    </w:p>
    <w:p>
      <w:pPr>
        <w:spacing w:after="0" w:line="255" w:lineRule="exact"/>
        <w:rPr>
          <w:sz w:val="20"/>
          <w:szCs w:val="20"/>
          <w:color w:val="auto"/>
        </w:rPr>
      </w:pPr>
    </w:p>
    <w:p>
      <w:pPr>
        <w:ind w:right="120" w:firstLine="470"/>
        <w:spacing w:after="0" w:line="288" w:lineRule="auto"/>
        <w:rPr>
          <w:sz w:val="20"/>
          <w:szCs w:val="20"/>
          <w:color w:val="auto"/>
        </w:rPr>
      </w:pPr>
      <w:r>
        <w:rPr>
          <w:rFonts w:ascii="Arial" w:cs="Arial" w:eastAsia="Arial" w:hAnsi="Arial"/>
          <w:sz w:val="16"/>
          <w:szCs w:val="16"/>
          <w:color w:val="auto"/>
        </w:rPr>
        <w:t>In 2019, we began developing RNG projects. Manure can be digested anaerobically to produce biogas, which is then upgraded to pipeline-quality RNG. RNG has environmental credit value when sold in markets such as California. There is also value to Gevo’s hydrocarbon production process by giving us another option to achieve carbon negative GHG emissions on our renewable hydrocarbon products. The hydrocarbon products resulting from such a decarbonization process have lower CI scores and increased market value, in addition to having a more positive impact on the environment.</w:t>
      </w:r>
    </w:p>
    <w:p>
      <w:pPr>
        <w:spacing w:after="0" w:line="188"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color w:val="auto"/>
        </w:rPr>
        <w:t>Gevo’s RNG project in Northwest Iowa (the “RNG Project”) produces renewable natural gas captured from dairy cow manure. The manure for the RNG Project is supplied by three dairy farms located in Northwest Iowa totaling over 20,000 milking cows. When at full operational capacity, the RNG Project is expected to generate approximately 355,000 MMBtu of RNG per year. Gevo's revenue from the RNG Project is expected to come from sales of RNG and from the environmental attributes associated with its RNG sales, including the attributes available from California's Low Carbon Fuel Standard ("LCFS") program and the U.S. Environmental Protection Agency ("EPA") Renewable Fuels Standard program ("RFS") to receive renewable identification numbers ("RINs"). Gevo has been granted registration approval by the EPA, allowing us to participate in its RFS program and expects to receive approval for LCFS later this year or early next year.</w:t>
      </w:r>
    </w:p>
    <w:p>
      <w:pPr>
        <w:spacing w:after="0" w:line="211"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In the third quarter of 2022, the RNG Project ramped up production of biogas, raw biogas upgrading and injection of RNG into the interconnected natural gas pipeline. Our biogas commodity sales were $0.3 million in the three months ended September 30, 2022, with some of the associated revenue from its environmental attributes expected later this year. The majority of the revenue from environmental attributes, however, is expected to occur in 2023 due to the timing of the approval and documentation process for the related LCFS credits.</w:t>
      </w:r>
    </w:p>
    <w:p>
      <w:pPr>
        <w:spacing w:after="0" w:line="202"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We made incremental improvements and optimizations at our RNG Project by investing in capital projects that are expected to improve its CI score and expand capacity. Gevo’s estimated share of the capital cost for these improvements is approximately $1.9 million. The improvement and optimization work was completed in the third quarter of 2022. In June 2022, we amended our lease with the expanding dairy to provide the RNG Project with additional manure, which is expected to increase our RNG production.</w:t>
      </w:r>
    </w:p>
    <w:p>
      <w:pPr>
        <w:spacing w:after="0" w:line="202"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We have strong relationships throughout the industry supply chain from technology and equipment providers to feedstock owners and RNG off-takers. We believe the trust and reputation we have attained, in combination with our understanding of the various and complex environmental attributes, gives us a competitive advantage. We leverage our relationships to identify and execute new project opportunities. Typically, new development opportunities come from our existing relationships with dairy owners who value our reputation in the industry.</w:t>
      </w:r>
    </w:p>
    <w:p>
      <w:pPr>
        <w:spacing w:after="0" w:line="202"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color w:val="auto"/>
        </w:rPr>
        <w:t>We exercise financial discipline in pursuing projects by targeting attractive risk-adjusted project returns, whether selling RNG into the markets or using it to lower CI scores at our Net-Zero Projects. We will monitor biogas supply availability across our portfolio and seek to maximize our production by expanding operations when economically feasible.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Verity Tracking</w:t>
      </w:r>
    </w:p>
    <w:p>
      <w:pPr>
        <w:spacing w:after="0" w:line="242" w:lineRule="exact"/>
        <w:rPr>
          <w:sz w:val="20"/>
          <w:szCs w:val="20"/>
          <w:color w:val="auto"/>
        </w:rPr>
      </w:pPr>
    </w:p>
    <w:p>
      <w:pPr>
        <w:ind w:right="400" w:firstLine="470"/>
        <w:spacing w:after="0" w:line="272" w:lineRule="auto"/>
        <w:rPr>
          <w:sz w:val="20"/>
          <w:szCs w:val="20"/>
          <w:color w:val="auto"/>
        </w:rPr>
      </w:pPr>
      <w:r>
        <w:rPr>
          <w:rFonts w:ascii="Arial" w:cs="Arial" w:eastAsia="Arial" w:hAnsi="Arial"/>
          <w:sz w:val="17"/>
          <w:szCs w:val="17"/>
          <w:color w:val="auto"/>
        </w:rPr>
        <w:t>Capturing and accurately counting carbon data across the whole of the business system is a critical part of Gevo’s business model, and the CI scores across the whole of the carbon life cycle, from feedstock through the burning of fuels.</w:t>
      </w:r>
    </w:p>
    <w:p>
      <w:pPr>
        <w:spacing w:after="0" w:line="184" w:lineRule="exact"/>
        <w:rPr>
          <w:sz w:val="20"/>
          <w:szCs w:val="20"/>
          <w:color w:val="auto"/>
        </w:rPr>
      </w:pPr>
    </w:p>
    <w:p>
      <w:pPr>
        <w:ind w:right="140" w:firstLine="470"/>
        <w:spacing w:after="0" w:line="267" w:lineRule="auto"/>
        <w:rPr>
          <w:sz w:val="20"/>
          <w:szCs w:val="20"/>
          <w:color w:val="auto"/>
        </w:rPr>
      </w:pPr>
      <w:r>
        <w:rPr>
          <w:rFonts w:ascii="Arial" w:cs="Arial" w:eastAsia="Arial" w:hAnsi="Arial"/>
          <w:sz w:val="16"/>
          <w:szCs w:val="16"/>
          <w:color w:val="auto"/>
        </w:rPr>
        <w:t>Verity Tracking ("Verity") is a joint venture between Gevo and Blocksize Capital GmbH ("Blocksize") to develop and commercialize carbon value and other sustainable attributes. Verity is developing the tools, techniques, software, data access to track carbon scores and other sustainability attributes using “blockchain” technology. The benefit is having audited, transparent, immutable sustainability data attached to biofuels and is expected to be valuable to our customers, colleague companies, and partners. Gevo and Blocksize have identified a series of internal milestones that Verity will need to achieve over the next few quarters to expand the joint venture into a stand-alone business unit, either as part of Gevo or as a separate entity.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382" w:right="37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Luverne Facility</w:t>
      </w:r>
    </w:p>
    <w:p>
      <w:pPr>
        <w:spacing w:after="0" w:line="255" w:lineRule="exact"/>
        <w:rPr>
          <w:sz w:val="20"/>
          <w:szCs w:val="20"/>
          <w:color w:val="auto"/>
        </w:rPr>
      </w:pPr>
    </w:p>
    <w:p>
      <w:pPr>
        <w:ind w:left="20" w:right="20" w:firstLine="470"/>
        <w:spacing w:after="0" w:line="261" w:lineRule="auto"/>
        <w:rPr>
          <w:sz w:val="20"/>
          <w:szCs w:val="20"/>
          <w:color w:val="auto"/>
        </w:rPr>
      </w:pPr>
      <w:r>
        <w:rPr>
          <w:rFonts w:ascii="Arial" w:cs="Arial" w:eastAsia="Arial" w:hAnsi="Arial"/>
          <w:sz w:val="17"/>
          <w:szCs w:val="17"/>
          <w:color w:val="auto"/>
        </w:rPr>
        <w:t>The activities at our Luverne Facility have been transitioned to care and maintenance, as we have shifted focus to our Net Zero Projects. The workforce adjustment resulted in us retaining key personnel and redeploying some resources to our NZ1 and RNG projects to provide valuable knowledge and experience for the future strategic growth of the Company. As a potential development site, future operations, if any, will be tailored to support a focus on advancing our technology, testing, and optimizing alternative feedstocks, yeast strains, and unit operations as well as partnership development for integrated GHG reductions. The Luverne Facility is well equipped and positioned as a development site. The Luverne Facility also provides a unique opportunity to showcase our decarbonization and business systems and raise awareness for future partnerships, investors, and local communities, even though operations at the site have been minimized.</w:t>
      </w:r>
    </w:p>
    <w:p>
      <w:pPr>
        <w:spacing w:after="0" w:line="211" w:lineRule="exact"/>
        <w:rPr>
          <w:sz w:val="20"/>
          <w:szCs w:val="20"/>
          <w:color w:val="auto"/>
        </w:rPr>
      </w:pPr>
    </w:p>
    <w:p>
      <w:pPr>
        <w:ind w:left="20" w:right="80" w:firstLine="470"/>
        <w:spacing w:after="0" w:line="267" w:lineRule="auto"/>
        <w:rPr>
          <w:sz w:val="20"/>
          <w:szCs w:val="20"/>
          <w:color w:val="auto"/>
        </w:rPr>
      </w:pPr>
      <w:r>
        <w:rPr>
          <w:rFonts w:ascii="Arial" w:cs="Arial" w:eastAsia="Arial" w:hAnsi="Arial"/>
          <w:sz w:val="17"/>
          <w:szCs w:val="17"/>
          <w:color w:val="auto"/>
        </w:rPr>
        <w:t>In the third quarter of 2022, we recorded an impairment of long-lived assets, to reduce the carrying value of certain property, plant, and equipment, and a leased right of use ("ROU") asset, at the Luverne Facility to its fair value. The impairments recorded to date relate to the determination to suspend production at the Luverne facility and shift the plant into an idled, care and maintenance status during the three months ended September 30, 2022. See Note 3 to the Consolidated Financial Statements for additional information.</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Developments</w:t>
      </w:r>
    </w:p>
    <w:p>
      <w:pPr>
        <w:spacing w:after="0" w:line="255" w:lineRule="exact"/>
        <w:rPr>
          <w:sz w:val="20"/>
          <w:szCs w:val="20"/>
          <w:color w:val="auto"/>
        </w:rPr>
      </w:pPr>
    </w:p>
    <w:p>
      <w:pPr>
        <w:ind w:left="20" w:right="100" w:firstLine="470"/>
        <w:spacing w:after="0" w:line="267" w:lineRule="auto"/>
        <w:rPr>
          <w:sz w:val="20"/>
          <w:szCs w:val="20"/>
          <w:color w:val="auto"/>
        </w:rPr>
      </w:pPr>
      <w:r>
        <w:rPr>
          <w:rFonts w:ascii="Arial" w:cs="Arial" w:eastAsia="Arial" w:hAnsi="Arial"/>
          <w:sz w:val="17"/>
          <w:szCs w:val="17"/>
          <w:i w:val="1"/>
          <w:iCs w:val="1"/>
          <w:color w:val="auto"/>
        </w:rPr>
        <w:t xml:space="preserve">U.S. Department of Agriculture. </w:t>
      </w:r>
      <w:r>
        <w:rPr>
          <w:rFonts w:ascii="Arial" w:cs="Arial" w:eastAsia="Arial" w:hAnsi="Arial"/>
          <w:sz w:val="17"/>
          <w:szCs w:val="17"/>
          <w:color w:val="auto"/>
        </w:rPr>
        <w:t>On September 19, 2022, the U.S. Department of Agriculture ("USDA") tentatively selected Gevo’s Climate-Smart Farm</w:t>
      </w:r>
      <w:r>
        <w:rPr>
          <w:rFonts w:ascii="Arial" w:cs="Arial" w:eastAsia="Arial" w:hAnsi="Arial"/>
          <w:sz w:val="17"/>
          <w:szCs w:val="17"/>
          <w:i w:val="1"/>
          <w:iCs w:val="1"/>
          <w:color w:val="auto"/>
        </w:rPr>
        <w:t xml:space="preserve"> </w:t>
      </w:r>
      <w:r>
        <w:rPr>
          <w:rFonts w:ascii="Arial" w:cs="Arial" w:eastAsia="Arial" w:hAnsi="Arial"/>
          <w:sz w:val="17"/>
          <w:szCs w:val="17"/>
          <w:color w:val="auto"/>
        </w:rPr>
        <w:t>to Flight proposal for funding with an award ceiling of up to $30 million, subject to negotiation of definitive award agreements in the coming months. The project aims to create critical structural climate-smart market incentives for low carbon-intensity corn as well as to accelerate the production of sustainable aviation fuel to reduce the sector’s dependency on fossil-based fuels.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COVID-19</w:t>
      </w:r>
    </w:p>
    <w:p>
      <w:pPr>
        <w:spacing w:after="0" w:line="255" w:lineRule="exact"/>
        <w:rPr>
          <w:sz w:val="20"/>
          <w:szCs w:val="20"/>
          <w:color w:val="auto"/>
        </w:rPr>
      </w:pPr>
    </w:p>
    <w:p>
      <w:pPr>
        <w:ind w:left="20" w:firstLine="470"/>
        <w:spacing w:after="0" w:line="264" w:lineRule="auto"/>
        <w:rPr>
          <w:sz w:val="20"/>
          <w:szCs w:val="20"/>
          <w:color w:val="auto"/>
        </w:rPr>
      </w:pPr>
      <w:r>
        <w:rPr>
          <w:rFonts w:ascii="Arial" w:cs="Arial" w:eastAsia="Arial" w:hAnsi="Arial"/>
          <w:sz w:val="17"/>
          <w:szCs w:val="17"/>
          <w:color w:val="auto"/>
        </w:rPr>
        <w:t>The COVID-19 pandemic significantly impacted global commercial activity, including the global transportation industry and its supply chain, and has contributed to significant volatility in financial markets. It is possible that the impacts of the COVID-19 pandemic on general economic activity could negatively impact our revenue and operating results for 2022 and beyond. The ongoing impacts of the COVID-19 pandemic on the global transportation industry may result in less demand for our transportation fuel products in the future, which could have a material adverse effect on our business, financial condition, and our prospects for the foreseeable future.</w:t>
      </w:r>
    </w:p>
    <w:p>
      <w:pPr>
        <w:spacing w:after="0" w:line="206" w:lineRule="exact"/>
        <w:rPr>
          <w:sz w:val="20"/>
          <w:szCs w:val="20"/>
          <w:color w:val="auto"/>
        </w:rPr>
      </w:pPr>
    </w:p>
    <w:p>
      <w:pPr>
        <w:ind w:left="20" w:right="120" w:firstLine="470"/>
        <w:spacing w:after="0" w:line="288" w:lineRule="auto"/>
        <w:rPr>
          <w:sz w:val="20"/>
          <w:szCs w:val="20"/>
          <w:color w:val="auto"/>
        </w:rPr>
      </w:pPr>
      <w:r>
        <w:rPr>
          <w:rFonts w:ascii="Arial" w:cs="Arial" w:eastAsia="Arial" w:hAnsi="Arial"/>
          <w:sz w:val="17"/>
          <w:szCs w:val="17"/>
          <w:color w:val="auto"/>
        </w:rPr>
        <w:t>There is also a risk that COVID-19 could have a material adverse impact on the development of NZ1, customer demand and cash flow, depending on the extent of our future production activities.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00" w:top="137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44"/>
        </w:trPr>
        <w:tc>
          <w:tcPr>
            <w:tcW w:w="6500" w:type="dxa"/>
            <w:vAlign w:val="bottom"/>
            <w:gridSpan w:val="2"/>
          </w:tcPr>
          <w:p>
            <w:pPr>
              <w:spacing w:after="0"/>
              <w:rPr>
                <w:sz w:val="20"/>
                <w:szCs w:val="20"/>
                <w:color w:val="auto"/>
              </w:rPr>
            </w:pPr>
            <w:r>
              <w:rPr>
                <w:rFonts w:ascii="Arial" w:cs="Arial" w:eastAsia="Arial" w:hAnsi="Arial"/>
                <w:sz w:val="17"/>
                <w:szCs w:val="17"/>
                <w:b w:val="1"/>
                <w:bCs w:val="1"/>
                <w:color w:val="auto"/>
                <w:w w:val="93"/>
              </w:rPr>
              <w:t>Comparison of the Three Months Ended September 30, 2022 and 2021 (in thousands):</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84"/>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5"/>
          </w:tcPr>
          <w:p>
            <w:pPr>
              <w:ind w:left="100"/>
              <w:spacing w:after="0"/>
              <w:rPr>
                <w:sz w:val="20"/>
                <w:szCs w:val="20"/>
                <w:color w:val="auto"/>
              </w:rPr>
            </w:pPr>
            <w:r>
              <w:rPr>
                <w:rFonts w:ascii="Arial" w:cs="Arial" w:eastAsia="Arial" w:hAnsi="Arial"/>
                <w:sz w:val="17"/>
                <w:szCs w:val="17"/>
                <w:b w:val="1"/>
                <w:bCs w:val="1"/>
                <w:color w:val="auto"/>
              </w:rPr>
              <w:t>Three Months Ended September 30,</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5"/>
        </w:trPr>
        <w:tc>
          <w:tcPr>
            <w:tcW w:w="63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Change</w:t>
            </w:r>
          </w:p>
        </w:tc>
      </w:tr>
      <w:tr>
        <w:trPr>
          <w:trHeight w:val="23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and cost of goods sold</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Ethanol sales and related products, net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55"/>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Hydrocarbon revenue</w:t>
            </w: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Renewable natural gas commodity</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309</w:t>
            </w:r>
          </w:p>
        </w:tc>
      </w:tr>
      <w:tr>
        <w:trPr>
          <w:trHeight w:val="241"/>
        </w:trPr>
        <w:tc>
          <w:tcPr>
            <w:tcW w:w="6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41"/>
        </w:trPr>
        <w:tc>
          <w:tcPr>
            <w:tcW w:w="6320" w:type="dxa"/>
            <w:vAlign w:val="bottom"/>
          </w:tcPr>
          <w:p>
            <w:pPr>
              <w:ind w:left="140"/>
              <w:spacing w:after="0"/>
              <w:rPr>
                <w:sz w:val="20"/>
                <w:szCs w:val="20"/>
                <w:color w:val="auto"/>
              </w:rPr>
            </w:pPr>
            <w:r>
              <w:rPr>
                <w:rFonts w:ascii="Arial" w:cs="Arial" w:eastAsia="Arial" w:hAnsi="Arial"/>
                <w:sz w:val="17"/>
                <w:szCs w:val="17"/>
                <w:color w:val="auto"/>
              </w:rPr>
              <w:t>Cost of production</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(2,060)</w:t>
            </w:r>
          </w:p>
        </w:tc>
      </w:tr>
      <w:tr>
        <w:trPr>
          <w:trHeight w:val="255"/>
        </w:trPr>
        <w:tc>
          <w:tcPr>
            <w:tcW w:w="6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Idle facility costs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r>
      <w:tr>
        <w:trPr>
          <w:trHeight w:val="242"/>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41"/>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 of goods sold</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3,898</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3,482</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r>
      <w:tr>
        <w:trPr>
          <w:trHeight w:val="241"/>
        </w:trPr>
        <w:tc>
          <w:tcPr>
            <w:tcW w:w="6320" w:type="dxa"/>
            <w:vAlign w:val="bottom"/>
          </w:tcPr>
          <w:p>
            <w:pPr>
              <w:ind w:left="560"/>
              <w:spacing w:after="0"/>
              <w:rPr>
                <w:sz w:val="20"/>
                <w:szCs w:val="20"/>
                <w:color w:val="auto"/>
              </w:rPr>
            </w:pPr>
            <w:r>
              <w:rPr>
                <w:rFonts w:ascii="Arial" w:cs="Arial" w:eastAsia="Arial" w:hAnsi="Arial"/>
                <w:sz w:val="17"/>
                <w:szCs w:val="17"/>
                <w:color w:val="auto"/>
              </w:rPr>
              <w:t>Gross loss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(3,589)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(227)</w:t>
            </w:r>
          </w:p>
        </w:tc>
      </w:tr>
      <w:tr>
        <w:trPr>
          <w:trHeight w:val="25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Research and development expense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1,495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55"/>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w:t>
            </w: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Preliminary stage project costs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602</w:t>
            </w:r>
          </w:p>
        </w:tc>
      </w:tr>
      <w:tr>
        <w:trPr>
          <w:trHeight w:val="255"/>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operations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w:t>
            </w: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Impairment loss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24,749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24,749</w:t>
            </w:r>
          </w:p>
        </w:tc>
      </w:tr>
      <w:tr>
        <w:trPr>
          <w:trHeight w:val="255"/>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(gain) on disposal of assets</w:t>
            </w: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42"/>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r>
      <w:tr>
        <w:trPr>
          <w:trHeight w:val="241"/>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40,080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11,372</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28,708</w:t>
            </w:r>
          </w:p>
        </w:tc>
      </w:tr>
      <w:tr>
        <w:trPr>
          <w:trHeight w:val="241"/>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(43,669)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(14,734)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(28,935)</w:t>
            </w:r>
          </w:p>
        </w:tc>
      </w:tr>
      <w:tr>
        <w:trPr>
          <w:trHeight w:val="23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2"/>
        </w:trPr>
        <w:tc>
          <w:tcPr>
            <w:tcW w:w="6320" w:type="dxa"/>
            <w:vAlign w:val="bottom"/>
          </w:tcPr>
          <w:p>
            <w:pPr>
              <w:ind w:left="120"/>
              <w:spacing w:after="0"/>
              <w:rPr>
                <w:sz w:val="20"/>
                <w:szCs w:val="20"/>
                <w:color w:val="auto"/>
              </w:rPr>
            </w:pPr>
            <w:r>
              <w:rPr>
                <w:rFonts w:ascii="Arial" w:cs="Arial" w:eastAsia="Arial" w:hAnsi="Arial"/>
                <w:sz w:val="17"/>
                <w:szCs w:val="17"/>
                <w:color w:val="auto"/>
              </w:rPr>
              <w:t>Gain from change in fair value of derivative warrant liability</w:t>
            </w:r>
          </w:p>
        </w:tc>
        <w:tc>
          <w:tcPr>
            <w:tcW w:w="1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5"/>
        </w:trPr>
        <w:tc>
          <w:tcPr>
            <w:tcW w:w="6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r>
      <w:tr>
        <w:trPr>
          <w:trHeight w:val="242"/>
        </w:trPr>
        <w:tc>
          <w:tcPr>
            <w:tcW w:w="6320" w:type="dxa"/>
            <w:vAlign w:val="bottom"/>
          </w:tcPr>
          <w:p>
            <w:pPr>
              <w:ind w:left="120"/>
              <w:spacing w:after="0"/>
              <w:rPr>
                <w:sz w:val="20"/>
                <w:szCs w:val="20"/>
                <w:color w:val="auto"/>
              </w:rPr>
            </w:pPr>
            <w:r>
              <w:rPr>
                <w:rFonts w:ascii="Arial" w:cs="Arial" w:eastAsia="Arial" w:hAnsi="Arial"/>
                <w:sz w:val="17"/>
                <w:szCs w:val="17"/>
                <w:color w:val="auto"/>
              </w:rPr>
              <w:t>Interest and dividend income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641</w:t>
            </w:r>
          </w:p>
        </w:tc>
      </w:tr>
      <w:tr>
        <w:trPr>
          <w:trHeight w:val="248"/>
        </w:trPr>
        <w:tc>
          <w:tcPr>
            <w:tcW w:w="6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41"/>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other income (expense), net</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w:t>
            </w:r>
          </w:p>
        </w:tc>
      </w:tr>
      <w:tr>
        <w:trPr>
          <w:trHeight w:val="273"/>
        </w:trPr>
        <w:tc>
          <w:tcPr>
            <w:tcW w:w="6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(43,786)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(14,380)</w:t>
            </w:r>
          </w:p>
        </w:tc>
        <w:tc>
          <w:tcPr>
            <w:tcW w:w="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(29,406)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60" w:firstLine="470"/>
        <w:spacing w:after="0" w:line="313"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During the three months ended September 30, 2022, we sold 41,791 MMBtu of RNG from our RNG Project. Revenue increased $0.2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three months ended September 30, 2022, compared to the three months ended September 30, 2021, which consisted of ethanol, isobutanol and hydrocarbon originating from our Luverne Facility. In the third quarter of 2022, our RNG production began ramping up resulting in biogas commodity sales of $0.3 million, while the activities at our Luverne Facility were minimized to care and maintenance, as we have shifted focus to our Net Zero projects.</w:t>
      </w:r>
    </w:p>
    <w:p>
      <w:pPr>
        <w:spacing w:after="0" w:line="172"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i w:val="1"/>
          <w:iCs w:val="1"/>
          <w:color w:val="auto"/>
        </w:rPr>
        <w:t xml:space="preserve">Cost of production. </w:t>
      </w:r>
      <w:r>
        <w:rPr>
          <w:rFonts w:ascii="Arial" w:cs="Arial" w:eastAsia="Arial" w:hAnsi="Arial"/>
          <w:sz w:val="17"/>
          <w:szCs w:val="17"/>
          <w:color w:val="auto"/>
        </w:rPr>
        <w:t>Cost of production decreased $2.1 million during the three months ended September 30, 2022,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primarily due to moving the Luverne Facility to care and maintenance status.</w:t>
      </w:r>
    </w:p>
    <w:p>
      <w:pPr>
        <w:spacing w:after="0" w:line="184"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i w:val="1"/>
          <w:iCs w:val="1"/>
          <w:color w:val="auto"/>
        </w:rPr>
        <w:t xml:space="preserve">Idle facility costs. </w:t>
      </w:r>
      <w:r>
        <w:rPr>
          <w:rFonts w:ascii="Arial" w:cs="Arial" w:eastAsia="Arial" w:hAnsi="Arial"/>
          <w:sz w:val="17"/>
          <w:szCs w:val="17"/>
          <w:color w:val="auto"/>
        </w:rPr>
        <w:t>We incurred $2.3 million of idle facility costs during the three months ended September 30, 2022, due to putting our Luverne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into care and maintenance status in the third quarter of 2022. Included in idle facility costs are charges related to removing flammable and other hazardous items from the site, writing off certain patents related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3" w:name="page34"/>
    <w:bookmarkEnd w:id="33"/>
    <w:p>
      <w:pPr>
        <w:ind w:right="260"/>
        <w:spacing w:after="0" w:line="272" w:lineRule="auto"/>
        <w:rPr>
          <w:sz w:val="20"/>
          <w:szCs w:val="20"/>
          <w:color w:val="auto"/>
        </w:rPr>
      </w:pPr>
      <w:r>
        <w:rPr>
          <w:rFonts w:ascii="Arial" w:cs="Arial" w:eastAsia="Arial" w:hAnsi="Arial"/>
          <w:sz w:val="17"/>
          <w:szCs w:val="17"/>
          <w:color w:val="auto"/>
        </w:rPr>
        <w:t>to production at the Luverne Facility and costs related to the workforce adjustments. We plan to utilize the Luverne Facility to advance our technology and operational knowledge to help us in achieving operational success as we scale up the production and delivery of SAF for our customers through our Net-Zero Projects.</w:t>
      </w:r>
    </w:p>
    <w:p>
      <w:pPr>
        <w:spacing w:after="0" w:line="198" w:lineRule="exact"/>
        <w:rPr>
          <w:sz w:val="20"/>
          <w:szCs w:val="20"/>
          <w:color w:val="auto"/>
        </w:rPr>
      </w:pPr>
    </w:p>
    <w:p>
      <w:pPr>
        <w:ind w:right="120" w:firstLine="470"/>
        <w:spacing w:after="0" w:line="32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 cost of goods sold increased $0.1 million during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compared to the three months ended September 30, 2021, mainly due to placing the RNG Project assets into service in third quarter of 2022.</w:t>
      </w:r>
    </w:p>
    <w:p>
      <w:pPr>
        <w:spacing w:after="0" w:line="161" w:lineRule="exact"/>
        <w:rPr>
          <w:sz w:val="20"/>
          <w:szCs w:val="20"/>
          <w:color w:val="auto"/>
        </w:rPr>
      </w:pPr>
    </w:p>
    <w:p>
      <w:pPr>
        <w:jc w:val="both"/>
        <w:ind w:right="140" w:firstLine="470"/>
        <w:spacing w:after="0" w:line="358"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Research and development expense was relatively flat for the three months ended September 30, 2022,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the three months ended September 30, 2021. These costs are primarily employee and consultant related expenses, along with some patent and lab supply costs.</w:t>
      </w:r>
    </w:p>
    <w:p>
      <w:pPr>
        <w:spacing w:after="0" w:line="139"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increased $1.9 million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compared to the three months ended September 30, 2021, primarily due to increases in personnel costs related to strategic hiring and professional fees, as well as non-cash stock-based compensation which reflects higher amortization expense for the stock awards issued in the prior period with higher market values, see Note 15 to the Consolidated Financial Statements for additional information.</w:t>
      </w:r>
    </w:p>
    <w:p>
      <w:pPr>
        <w:spacing w:after="0" w:line="202"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i w:val="1"/>
          <w:iCs w:val="1"/>
          <w:color w:val="auto"/>
        </w:rPr>
        <w:t>Preliminary stage project costs</w:t>
      </w:r>
      <w:r>
        <w:rPr>
          <w:rFonts w:ascii="Arial" w:cs="Arial" w:eastAsia="Arial" w:hAnsi="Arial"/>
          <w:sz w:val="17"/>
          <w:szCs w:val="17"/>
          <w:color w:val="auto"/>
        </w:rPr>
        <w:t>. Preliminary stage project costs are related to our future Net-Zero Projects and Verity project and consist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expenses, preliminary engineering and technical consulting costs. Preliminary stage project costs increased $0.6 million during the three months ended September 30, 2022, compared to the three months ended September 30, 2021, primarily due to increases in personnel costs, consulting, and professional fees for our Net-Zero Projects and Verity project.</w:t>
      </w:r>
    </w:p>
    <w:p>
      <w:pPr>
        <w:spacing w:after="0" w:line="202"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i w:val="1"/>
          <w:iCs w:val="1"/>
          <w:color w:val="auto"/>
        </w:rPr>
        <w:t xml:space="preserve">Other operations. </w:t>
      </w:r>
      <w:r>
        <w:rPr>
          <w:rFonts w:ascii="Arial" w:cs="Arial" w:eastAsia="Arial" w:hAnsi="Arial"/>
          <w:sz w:val="17"/>
          <w:szCs w:val="17"/>
          <w:color w:val="auto"/>
        </w:rPr>
        <w:t>Other operations expense increased $1.3 million during the three months ended September 30, 2022,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primarily due to increases in engineering personnel and other non-capitalizable costs for NZ1.</w:t>
      </w:r>
    </w:p>
    <w:p>
      <w:pPr>
        <w:spacing w:after="0" w:line="184"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i w:val="1"/>
          <w:iCs w:val="1"/>
          <w:color w:val="auto"/>
        </w:rPr>
        <w:t xml:space="preserve">Impairment loss. </w:t>
      </w:r>
      <w:r>
        <w:rPr>
          <w:rFonts w:ascii="Arial" w:cs="Arial" w:eastAsia="Arial" w:hAnsi="Arial"/>
          <w:sz w:val="17"/>
          <w:szCs w:val="17"/>
          <w:color w:val="auto"/>
        </w:rPr>
        <w:t>The Company recorded a $24.7 million impairment loss on long-lived assets, which reduced the carrying value of certain property, plant,</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and a leased ROU asset, at the Agri-Energy segment to its fair value. The impairments recorded to date relate to the determination to suspend production at the Luverne Facility and shift the plant into an idled, care and maintenance status during the third quarter of 2022. See Note 3 to the Consolidated Financial Statements for additional information.</w:t>
      </w:r>
    </w:p>
    <w:p>
      <w:pPr>
        <w:spacing w:after="0" w:line="202"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Depreciation and amortization expense increased $0.3 million during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compared to the three months ended September 30, 2021, primarily due to the amortization of our patents.</w:t>
      </w:r>
    </w:p>
    <w:p>
      <w:pPr>
        <w:spacing w:after="0" w:line="184" w:lineRule="exact"/>
        <w:rPr>
          <w:sz w:val="20"/>
          <w:szCs w:val="20"/>
          <w:color w:val="auto"/>
        </w:rPr>
      </w:pPr>
    </w:p>
    <w:p>
      <w:pPr>
        <w:jc w:val="both"/>
        <w:ind w:right="60" w:firstLine="470"/>
        <w:spacing w:after="0" w:line="272" w:lineRule="auto"/>
        <w:rPr>
          <w:sz w:val="20"/>
          <w:szCs w:val="20"/>
          <w:color w:val="auto"/>
        </w:rPr>
      </w:pPr>
      <w:r>
        <w:rPr>
          <w:rFonts w:ascii="Arial" w:cs="Arial" w:eastAsia="Arial" w:hAnsi="Arial"/>
          <w:sz w:val="17"/>
          <w:szCs w:val="17"/>
          <w:i w:val="1"/>
          <w:iCs w:val="1"/>
          <w:color w:val="auto"/>
        </w:rPr>
        <w:t>Loss from operations</w:t>
      </w:r>
      <w:r>
        <w:rPr>
          <w:rFonts w:ascii="Arial" w:cs="Arial" w:eastAsia="Arial" w:hAnsi="Arial"/>
          <w:sz w:val="17"/>
          <w:szCs w:val="17"/>
          <w:color w:val="auto"/>
        </w:rPr>
        <w:t>. Excluding the one-time charge of $24.7 million for impairment, our loss from operations increased by $4.2 million during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2022, compared to the three months ended September 30, 2021, primarily due to the increased activities for our Net-Zero Projects and Verity project, as well as non-capitalizable cost for NZ1.</w:t>
      </w:r>
    </w:p>
    <w:p>
      <w:pPr>
        <w:spacing w:after="0" w:line="198"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$0.6 million during the three months ended September 30, 2022,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primarily due to the interest on the RNG bonds and the imputed interest on our RNG-related dairy leases, both of which were capitalized into construction in process during the construction phase of our RNG Project in the previous periods.</w:t>
      </w:r>
    </w:p>
    <w:p>
      <w:pPr>
        <w:spacing w:after="0" w:line="198"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increased $0.6 million during the three months ended September 30, 2022,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2021, primarily due to the interest earned on our investments.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Other income (expense)</w:t>
      </w:r>
      <w:r>
        <w:rPr>
          <w:rFonts w:ascii="Arial" w:cs="Arial" w:eastAsia="Arial" w:hAnsi="Arial"/>
          <w:sz w:val="15"/>
          <w:szCs w:val="15"/>
          <w:color w:val="auto"/>
        </w:rPr>
        <w:t>. Other income (expense) for the three months ended September 30, 2022, consists primarily of losses on disposal of fixed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4" w:name="page35"/>
    <w:bookmarkEnd w:id="34"/>
    <w:p>
      <w:pPr>
        <w:ind w:left="480"/>
        <w:spacing w:after="0"/>
        <w:rPr>
          <w:sz w:val="20"/>
          <w:szCs w:val="20"/>
          <w:color w:val="auto"/>
        </w:rPr>
      </w:pPr>
      <w:r>
        <w:rPr>
          <w:rFonts w:ascii="Arial" w:cs="Arial" w:eastAsia="Arial" w:hAnsi="Arial"/>
          <w:sz w:val="17"/>
          <w:szCs w:val="17"/>
          <w:b w:val="1"/>
          <w:bCs w:val="1"/>
          <w:color w:val="auto"/>
        </w:rPr>
        <w:t>Comparison of the Nine Months Ended September 30, 2022 and 2021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gridSpan w:val="5"/>
          </w:tcPr>
          <w:p>
            <w:pPr>
              <w:ind w:left="180"/>
              <w:spacing w:after="0"/>
              <w:rPr>
                <w:sz w:val="20"/>
                <w:szCs w:val="20"/>
                <w:color w:val="auto"/>
              </w:rPr>
            </w:pPr>
            <w:r>
              <w:rPr>
                <w:rFonts w:ascii="Arial" w:cs="Arial" w:eastAsia="Arial" w:hAnsi="Arial"/>
                <w:sz w:val="17"/>
                <w:szCs w:val="17"/>
                <w:b w:val="1"/>
                <w:bCs w:val="1"/>
                <w:color w:val="auto"/>
              </w:rPr>
              <w:t>Nine Months Ended September 30,</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5"/>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(in thousands)</w:t>
            </w: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Change</w:t>
            </w:r>
          </w:p>
        </w:tc>
      </w:tr>
      <w:tr>
        <w:trPr>
          <w:trHeight w:val="235"/>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and cost of goods sold</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2"/>
        </w:trPr>
        <w:tc>
          <w:tcPr>
            <w:tcW w:w="6300" w:type="dxa"/>
            <w:vAlign w:val="bottom"/>
          </w:tcPr>
          <w:p>
            <w:pPr>
              <w:ind w:left="140"/>
              <w:spacing w:after="0"/>
              <w:rPr>
                <w:sz w:val="20"/>
                <w:szCs w:val="20"/>
                <w:color w:val="auto"/>
              </w:rPr>
            </w:pPr>
            <w:r>
              <w:rPr>
                <w:rFonts w:ascii="Arial" w:cs="Arial" w:eastAsia="Arial" w:hAnsi="Arial"/>
                <w:sz w:val="17"/>
                <w:szCs w:val="17"/>
                <w:color w:val="auto"/>
              </w:rPr>
              <w:t>Ethanol sales and related products, net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21"/>
                <w:szCs w:val="21"/>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55"/>
        </w:trPr>
        <w:tc>
          <w:tcPr>
            <w:tcW w:w="6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Hydrocarbon revenue</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242"/>
        </w:trPr>
        <w:tc>
          <w:tcPr>
            <w:tcW w:w="6300" w:type="dxa"/>
            <w:vAlign w:val="bottom"/>
          </w:tcPr>
          <w:p>
            <w:pPr>
              <w:ind w:left="140"/>
              <w:spacing w:after="0"/>
              <w:rPr>
                <w:sz w:val="20"/>
                <w:szCs w:val="20"/>
                <w:color w:val="auto"/>
              </w:rPr>
            </w:pPr>
            <w:r>
              <w:rPr>
                <w:rFonts w:ascii="Arial" w:cs="Arial" w:eastAsia="Arial" w:hAnsi="Arial"/>
                <w:sz w:val="17"/>
                <w:szCs w:val="17"/>
                <w:color w:val="auto"/>
              </w:rPr>
              <w:t>Renewable natural gas commodity</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309</w:t>
            </w:r>
          </w:p>
        </w:tc>
      </w:tr>
      <w:tr>
        <w:trPr>
          <w:trHeight w:val="241"/>
        </w:trPr>
        <w:tc>
          <w:tcPr>
            <w:tcW w:w="6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41"/>
        </w:trPr>
        <w:tc>
          <w:tcPr>
            <w:tcW w:w="6300" w:type="dxa"/>
            <w:vAlign w:val="bottom"/>
          </w:tcPr>
          <w:p>
            <w:pPr>
              <w:ind w:left="140"/>
              <w:spacing w:after="0"/>
              <w:rPr>
                <w:sz w:val="20"/>
                <w:szCs w:val="20"/>
                <w:color w:val="auto"/>
              </w:rPr>
            </w:pPr>
            <w:r>
              <w:rPr>
                <w:rFonts w:ascii="Arial" w:cs="Arial" w:eastAsia="Arial" w:hAnsi="Arial"/>
                <w:sz w:val="17"/>
                <w:szCs w:val="17"/>
                <w:color w:val="auto"/>
              </w:rPr>
              <w:t>Cost of production</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5,242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346</w:t>
            </w:r>
          </w:p>
        </w:tc>
      </w:tr>
      <w:tr>
        <w:trPr>
          <w:trHeight w:val="255"/>
        </w:trPr>
        <w:tc>
          <w:tcPr>
            <w:tcW w:w="6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Idle facility costs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r>
      <w:tr>
        <w:trPr>
          <w:trHeight w:val="242"/>
        </w:trPr>
        <w:tc>
          <w:tcPr>
            <w:tcW w:w="63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41"/>
        </w:trPr>
        <w:tc>
          <w:tcPr>
            <w:tcW w:w="6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 of goods sold</w:t>
            </w:r>
          </w:p>
        </w:tc>
        <w:tc>
          <w:tcPr>
            <w:tcW w:w="3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2,731</w:t>
            </w:r>
          </w:p>
        </w:tc>
      </w:tr>
      <w:tr>
        <w:trPr>
          <w:trHeight w:val="241"/>
        </w:trPr>
        <w:tc>
          <w:tcPr>
            <w:tcW w:w="6300" w:type="dxa"/>
            <w:vAlign w:val="bottom"/>
          </w:tcPr>
          <w:p>
            <w:pPr>
              <w:ind w:left="560"/>
              <w:spacing w:after="0"/>
              <w:rPr>
                <w:sz w:val="20"/>
                <w:szCs w:val="20"/>
                <w:color w:val="auto"/>
              </w:rPr>
            </w:pPr>
            <w:r>
              <w:rPr>
                <w:rFonts w:ascii="Arial" w:cs="Arial" w:eastAsia="Arial" w:hAnsi="Arial"/>
                <w:sz w:val="17"/>
                <w:szCs w:val="17"/>
                <w:color w:val="auto"/>
              </w:rPr>
              <w:t>Gross loss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(10,371)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(2,580)</w:t>
            </w:r>
          </w:p>
        </w:tc>
      </w:tr>
      <w:tr>
        <w:trPr>
          <w:trHeight w:val="255"/>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2"/>
        </w:trPr>
        <w:tc>
          <w:tcPr>
            <w:tcW w:w="6300" w:type="dxa"/>
            <w:vAlign w:val="bottom"/>
          </w:tcPr>
          <w:p>
            <w:pPr>
              <w:ind w:left="140"/>
              <w:spacing w:after="0"/>
              <w:rPr>
                <w:sz w:val="20"/>
                <w:szCs w:val="20"/>
                <w:color w:val="auto"/>
              </w:rPr>
            </w:pPr>
            <w:r>
              <w:rPr>
                <w:rFonts w:ascii="Arial" w:cs="Arial" w:eastAsia="Arial" w:hAnsi="Arial"/>
                <w:sz w:val="17"/>
                <w:szCs w:val="17"/>
                <w:color w:val="auto"/>
              </w:rPr>
              <w:t>Research and development expense</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4,720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515</w:t>
            </w:r>
          </w:p>
        </w:tc>
      </w:tr>
      <w:tr>
        <w:trPr>
          <w:trHeight w:val="255"/>
        </w:trPr>
        <w:tc>
          <w:tcPr>
            <w:tcW w:w="6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29,205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11,258</w:t>
            </w:r>
          </w:p>
        </w:tc>
      </w:tr>
      <w:tr>
        <w:trPr>
          <w:trHeight w:val="242"/>
        </w:trPr>
        <w:tc>
          <w:tcPr>
            <w:tcW w:w="6300" w:type="dxa"/>
            <w:vAlign w:val="bottom"/>
          </w:tcPr>
          <w:p>
            <w:pPr>
              <w:ind w:left="140"/>
              <w:spacing w:after="0"/>
              <w:rPr>
                <w:sz w:val="20"/>
                <w:szCs w:val="20"/>
                <w:color w:val="auto"/>
              </w:rPr>
            </w:pPr>
            <w:r>
              <w:rPr>
                <w:rFonts w:ascii="Arial" w:cs="Arial" w:eastAsia="Arial" w:hAnsi="Arial"/>
                <w:sz w:val="17"/>
                <w:szCs w:val="17"/>
                <w:color w:val="auto"/>
              </w:rPr>
              <w:t>Preliminary stage project costs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8,512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(6,776)</w:t>
            </w:r>
          </w:p>
        </w:tc>
      </w:tr>
      <w:tr>
        <w:trPr>
          <w:trHeight w:val="255"/>
        </w:trPr>
        <w:tc>
          <w:tcPr>
            <w:tcW w:w="6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operations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3,814</w:t>
            </w:r>
          </w:p>
        </w:tc>
      </w:tr>
      <w:tr>
        <w:trPr>
          <w:trHeight w:val="242"/>
        </w:trPr>
        <w:tc>
          <w:tcPr>
            <w:tcW w:w="6300" w:type="dxa"/>
            <w:vAlign w:val="bottom"/>
          </w:tcPr>
          <w:p>
            <w:pPr>
              <w:ind w:left="140"/>
              <w:spacing w:after="0"/>
              <w:rPr>
                <w:sz w:val="20"/>
                <w:szCs w:val="20"/>
                <w:color w:val="auto"/>
              </w:rPr>
            </w:pPr>
            <w:r>
              <w:rPr>
                <w:rFonts w:ascii="Arial" w:cs="Arial" w:eastAsia="Arial" w:hAnsi="Arial"/>
                <w:sz w:val="17"/>
                <w:szCs w:val="17"/>
                <w:color w:val="auto"/>
              </w:rPr>
              <w:t>Impairment loss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24,749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24,749</w:t>
            </w:r>
          </w:p>
        </w:tc>
      </w:tr>
      <w:tr>
        <w:trPr>
          <w:trHeight w:val="255"/>
        </w:trPr>
        <w:tc>
          <w:tcPr>
            <w:tcW w:w="6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(gain) on disposal of assets</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w:t>
            </w:r>
          </w:p>
        </w:tc>
      </w:tr>
      <w:tr>
        <w:trPr>
          <w:trHeight w:val="242"/>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946</w:t>
            </w:r>
          </w:p>
        </w:tc>
      </w:tr>
      <w:tr>
        <w:trPr>
          <w:trHeight w:val="241"/>
        </w:trPr>
        <w:tc>
          <w:tcPr>
            <w:tcW w:w="6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65,368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35,999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29,369</w:t>
            </w:r>
          </w:p>
        </w:tc>
      </w:tr>
      <w:tr>
        <w:trPr>
          <w:trHeight w:val="241"/>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(75,739)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(43,790)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(31,949)</w:t>
            </w:r>
          </w:p>
        </w:tc>
      </w:tr>
      <w:tr>
        <w:trPr>
          <w:trHeight w:val="235"/>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2"/>
        </w:trPr>
        <w:tc>
          <w:tcPr>
            <w:tcW w:w="6300" w:type="dxa"/>
            <w:vAlign w:val="bottom"/>
          </w:tcPr>
          <w:p>
            <w:pPr>
              <w:ind w:left="120"/>
              <w:spacing w:after="0"/>
              <w:rPr>
                <w:sz w:val="20"/>
                <w:szCs w:val="20"/>
                <w:color w:val="auto"/>
              </w:rPr>
            </w:pPr>
            <w:r>
              <w:rPr>
                <w:rFonts w:ascii="Arial" w:cs="Arial" w:eastAsia="Arial" w:hAnsi="Arial"/>
                <w:sz w:val="17"/>
                <w:szCs w:val="17"/>
                <w:color w:val="auto"/>
              </w:rPr>
              <w:t>Gain (loss) from change in fair value of derivative warrant liability</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55"/>
        </w:trPr>
        <w:tc>
          <w:tcPr>
            <w:tcW w:w="6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r>
      <w:tr>
        <w:trPr>
          <w:trHeight w:val="242"/>
        </w:trPr>
        <w:tc>
          <w:tcPr>
            <w:tcW w:w="6300" w:type="dxa"/>
            <w:vAlign w:val="bottom"/>
          </w:tcPr>
          <w:p>
            <w:pPr>
              <w:ind w:left="120"/>
              <w:spacing w:after="0"/>
              <w:rPr>
                <w:sz w:val="20"/>
                <w:szCs w:val="20"/>
                <w:color w:val="auto"/>
              </w:rPr>
            </w:pPr>
            <w:r>
              <w:rPr>
                <w:rFonts w:ascii="Arial" w:cs="Arial" w:eastAsia="Arial" w:hAnsi="Arial"/>
                <w:sz w:val="17"/>
                <w:szCs w:val="17"/>
                <w:color w:val="auto"/>
              </w:rPr>
              <w:t>Interest and dividend income</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850</w:t>
            </w:r>
          </w:p>
        </w:tc>
      </w:tr>
      <w:tr>
        <w:trPr>
          <w:trHeight w:val="255"/>
        </w:trPr>
        <w:tc>
          <w:tcPr>
            <w:tcW w:w="6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on forgiveness of SBA loan</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r>
      <w:tr>
        <w:trPr>
          <w:trHeight w:val="242"/>
        </w:trPr>
        <w:tc>
          <w:tcPr>
            <w:tcW w:w="63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income (expense), net</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2,428</w:t>
            </w:r>
          </w:p>
        </w:tc>
      </w:tr>
      <w:tr>
        <w:trPr>
          <w:trHeight w:val="241"/>
        </w:trPr>
        <w:tc>
          <w:tcPr>
            <w:tcW w:w="6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income (expense), net</w:t>
            </w:r>
          </w:p>
        </w:tc>
        <w:tc>
          <w:tcPr>
            <w:tcW w:w="3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3,119</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w:t>
            </w:r>
          </w:p>
        </w:tc>
      </w:tr>
      <w:tr>
        <w:trPr>
          <w:trHeight w:val="248"/>
        </w:trPr>
        <w:tc>
          <w:tcPr>
            <w:tcW w:w="6300" w:type="dxa"/>
            <w:vAlign w:val="bottom"/>
          </w:tcPr>
          <w:p>
            <w:pPr>
              <w:ind w:left="56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(72,620)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(42,690)</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(29,930)</w:t>
            </w: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In the third quarter of 2022, our renewable natural gas production began ramping up resulting in biogas commodity sales of $0.3 million, while</w:t>
      </w:r>
      <w:r>
        <w:rPr>
          <w:rFonts w:ascii="Arial" w:cs="Arial" w:eastAsia="Arial" w:hAnsi="Arial"/>
          <w:sz w:val="17"/>
          <w:szCs w:val="17"/>
          <w:i w:val="1"/>
          <w:iCs w:val="1"/>
          <w:color w:val="auto"/>
        </w:rPr>
        <w:t xml:space="preserve"> </w:t>
      </w:r>
      <w:r>
        <w:rPr>
          <w:rFonts w:ascii="Arial" w:cs="Arial" w:eastAsia="Arial" w:hAnsi="Arial"/>
          <w:sz w:val="17"/>
          <w:szCs w:val="17"/>
          <w:color w:val="auto"/>
        </w:rPr>
        <w:t>the activities at our Luverne Facility were minimized to care and maintenance status as we have shifted focus to our Net-Zero Projects. During the nine months ended September 30, 2022, compared to the nine months ended September 30, 2021, revenue increased $0.2 million.</w:t>
      </w:r>
    </w:p>
    <w:p>
      <w:pPr>
        <w:spacing w:after="0" w:line="198"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i w:val="1"/>
          <w:iCs w:val="1"/>
          <w:color w:val="auto"/>
        </w:rPr>
        <w:t xml:space="preserve">Cost of production. </w:t>
      </w:r>
      <w:r>
        <w:rPr>
          <w:rFonts w:ascii="Arial" w:cs="Arial" w:eastAsia="Arial" w:hAnsi="Arial"/>
          <w:sz w:val="17"/>
          <w:szCs w:val="17"/>
          <w:color w:val="auto"/>
        </w:rPr>
        <w:t>Cost of production increased $0.3 million during the nine months ended September 30, 2022, compared to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primarily due to the costs related to RNG production and sales from our RNG Project.</w:t>
      </w:r>
    </w:p>
    <w:p>
      <w:pPr>
        <w:spacing w:after="0" w:line="184"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i w:val="1"/>
          <w:iCs w:val="1"/>
          <w:color w:val="auto"/>
        </w:rPr>
        <w:t xml:space="preserve">Idle facility costs. </w:t>
      </w:r>
      <w:r>
        <w:rPr>
          <w:rFonts w:ascii="Arial" w:cs="Arial" w:eastAsia="Arial" w:hAnsi="Arial"/>
          <w:sz w:val="17"/>
          <w:szCs w:val="17"/>
          <w:color w:val="auto"/>
        </w:rPr>
        <w:t>We incurred $2.3 million of idle facility costs during the nine months ended September 30, 2022, due to putting our Luverne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into care and maintenance status in the third quarter of 2022. Included in idle facility costs are charges related to removing flammable and other hazardous items from the site, writing off certain patents related to production at the Luverne Facility and costs related to the workforce adjustments. We plan to utilize the Luverne Facility to advance our technology and operational knowledge to help us in achieving operational success as we scale up the production and delivery of SAF for our customers through our Net-Zero Projects.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5" w:name="page36"/>
    <w:bookmarkEnd w:id="35"/>
    <w:p>
      <w:pPr>
        <w:spacing w:after="0" w:line="177"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 cost of goods sold was relatively flat with a minor increase of $0.1 million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2022, compared to the nine months ended September 30, 2021.</w:t>
      </w:r>
    </w:p>
    <w:p>
      <w:pPr>
        <w:spacing w:after="0" w:line="184" w:lineRule="exact"/>
        <w:rPr>
          <w:sz w:val="20"/>
          <w:szCs w:val="20"/>
          <w:color w:val="auto"/>
        </w:rPr>
      </w:pPr>
    </w:p>
    <w:p>
      <w:pPr>
        <w:ind w:right="400" w:firstLine="470"/>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increased $0.5 million during the nine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2021, primarily due to an increase in patent and personnel related costs, as well as lab supplies, partially offset by a reduction of consulting expenses.</w:t>
      </w:r>
    </w:p>
    <w:p>
      <w:pPr>
        <w:spacing w:after="0" w:line="198"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increased $11.3 million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compared to the nine months ended September 30, 2021, primarily due to increases in personnel costs related to strategic hiring and professional fees, as well as non-cash stock-based compensation which reflects higher amortization expense for the stock awards issued in the prior period with higher market value, see Note 15 to the Consolidated Financial Statements for additional information.</w:t>
      </w:r>
    </w:p>
    <w:p>
      <w:pPr>
        <w:spacing w:after="0" w:line="202"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i w:val="1"/>
          <w:iCs w:val="1"/>
          <w:color w:val="auto"/>
        </w:rPr>
        <w:t>Preliminary stage project costs</w:t>
      </w:r>
      <w:r>
        <w:rPr>
          <w:rFonts w:ascii="Arial" w:cs="Arial" w:eastAsia="Arial" w:hAnsi="Arial"/>
          <w:sz w:val="17"/>
          <w:szCs w:val="17"/>
          <w:color w:val="auto"/>
        </w:rPr>
        <w:t>. Preliminary stage project costs in 2022 are related to our future Net-Zero Projects and Verity project and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expense, preliminary engineering and technical consulting costs. Preliminary stage project costs decreased $6.8 million during the nine months ended September 30, 2022, compared to the nine months ended September 30, 2021, primarily because we began capitalizing our RNG Project and NZ1 project costs in 2021.</w:t>
      </w:r>
    </w:p>
    <w:p>
      <w:pPr>
        <w:spacing w:after="0" w:line="202" w:lineRule="exact"/>
        <w:rPr>
          <w:sz w:val="20"/>
          <w:szCs w:val="20"/>
          <w:color w:val="auto"/>
        </w:rPr>
      </w:pPr>
    </w:p>
    <w:p>
      <w:pPr>
        <w:ind w:right="460" w:firstLine="470"/>
        <w:spacing w:after="0" w:line="321" w:lineRule="auto"/>
        <w:rPr>
          <w:sz w:val="20"/>
          <w:szCs w:val="20"/>
          <w:color w:val="auto"/>
        </w:rPr>
      </w:pPr>
      <w:r>
        <w:rPr>
          <w:rFonts w:ascii="Arial" w:cs="Arial" w:eastAsia="Arial" w:hAnsi="Arial"/>
          <w:sz w:val="16"/>
          <w:szCs w:val="16"/>
          <w:i w:val="1"/>
          <w:iCs w:val="1"/>
          <w:color w:val="auto"/>
        </w:rPr>
        <w:t xml:space="preserve">Other operations. </w:t>
      </w:r>
      <w:r>
        <w:rPr>
          <w:rFonts w:ascii="Arial" w:cs="Arial" w:eastAsia="Arial" w:hAnsi="Arial"/>
          <w:sz w:val="16"/>
          <w:szCs w:val="16"/>
          <w:color w:val="auto"/>
        </w:rPr>
        <w:t>Other operations expense increased $3.8 million during the nine months ended September 30, 2022, compared to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2021. Other operations costs are primarily costs related to engineering personnel and other non-capitalizable costs.</w:t>
      </w:r>
    </w:p>
    <w:p>
      <w:pPr>
        <w:spacing w:after="0" w:line="161"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i w:val="1"/>
          <w:iCs w:val="1"/>
          <w:color w:val="auto"/>
        </w:rPr>
        <w:t xml:space="preserve">Impairment loss. </w:t>
      </w:r>
      <w:r>
        <w:rPr>
          <w:rFonts w:ascii="Arial" w:cs="Arial" w:eastAsia="Arial" w:hAnsi="Arial"/>
          <w:sz w:val="17"/>
          <w:szCs w:val="17"/>
          <w:color w:val="auto"/>
        </w:rPr>
        <w:t>The Company recorded a $24.7 million impairment loss on long-lived assets, which reduced the carrying value of certain property, plant,</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and a leased ROU asset, at the Agri-Energy segment to its fair value. The impairments recorded to date relate to the determination to suspend production at the Luverne Facility and shift the plant into an idled, care and maintenance status during the third quarter of 2022. See Note 3 to the Consolidated Financial Statements for additional information.</w:t>
      </w:r>
    </w:p>
    <w:p>
      <w:pPr>
        <w:spacing w:after="0" w:line="202"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Depreciation and amortization expense increased $0.9 million during the nine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2021, primarily due to the amortization of our patents.</w:t>
      </w:r>
    </w:p>
    <w:p>
      <w:pPr>
        <w:spacing w:after="0" w:line="184" w:lineRule="exact"/>
        <w:rPr>
          <w:sz w:val="20"/>
          <w:szCs w:val="20"/>
          <w:color w:val="auto"/>
        </w:rPr>
      </w:pPr>
    </w:p>
    <w:p>
      <w:pPr>
        <w:jc w:val="both"/>
        <w:ind w:right="120" w:firstLine="470"/>
        <w:spacing w:after="0" w:line="272" w:lineRule="auto"/>
        <w:rPr>
          <w:sz w:val="20"/>
          <w:szCs w:val="20"/>
          <w:color w:val="auto"/>
        </w:rPr>
      </w:pPr>
      <w:r>
        <w:rPr>
          <w:rFonts w:ascii="Arial" w:cs="Arial" w:eastAsia="Arial" w:hAnsi="Arial"/>
          <w:sz w:val="17"/>
          <w:szCs w:val="17"/>
          <w:i w:val="1"/>
          <w:iCs w:val="1"/>
          <w:color w:val="auto"/>
        </w:rPr>
        <w:t>Loss from operations</w:t>
      </w:r>
      <w:r>
        <w:rPr>
          <w:rFonts w:ascii="Arial" w:cs="Arial" w:eastAsia="Arial" w:hAnsi="Arial"/>
          <w:sz w:val="17"/>
          <w:szCs w:val="17"/>
          <w:color w:val="auto"/>
        </w:rPr>
        <w:t>. Excluding the one-time charge of $24.7 million for impairment, the loss from operations increased by $7.2 million during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2022, compared to the nine months ended September 30, 2021, primarily due to the increased activities for our Net-Zero Projects and Verity project, as well as non-capitalizable cost for NZ1.</w:t>
      </w:r>
    </w:p>
    <w:p>
      <w:pPr>
        <w:spacing w:after="0" w:line="198" w:lineRule="exact"/>
        <w:rPr>
          <w:sz w:val="20"/>
          <w:szCs w:val="20"/>
          <w:color w:val="auto"/>
        </w:rPr>
      </w:pPr>
    </w:p>
    <w:p>
      <w:pPr>
        <w:jc w:val="both"/>
        <w:ind w:right="120" w:firstLine="470"/>
        <w:spacing w:after="0" w:line="288" w:lineRule="auto"/>
        <w:rPr>
          <w:sz w:val="20"/>
          <w:szCs w:val="20"/>
          <w:color w:val="auto"/>
        </w:rPr>
      </w:pPr>
      <w:r>
        <w:rPr>
          <w:rFonts w:ascii="Arial" w:cs="Arial" w:eastAsia="Arial" w:hAnsi="Arial"/>
          <w:sz w:val="17"/>
          <w:szCs w:val="17"/>
          <w:i w:val="1"/>
          <w:iCs w:val="1"/>
          <w:color w:val="auto"/>
        </w:rPr>
        <w:t xml:space="preserve">Gain (loss) from change in fair value derivative warrant liability. </w:t>
      </w:r>
      <w:r>
        <w:rPr>
          <w:rFonts w:ascii="Arial" w:cs="Arial" w:eastAsia="Arial" w:hAnsi="Arial"/>
          <w:sz w:val="17"/>
          <w:szCs w:val="17"/>
          <w:color w:val="auto"/>
        </w:rPr>
        <w:t>We incurred a minimal change in the fair value of the derivative warrant liability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2022. The last of the liability warrants expired in February 2022.</w:t>
      </w:r>
    </w:p>
    <w:p>
      <w:pPr>
        <w:spacing w:after="0" w:line="184" w:lineRule="exact"/>
        <w:rPr>
          <w:sz w:val="20"/>
          <w:szCs w:val="20"/>
          <w:color w:val="auto"/>
        </w:rPr>
      </w:pPr>
    </w:p>
    <w:p>
      <w:pPr>
        <w:ind w:right="480" w:firstLine="470"/>
        <w:spacing w:after="0" w:line="272"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$0.6 million during the nine months ended September 30, 2022, compared to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primarily due to the interest on the RNG Project bonds and the imputed interest on our RNG-related dairy leases, both of which were capitalized into construction in process during the construction phase of our RNG Project in the prior periods.</w:t>
      </w:r>
    </w:p>
    <w:p>
      <w:pPr>
        <w:spacing w:after="0" w:line="198"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increased $0.9 million during the nine months ended September 30, 2022,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2021, primarily due to the interest earned on our investments.</w:t>
      </w:r>
    </w:p>
    <w:p>
      <w:pPr>
        <w:spacing w:after="0" w:line="184" w:lineRule="exact"/>
        <w:rPr>
          <w:sz w:val="20"/>
          <w:szCs w:val="20"/>
          <w:color w:val="auto"/>
        </w:rPr>
      </w:pPr>
    </w:p>
    <w:p>
      <w:pPr>
        <w:jc w:val="both"/>
        <w:ind w:right="80" w:firstLine="470"/>
        <w:spacing w:after="0" w:line="272"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 Other income (expense) increased $2.4 million during the nine months ended September 30, 2022, compared to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primarily due to our receipt of $2.9 million from the U.S. Department of Agriculture's Biofuel Producer Program to support biofuel producers who faced unexpected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losses due to the COVID-19 pandemic, partially offset by a loss on disposal of fixed assets. The Biofuel Producer Program grants are not tax-exempt.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5"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There have been no significant changes to our critical accounting estimates since December 31, 2021, and no significant changes to our critical accounting policies other than as described below. For a description of our other critical accounting policies and estimates that affect our significant judgments and estimates used in the preparation of our consolidated financial statements, refer to “Management's Discussion and Analysis of Financial Condition and Results of Operations—Critical Accounting Estimates” contained in our 2021 Annual Report.</w:t>
      </w:r>
    </w:p>
    <w:p>
      <w:pPr>
        <w:spacing w:after="0" w:line="202"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Our unaudited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36"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In the third quarter of 2022, we began realizing revenues from RNG provided under long-term agreements with customers. Additional revenues from environmental attributes are expected to be realized later in 2022. The revenue recognition methodology is consistent with those from other products whereas all revenue is recognized at a point in time when we satisfy our performance obligations under the contract by transferring the product to the customer, as the customer obtains control of the product upon delivery.</w:t>
      </w:r>
    </w:p>
    <w:p>
      <w:pPr>
        <w:spacing w:after="0" w:line="202"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Revenue is measured as the amount of consideration we expect to receive in exchange for transferring our products. There is no variable consideration present in our performance obligations as consideration for the transaction is based upon current market pricing obtained from defined third party markets during the period in which the delivery was made.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RINs</w:t>
      </w:r>
    </w:p>
    <w:p>
      <w:pPr>
        <w:spacing w:after="0" w:line="249" w:lineRule="exact"/>
        <w:rPr>
          <w:sz w:val="20"/>
          <w:szCs w:val="20"/>
          <w:color w:val="auto"/>
        </w:rPr>
      </w:pPr>
    </w:p>
    <w:p>
      <w:pPr>
        <w:ind w:right="180" w:firstLine="470"/>
        <w:spacing w:after="0" w:line="263" w:lineRule="auto"/>
        <w:rPr>
          <w:sz w:val="20"/>
          <w:szCs w:val="20"/>
          <w:color w:val="auto"/>
        </w:rPr>
      </w:pPr>
      <w:r>
        <w:rPr>
          <w:rFonts w:ascii="Arial" w:cs="Arial" w:eastAsia="Arial" w:hAnsi="Arial"/>
          <w:sz w:val="17"/>
          <w:szCs w:val="17"/>
          <w:color w:val="auto"/>
        </w:rPr>
        <w:t>We generate D3 RINs through our production of RNG used for transportation purposes as prescribed under the RFS program. We consider RINs to be a distinguishable product that is generated as an integral component of our production process of RNG, as the RINs that we generate can be separated from the underlying commodity and may be sold independently from the RNG produced. As such, we consider RINs to be a co-product of the production of RNG and accordingly allocate our costs of production based on the relative sales value of all revenue items for our RNG Project operations. Revenue is recognized on these environmental attributes when there is an agreement in place to monetize the credits at an agreed upon price with a customer based upon defined third party market prices and a transfer of control has occurred.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LCFS Credits</w:t>
      </w:r>
    </w:p>
    <w:p>
      <w:pPr>
        <w:spacing w:after="0" w:line="249" w:lineRule="exact"/>
        <w:rPr>
          <w:sz w:val="20"/>
          <w:szCs w:val="20"/>
          <w:color w:val="auto"/>
        </w:rPr>
      </w:pPr>
    </w:p>
    <w:p>
      <w:pPr>
        <w:ind w:right="200" w:firstLine="470"/>
        <w:spacing w:after="0" w:line="282" w:lineRule="auto"/>
        <w:rPr>
          <w:sz w:val="20"/>
          <w:szCs w:val="20"/>
          <w:color w:val="auto"/>
        </w:rPr>
      </w:pPr>
      <w:r>
        <w:rPr>
          <w:rFonts w:ascii="Arial" w:cs="Arial" w:eastAsia="Arial" w:hAnsi="Arial"/>
          <w:sz w:val="16"/>
          <w:szCs w:val="16"/>
          <w:color w:val="auto"/>
        </w:rPr>
        <w:t>We generate LCFS Credits through our production of RNG used for transportation purposes as prescribed under the Low Carbon Fuel Standard in the state of California. We consider LCFS Credits to be a distinguishable product that is generated as an integral component of our production process of RNG, as the LCFS Credits that we generate can be separated from the underlying commodity and may be sold independently from the RNG produced. As such, we consider LCFS Credits to be a co-product of the production of RNG and accordingly allocate our costs of production based on the relative sales value of all revenue items for our Gevo RNG operations. Revenue is recognized on these environmental attributes when there is an agreement in place to monetize the credits at an agreed upon price with a customer based upon defined third party market prices and a transfer of control has occurred.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2022, we did not have any material off-balance sheet arrangements.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55"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color w:val="auto"/>
        </w:rPr>
        <w:t>See “Notes to Condensed Consolidated Financial Statements —2. Summary of Significant Accounting Policies” included in Part II, Item 8 of our 2021 Annual Report for a discussion of recent accounting pronouncements.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As of September 30, 2022, we had cash and cash equivalents of $200.6 million, short and long-term restricted cash of $77.9 million and short-term marketable securities of $222.0 million. As of September 30, 2022, we have net working capital of $414.1 million, with $17.6 million of current liabilities. The marketable securities are highly liquid and can be converted to cash when needed for operations and construction. We expect to use our cash, cash equivalents, restricted cash and marketable securities for the following purposes: (i) identification, development, acquisition and construction of new production facilities and to plan for expanded production to fulfill existing off-take agreements for NZ1 and the Company's other Net-Zero Projects; (ii) potential investment in RNG projects; (iii) potential development of the Luverne Facility; (iv) development, acquisition and operation of sustainable alcohol-to-SAF plants to produce SAF alone or with partners; (v) operating activities at the Company's corporate headquarters in Colorado, including research and development work; (vi) exploration of strategic alternatives and additional financing, including project financing; and (vii)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spacing w:after="0" w:line="195"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We have financed our operations primarily with proceeds from the issuance of equity, debt securities, and borrowings under debt facilities.</w:t>
      </w:r>
    </w:p>
    <w:p>
      <w:pPr>
        <w:spacing w:after="0" w:line="202"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The Company's transition to profitability is dependent upon, among other things, the successful development and commercialization of its product candidates, the development, acquisition and construction of commercial level production facilities to support that Company's off-take agreements, the achievement of a level of revenues adequate to support the Company's cost structure, and the ability to raise capital to finance the development, acquisition, and construction of additional productions facilities.</w:t>
      </w:r>
    </w:p>
    <w:p>
      <w:pPr>
        <w:spacing w:after="0" w:line="20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January 2022, the Company’s stockholders voted to amend the Certificate of Incorporation to increase the total number of authorized shares of common stock from 250 million shares to 500 million shares. Management intends to fund future operations through additional private and/or public offerings of debt or equity securities. In addition, the Company may seek additional capital, on acceptable terms, through arrangements with strategic partners or from other sources. Notwithstanding, there can be no assurance that the Company will be able to raise additional funds or achieve or sustain profitability or positive cash flows from operations.</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major sources and uses of cash for each of the periods set forth below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7"/>
                <w:szCs w:val="17"/>
                <w:b w:val="1"/>
                <w:bCs w:val="1"/>
                <w:color w:val="auto"/>
              </w:rPr>
              <w:t>Nine Months Ended September 30,</w:t>
            </w:r>
          </w:p>
        </w:tc>
      </w:tr>
      <w:tr>
        <w:trPr>
          <w:trHeight w:val="235"/>
        </w:trPr>
        <w:tc>
          <w:tcPr>
            <w:tcW w:w="42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2021</w:t>
            </w:r>
          </w:p>
        </w:tc>
      </w:tr>
      <w:tr>
        <w:trPr>
          <w:trHeight w:val="248"/>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(36,770)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(28,693)</w:t>
            </w:r>
          </w:p>
        </w:tc>
      </w:tr>
      <w:tr>
        <w:trPr>
          <w:trHeight w:val="242"/>
        </w:trPr>
        <w:tc>
          <w:tcPr>
            <w:tcW w:w="4200" w:type="dxa"/>
            <w:vAlign w:val="bottom"/>
          </w:tcPr>
          <w:p>
            <w:pPr>
              <w:ind w:left="20"/>
              <w:spacing w:after="0"/>
              <w:rPr>
                <w:sz w:val="20"/>
                <w:szCs w:val="20"/>
                <w:color w:val="auto"/>
              </w:rPr>
            </w:pPr>
            <w:r>
              <w:rPr>
                <w:rFonts w:ascii="Arial" w:cs="Arial" w:eastAsia="Arial" w:hAnsi="Arial"/>
                <w:sz w:val="17"/>
                <w:szCs w:val="17"/>
                <w:color w:val="auto"/>
              </w:rPr>
              <w:t>Net cash from investing activities</w:t>
            </w:r>
          </w:p>
        </w:tc>
        <w:tc>
          <w:tcPr>
            <w:tcW w:w="34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44,870</w:t>
            </w:r>
          </w:p>
        </w:tc>
        <w:tc>
          <w:tcPr>
            <w:tcW w:w="100" w:type="dxa"/>
            <w:vAlign w:val="bottom"/>
          </w:tcPr>
          <w:p>
            <w:pPr>
              <w:spacing w:after="0"/>
              <w:rPr>
                <w:sz w:val="21"/>
                <w:szCs w:val="21"/>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(427,985)</w:t>
            </w: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134,297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514,513</w:t>
            </w:r>
          </w:p>
        </w:tc>
      </w:tr>
      <w:tr>
        <w:trPr>
          <w:trHeight w:val="875"/>
        </w:trPr>
        <w:tc>
          <w:tcPr>
            <w:tcW w:w="4200" w:type="dxa"/>
            <w:vAlign w:val="bottom"/>
          </w:tcPr>
          <w:p>
            <w:pPr>
              <w:spacing w:after="0"/>
              <w:rPr>
                <w:sz w:val="24"/>
                <w:szCs w:val="24"/>
                <w:color w:val="auto"/>
              </w:rPr>
            </w:pPr>
          </w:p>
        </w:tc>
        <w:tc>
          <w:tcPr>
            <w:tcW w:w="3020" w:type="dxa"/>
            <w:vAlign w:val="bottom"/>
          </w:tcPr>
          <w:p>
            <w:pPr>
              <w:jc w:val="right"/>
              <w:ind w:right="1413"/>
              <w:spacing w:after="0"/>
              <w:rPr>
                <w:sz w:val="20"/>
                <w:szCs w:val="20"/>
                <w:color w:val="auto"/>
              </w:rPr>
            </w:pPr>
            <w:r>
              <w:rPr>
                <w:rFonts w:ascii="Arial" w:cs="Arial" w:eastAsia="Arial" w:hAnsi="Arial"/>
                <w:sz w:val="17"/>
                <w:szCs w:val="17"/>
                <w:color w:val="auto"/>
              </w:rPr>
              <w:t>38</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Operating Activities</w:t>
      </w:r>
    </w:p>
    <w:p>
      <w:pPr>
        <w:spacing w:after="0" w:line="255" w:lineRule="exact"/>
        <w:rPr>
          <w:sz w:val="20"/>
          <w:szCs w:val="20"/>
          <w:color w:val="auto"/>
        </w:rPr>
      </w:pPr>
    </w:p>
    <w:p>
      <w:pPr>
        <w:ind w:right="160" w:firstLine="470"/>
        <w:spacing w:after="0" w:line="297" w:lineRule="auto"/>
        <w:rPr>
          <w:sz w:val="20"/>
          <w:szCs w:val="20"/>
          <w:color w:val="auto"/>
        </w:rPr>
      </w:pPr>
      <w:r>
        <w:rPr>
          <w:rFonts w:ascii="Arial" w:cs="Arial" w:eastAsia="Arial" w:hAnsi="Arial"/>
          <w:sz w:val="16"/>
          <w:szCs w:val="16"/>
          <w:color w:val="auto"/>
        </w:rPr>
        <w:t>Our primary uses of cash from operating activities are personnel-related expenses, and research and development-related expenses, including costs incurred under development agreements, costs of licensing of technology, legal-related costs, expenses for the development and commercialization of routes to efficiently produce fuels and chemicals from renewable feedstock carbohydrates using alcohols (isobutanol and ethanol) as an intermediate.</w:t>
      </w:r>
    </w:p>
    <w:p>
      <w:pPr>
        <w:spacing w:after="0" w:line="179"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During the nine months ended September 30, 2022, net cash used for operating activities was $36.8 million compared to $28.7 million for the nine months ended September 30, 2021. Non-cash charges primarily consisted of an impairment loss of $24.7 million, depreciation and amortization of $4.5 million, non-cash interest expense of $2.8 million related to debt issuance costs, stock-based compensation expense of $12.6 million. The net cash outflow from changes in operating assets and liabilities increased $7.9 million, primarily due to an increase of cash outflows of $4.0 million in prepaid expenses and other current assets due to the payments for licensing fees and deposits to secure long-lead equipment power transmission and distribution facilities for NZ1, partially offset by $4.2 million of decreased cash payments for the RNG Project.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255" w:lineRule="exact"/>
        <w:rPr>
          <w:sz w:val="20"/>
          <w:szCs w:val="20"/>
          <w:color w:val="auto"/>
        </w:rPr>
      </w:pPr>
    </w:p>
    <w:p>
      <w:pPr>
        <w:ind w:right="320" w:firstLine="470"/>
        <w:spacing w:after="0" w:line="297" w:lineRule="auto"/>
        <w:rPr>
          <w:sz w:val="20"/>
          <w:szCs w:val="20"/>
          <w:color w:val="auto"/>
        </w:rPr>
      </w:pPr>
      <w:r>
        <w:rPr>
          <w:rFonts w:ascii="Arial" w:cs="Arial" w:eastAsia="Arial" w:hAnsi="Arial"/>
          <w:sz w:val="16"/>
          <w:szCs w:val="16"/>
          <w:color w:val="auto"/>
        </w:rPr>
        <w:t>During the nine months ended September 30, 2022, we used $44.9 million in cash for investing activities, of which $243.8 million related to proceeds from sales and maturities of marketable securities, partially offset by the reinvestment of $130.4 million in marketable securities, and $68.5 million of investments in our capital projects, including $33.7 million in the RNG Project, $30.5 million for NZ1, as well as $4.4 million in other projects.</w:t>
      </w:r>
    </w:p>
    <w:p>
      <w:pPr>
        <w:spacing w:after="0" w:line="166" w:lineRule="exact"/>
        <w:rPr>
          <w:sz w:val="20"/>
          <w:szCs w:val="20"/>
          <w:color w:val="auto"/>
        </w:rPr>
      </w:pPr>
    </w:p>
    <w:p>
      <w:pPr>
        <w:ind w:right="60" w:firstLine="470"/>
        <w:spacing w:after="0" w:line="237" w:lineRule="auto"/>
        <w:rPr>
          <w:sz w:val="20"/>
          <w:szCs w:val="20"/>
          <w:color w:val="auto"/>
        </w:rPr>
      </w:pPr>
      <w:r>
        <w:rPr>
          <w:rFonts w:ascii="Arial" w:cs="Arial" w:eastAsia="Arial" w:hAnsi="Arial"/>
          <w:sz w:val="17"/>
          <w:szCs w:val="17"/>
          <w:color w:val="auto"/>
        </w:rPr>
        <w:t>In July 2022, the purchase of the land for NZ1 in Lake Preston, South Dakota was completed. This was followed by a groundbreaking ceremony in Lake Preston and we believe NZ1 is on schedule with initial volumes of SAF expected to be delivered in 2025. Water and wind energy development agreements were executed in the third quarter of 2022, and other key milestones are on track for completion in accordance with our comprehensive project plan. Based on the ongoing engineering work, the installed cost for NZ1 is currently forecasted to be approximately $850 million, excluding certain contingencies and financing costs, $100 million to $120 million of which we expect to spend within the next twelve months.</w:t>
      </w:r>
    </w:p>
    <w:p>
      <w:pPr>
        <w:spacing w:after="0" w:line="198" w:lineRule="exact"/>
        <w:rPr>
          <w:sz w:val="20"/>
          <w:szCs w:val="20"/>
          <w:color w:val="auto"/>
        </w:rPr>
      </w:pPr>
    </w:p>
    <w:p>
      <w:pPr>
        <w:ind w:right="40" w:firstLine="470"/>
        <w:spacing w:after="0" w:line="248" w:lineRule="auto"/>
        <w:rPr>
          <w:sz w:val="20"/>
          <w:szCs w:val="20"/>
          <w:color w:val="auto"/>
        </w:rPr>
      </w:pPr>
      <w:r>
        <w:rPr>
          <w:rFonts w:ascii="Arial" w:cs="Arial" w:eastAsia="Arial" w:hAnsi="Arial"/>
          <w:sz w:val="17"/>
          <w:szCs w:val="17"/>
          <w:color w:val="auto"/>
        </w:rPr>
        <w:t>In addition, we allocated approximately $25 million of capital for the next four to six months to develop our next Net-Zero Project. Gevo is in the process of identifying and performing early site development work for additional SAF production locations. These potential sites include several greenfield locations that are particularly advantageous in terms of potential economics, opportunities to decarbonize, and time to market.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255"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During the nine months ended September 30, 2022, we had $134.3 million of net cash provided by financing activities, primarily due to $139.0 million net proceeds from the issuance of common stock and common stock warrants in the June 2022 Offering, partially offset by $4.3 million of payments for finance lease liabilities and certain equipment loans and $0.3 million related to the net settlement of common stock under stock plans.</w:t>
      </w:r>
    </w:p>
    <w:p>
      <w:pPr>
        <w:spacing w:after="0" w:line="185" w:lineRule="exact"/>
        <w:rPr>
          <w:sz w:val="20"/>
          <w:szCs w:val="20"/>
          <w:color w:val="auto"/>
        </w:rPr>
      </w:pPr>
    </w:p>
    <w:p>
      <w:pPr>
        <w:ind w:right="600" w:firstLine="470"/>
        <w:spacing w:after="0" w:line="272" w:lineRule="auto"/>
        <w:rPr>
          <w:sz w:val="20"/>
          <w:szCs w:val="20"/>
          <w:color w:val="auto"/>
        </w:rPr>
      </w:pPr>
      <w:r>
        <w:rPr>
          <w:rFonts w:ascii="Arial" w:cs="Arial" w:eastAsia="Arial" w:hAnsi="Arial"/>
          <w:sz w:val="17"/>
          <w:szCs w:val="17"/>
          <w:color w:val="auto"/>
        </w:rPr>
        <w:t>We are also in the process of arranging financing for NZ1. We expect the financing would occur at a subsidiary of Gevo, Inc. and would include a combination of debt and equity.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55"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There have been no material changes since our disclosure in “Quantitative and Qualitative Disclosures About Market Risk” included in Part II, Item 7A of our 2021 Annual Report</w:t>
      </w:r>
      <w:r>
        <w:rPr>
          <w:rFonts w:ascii="Arial" w:cs="Arial" w:eastAsia="Arial" w:hAnsi="Arial"/>
          <w:sz w:val="15"/>
          <w:szCs w:val="15"/>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5"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provide reasonable assurance that information required to be disclosed by us in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9" w:name="page40"/>
    <w:bookmarkEnd w:id="39"/>
    <w:p>
      <w:pPr>
        <w:jc w:val="both"/>
        <w:ind w:right="200"/>
        <w:spacing w:after="0" w:line="272" w:lineRule="auto"/>
        <w:rPr>
          <w:sz w:val="20"/>
          <w:szCs w:val="20"/>
          <w:color w:val="auto"/>
        </w:rPr>
      </w:pPr>
      <w:r>
        <w:rPr>
          <w:rFonts w:ascii="Arial" w:cs="Arial" w:eastAsia="Arial" w:hAnsi="Arial"/>
          <w:sz w:val="17"/>
          <w:szCs w:val="17"/>
          <w:color w:val="auto"/>
        </w:rPr>
        <w:t>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98"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September 30, 2022,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5"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There were no changes that occurred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40" w:name="page41"/>
    <w:bookmarkEnd w:id="40"/>
    <w:p>
      <w:pPr>
        <w:jc w:val="center"/>
        <w:ind w:right="-179"/>
        <w:spacing w:after="0"/>
        <w:rPr>
          <w:sz w:val="20"/>
          <w:szCs w:val="20"/>
          <w:color w:val="auto"/>
        </w:rPr>
      </w:pPr>
      <w:r>
        <w:rPr>
          <w:rFonts w:ascii="Arial" w:cs="Arial" w:eastAsia="Arial" w:hAnsi="Arial"/>
          <w:sz w:val="17"/>
          <w:szCs w:val="17"/>
          <w:b w:val="1"/>
          <w:bCs w:val="1"/>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5"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A discussion of legal matters is found in Note 17, Commitments and Contingencies, in the accompanying Notes to the Financial Statements included in Part I - Item 1. Financial Statements of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5"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You should carefully consider the risk factors discussed in Part I, Item 1A. “Risk Factors” in our 2021 Annual Report, which could materially affect our business, financial condition, cash flows or future results. There have been no material changes in our risk factors included in our Annual Report. The risk factors in our 2021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5" w:lineRule="exact"/>
        <w:rPr>
          <w:sz w:val="20"/>
          <w:szCs w:val="20"/>
          <w:color w:val="auto"/>
        </w:rPr>
      </w:pPr>
    </w:p>
    <w:p>
      <w:pPr>
        <w:jc w:val="center"/>
        <w:ind w:right="9000"/>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320" w:top="1376" w:right="5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6. Exhibits.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listed below are filed or furnished as part of this report.</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2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Exhibit</w:t>
            </w:r>
          </w:p>
        </w:tc>
        <w:tc>
          <w:tcPr>
            <w:tcW w:w="1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Filed</w:t>
            </w:r>
          </w:p>
        </w:tc>
        <w:tc>
          <w:tcPr>
            <w:tcW w:w="0" w:type="dxa"/>
            <w:vAlign w:val="bottom"/>
          </w:tcPr>
          <w:p>
            <w:pPr>
              <w:spacing w:after="0"/>
              <w:rPr>
                <w:sz w:val="1"/>
                <w:szCs w:val="1"/>
                <w:color w:val="auto"/>
              </w:rPr>
            </w:pPr>
          </w:p>
        </w:tc>
      </w:tr>
      <w:tr>
        <w:trPr>
          <w:trHeight w:val="247"/>
        </w:trPr>
        <w:tc>
          <w:tcPr>
            <w:tcW w:w="12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Number</w:t>
            </w:r>
          </w:p>
        </w:tc>
        <w:tc>
          <w:tcPr>
            <w:tcW w:w="18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ind w:left="600"/>
              <w:spacing w:after="0"/>
              <w:rPr>
                <w:sz w:val="20"/>
                <w:szCs w:val="20"/>
                <w:color w:val="auto"/>
              </w:rPr>
            </w:pPr>
            <w:r>
              <w:rPr>
                <w:rFonts w:ascii="Arial" w:cs="Arial" w:eastAsia="Arial" w:hAnsi="Arial"/>
                <w:sz w:val="17"/>
                <w:szCs w:val="17"/>
                <w:b w:val="1"/>
                <w:bCs w:val="1"/>
                <w:color w:val="auto"/>
              </w:rPr>
              <w:t>Previously Filed</w:t>
            </w:r>
          </w:p>
        </w:tc>
        <w:tc>
          <w:tcPr>
            <w:tcW w:w="6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Herewith</w:t>
            </w:r>
          </w:p>
        </w:tc>
        <w:tc>
          <w:tcPr>
            <w:tcW w:w="0" w:type="dxa"/>
            <w:vAlign w:val="bottom"/>
          </w:tcPr>
          <w:p>
            <w:pPr>
              <w:spacing w:after="0"/>
              <w:rPr>
                <w:sz w:val="1"/>
                <w:szCs w:val="1"/>
                <w:color w:val="auto"/>
              </w:rPr>
            </w:pPr>
          </w:p>
        </w:tc>
      </w:tr>
      <w:tr>
        <w:trPr>
          <w:trHeight w:val="241"/>
        </w:trPr>
        <w:tc>
          <w:tcPr>
            <w:tcW w:w="580" w:type="dxa"/>
            <w:vAlign w:val="bottom"/>
            <w:tcBorders>
              <w:left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Form</w:t>
            </w:r>
          </w:p>
        </w:tc>
        <w:tc>
          <w:tcPr>
            <w:tcW w:w="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File No.</w:t>
            </w:r>
          </w:p>
        </w:tc>
        <w:tc>
          <w:tcPr>
            <w:tcW w:w="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1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Exhibit</w:t>
            </w:r>
          </w:p>
        </w:tc>
        <w:tc>
          <w:tcPr>
            <w:tcW w:w="2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w:t>
            </w: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right w:val="single" w:sz="8" w:color="auto"/>
            </w:tcBorders>
            <w:gridSpan w:val="10"/>
          </w:tcPr>
          <w:p>
            <w:pPr>
              <w:spacing w:after="0"/>
              <w:rPr>
                <w:rFonts w:ascii="Arial" w:cs="Arial" w:eastAsia="Arial" w:hAnsi="Arial"/>
                <w:sz w:val="17"/>
                <w:szCs w:val="17"/>
                <w:color w:val="auto"/>
                <w:w w:val="96"/>
              </w:rPr>
            </w:pPr>
            <w:hyperlink r:id="rId57">
              <w:r>
                <w:rPr>
                  <w:rFonts w:ascii="Arial" w:cs="Arial" w:eastAsia="Arial" w:hAnsi="Arial"/>
                  <w:sz w:val="17"/>
                  <w:szCs w:val="17"/>
                  <w:color w:val="auto"/>
                  <w:w w:val="96"/>
                </w:rPr>
                <w:t>Amended and Restated Certificate of Incorporation of Gevo,</w:t>
              </w:r>
            </w:hyperlink>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February 24,</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auto"/>
            </w:tcBorders>
            <w:gridSpan w:val="9"/>
          </w:tcPr>
          <w:p>
            <w:pPr>
              <w:spacing w:after="0" w:line="163" w:lineRule="exact"/>
              <w:rPr>
                <w:rFonts w:ascii="Arial" w:cs="Arial" w:eastAsia="Arial" w:hAnsi="Arial"/>
                <w:sz w:val="17"/>
                <w:szCs w:val="17"/>
                <w:color w:val="auto"/>
              </w:rPr>
            </w:pPr>
            <w:hyperlink r:id="rId57">
              <w:r>
                <w:rPr>
                  <w:rFonts w:ascii="Arial" w:cs="Arial" w:eastAsia="Arial" w:hAnsi="Arial"/>
                  <w:sz w:val="17"/>
                  <w:szCs w:val="17"/>
                  <w:color w:val="auto"/>
                </w:rPr>
                <w:t>Inc.</w:t>
              </w:r>
            </w:hyperlink>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rPr>
              <w:t>10-K</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w w:val="89"/>
              </w:rPr>
              <w:t>2022</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w w:val="92"/>
              </w:rPr>
              <w:t>3.1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November 24,</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3.2</w:t>
            </w:r>
          </w:p>
        </w:tc>
        <w:tc>
          <w:tcPr>
            <w:tcW w:w="1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right w:val="single" w:sz="8" w:color="auto"/>
            </w:tcBorders>
            <w:gridSpan w:val="10"/>
          </w:tcPr>
          <w:p>
            <w:pPr>
              <w:spacing w:after="0"/>
              <w:rPr>
                <w:rFonts w:ascii="Arial" w:cs="Arial" w:eastAsia="Arial" w:hAnsi="Arial"/>
                <w:sz w:val="17"/>
                <w:szCs w:val="17"/>
                <w:color w:val="auto"/>
              </w:rPr>
            </w:pPr>
            <w:hyperlink r:id="rId58">
              <w:r>
                <w:rPr>
                  <w:rFonts w:ascii="Arial" w:cs="Arial" w:eastAsia="Arial" w:hAnsi="Arial"/>
                  <w:sz w:val="17"/>
                  <w:szCs w:val="17"/>
                  <w:color w:val="auto"/>
                </w:rPr>
                <w:t>Second Amended and Restated Bylaws of Gevo, Inc.</w:t>
              </w:r>
            </w:hyperlink>
          </w:p>
        </w:tc>
        <w:tc>
          <w:tcPr>
            <w:tcW w:w="18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2021</w:t>
            </w:r>
          </w:p>
        </w:tc>
        <w:tc>
          <w:tcPr>
            <w:tcW w:w="1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3.1</w:t>
            </w:r>
          </w:p>
        </w:tc>
        <w:tc>
          <w:tcPr>
            <w:tcW w:w="2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January 19,</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4.1</w:t>
            </w:r>
          </w:p>
        </w:tc>
        <w:tc>
          <w:tcPr>
            <w:tcW w:w="1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right w:val="single" w:sz="8" w:color="auto"/>
            </w:tcBorders>
            <w:gridSpan w:val="10"/>
          </w:tcPr>
          <w:p>
            <w:pPr>
              <w:spacing w:after="0"/>
              <w:rPr>
                <w:rFonts w:ascii="Arial" w:cs="Arial" w:eastAsia="Arial" w:hAnsi="Arial"/>
                <w:sz w:val="17"/>
                <w:szCs w:val="17"/>
                <w:color w:val="auto"/>
              </w:rPr>
            </w:pPr>
            <w:hyperlink r:id="rId59">
              <w:r>
                <w:rPr>
                  <w:rFonts w:ascii="Arial" w:cs="Arial" w:eastAsia="Arial" w:hAnsi="Arial"/>
                  <w:sz w:val="17"/>
                  <w:szCs w:val="17"/>
                  <w:color w:val="auto"/>
                </w:rPr>
                <w:t>Form of Gevo, Inc. Common Stock Certificate.</w:t>
              </w:r>
            </w:hyperlink>
          </w:p>
        </w:tc>
        <w:tc>
          <w:tcPr>
            <w:tcW w:w="18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S-1</w:t>
            </w:r>
          </w:p>
        </w:tc>
        <w:tc>
          <w:tcPr>
            <w:tcW w:w="1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333-168792</w:t>
            </w:r>
          </w:p>
        </w:tc>
        <w:tc>
          <w:tcPr>
            <w:tcW w:w="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2011</w:t>
            </w:r>
          </w:p>
        </w:tc>
        <w:tc>
          <w:tcPr>
            <w:tcW w:w="1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4.1</w:t>
            </w:r>
          </w:p>
        </w:tc>
        <w:tc>
          <w:tcPr>
            <w:tcW w:w="2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right w:val="single" w:sz="8" w:color="auto"/>
            </w:tcBorders>
            <w:gridSpan w:val="10"/>
          </w:tcPr>
          <w:p>
            <w:pPr>
              <w:spacing w:after="0" w:line="189" w:lineRule="exact"/>
              <w:rPr>
                <w:rFonts w:ascii="Arial" w:cs="Arial" w:eastAsia="Arial" w:hAnsi="Arial"/>
                <w:sz w:val="17"/>
                <w:szCs w:val="17"/>
                <w:color w:val="auto"/>
                <w:w w:val="95"/>
              </w:rPr>
            </w:pPr>
            <w:hyperlink r:id="rId60">
              <w:r>
                <w:rPr>
                  <w:rFonts w:ascii="Arial" w:cs="Arial" w:eastAsia="Arial" w:hAnsi="Arial"/>
                  <w:sz w:val="17"/>
                  <w:szCs w:val="17"/>
                  <w:color w:val="auto"/>
                  <w:w w:val="95"/>
                </w:rPr>
                <w:t>Fuel Sales Agreement, dated July 18, 2022, by and between</w:t>
              </w:r>
            </w:hyperlink>
          </w:p>
        </w:tc>
        <w:tc>
          <w:tcPr>
            <w:tcW w:w="18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line="163" w:lineRule="exact"/>
              <w:rPr>
                <w:sz w:val="20"/>
                <w:szCs w:val="20"/>
                <w:color w:val="auto"/>
              </w:rPr>
            </w:pPr>
            <w:r>
              <w:rPr>
                <w:rFonts w:ascii="Arial" w:cs="Arial" w:eastAsia="Arial" w:hAnsi="Arial"/>
                <w:sz w:val="17"/>
                <w:szCs w:val="17"/>
                <w:color w:val="auto"/>
              </w:rPr>
              <w:t>10.1*</w:t>
            </w: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tcBorders>
              <w:top w:val="single" w:sz="8" w:color="auto"/>
            </w:tcBorders>
            <w:gridSpan w:val="7"/>
          </w:tcPr>
          <w:p>
            <w:pPr>
              <w:spacing w:after="0" w:line="163" w:lineRule="exact"/>
              <w:rPr>
                <w:rFonts w:ascii="Arial" w:cs="Arial" w:eastAsia="Arial" w:hAnsi="Arial"/>
                <w:sz w:val="17"/>
                <w:szCs w:val="17"/>
                <w:color w:val="auto"/>
              </w:rPr>
            </w:pPr>
            <w:hyperlink r:id="rId60">
              <w:r>
                <w:rPr>
                  <w:rFonts w:ascii="Arial" w:cs="Arial" w:eastAsia="Arial" w:hAnsi="Arial"/>
                  <w:sz w:val="17"/>
                  <w:szCs w:val="17"/>
                  <w:color w:val="auto"/>
                </w:rPr>
                <w:t>Gevo, Inc. and American Airlines, Inc.</w:t>
              </w:r>
            </w:hyperlink>
          </w:p>
        </w:tc>
        <w:tc>
          <w:tcPr>
            <w:tcW w:w="240" w:type="dxa"/>
            <w:vAlign w:val="bottom"/>
            <w:tcBorders>
              <w:right w:val="single" w:sz="8" w:color="auto"/>
            </w:tcBorders>
            <w:gridSpan w:val="3"/>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w w:val="92"/>
              </w:rPr>
              <w:t>July 22, 2022</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w w:val="96"/>
              </w:rPr>
              <w:t>10.1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580" w:type="dxa"/>
            <w:vAlign w:val="bottom"/>
            <w:tcBorders>
              <w:left w:val="single" w:sz="8" w:color="auto"/>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31.1</w:t>
            </w:r>
          </w:p>
        </w:tc>
        <w:tc>
          <w:tcPr>
            <w:tcW w:w="18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right w:val="single" w:sz="8" w:color="auto"/>
            </w:tcBorders>
            <w:gridSpan w:val="10"/>
          </w:tcPr>
          <w:p>
            <w:pPr>
              <w:spacing w:after="0"/>
              <w:rPr>
                <w:sz w:val="20"/>
                <w:szCs w:val="20"/>
                <w:color w:val="auto"/>
              </w:rPr>
            </w:pPr>
            <w:r>
              <w:rPr>
                <w:rFonts w:ascii="Arial" w:cs="Arial" w:eastAsia="Arial" w:hAnsi="Arial"/>
                <w:sz w:val="17"/>
                <w:szCs w:val="17"/>
                <w:color w:val="auto"/>
                <w:w w:val="99"/>
              </w:rPr>
              <w:t>Section 302 Certification of the Principal Executive Officer.</w:t>
            </w:r>
          </w:p>
        </w:tc>
        <w:tc>
          <w:tcPr>
            <w:tcW w:w="18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580" w:type="dxa"/>
            <w:vAlign w:val="bottom"/>
            <w:tcBorders>
              <w:left w:val="single" w:sz="8" w:color="auto"/>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31.2</w:t>
            </w:r>
          </w:p>
        </w:tc>
        <w:tc>
          <w:tcPr>
            <w:tcW w:w="18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right w:val="single" w:sz="8" w:color="auto"/>
            </w:tcBorders>
            <w:gridSpan w:val="10"/>
          </w:tcPr>
          <w:p>
            <w:pPr>
              <w:spacing w:after="0"/>
              <w:rPr>
                <w:sz w:val="20"/>
                <w:szCs w:val="20"/>
                <w:color w:val="auto"/>
              </w:rPr>
            </w:pPr>
            <w:r>
              <w:rPr>
                <w:rFonts w:ascii="Arial" w:cs="Arial" w:eastAsia="Arial" w:hAnsi="Arial"/>
                <w:sz w:val="17"/>
                <w:szCs w:val="17"/>
                <w:color w:val="auto"/>
              </w:rPr>
              <w:t>Section 302 Certification of the Principal Financial Officer.</w:t>
            </w:r>
          </w:p>
        </w:tc>
        <w:tc>
          <w:tcPr>
            <w:tcW w:w="18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right w:val="single" w:sz="8" w:color="auto"/>
            </w:tcBorders>
            <w:gridSpan w:val="10"/>
          </w:tcPr>
          <w:p>
            <w:pPr>
              <w:spacing w:after="0" w:line="189" w:lineRule="exact"/>
              <w:rPr>
                <w:sz w:val="20"/>
                <w:szCs w:val="20"/>
                <w:color w:val="auto"/>
              </w:rPr>
            </w:pPr>
            <w:r>
              <w:rPr>
                <w:rFonts w:ascii="Arial" w:cs="Arial" w:eastAsia="Arial" w:hAnsi="Arial"/>
                <w:sz w:val="17"/>
                <w:szCs w:val="17"/>
                <w:color w:val="auto"/>
              </w:rPr>
              <w:t>Section 906 Certification of the Principal Executive Officer</w:t>
            </w:r>
          </w:p>
        </w:tc>
        <w:tc>
          <w:tcPr>
            <w:tcW w:w="18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line="163" w:lineRule="exact"/>
              <w:rPr>
                <w:sz w:val="20"/>
                <w:szCs w:val="20"/>
                <w:color w:val="auto"/>
              </w:rPr>
            </w:pPr>
            <w:r>
              <w:rPr>
                <w:rFonts w:ascii="Arial" w:cs="Arial" w:eastAsia="Arial" w:hAnsi="Arial"/>
                <w:sz w:val="17"/>
                <w:szCs w:val="17"/>
                <w:color w:val="auto"/>
              </w:rPr>
              <w:t>32.1</w:t>
            </w: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auto"/>
            </w:tcBorders>
            <w:gridSpan w:val="6"/>
          </w:tcPr>
          <w:p>
            <w:pPr>
              <w:spacing w:after="0" w:line="163" w:lineRule="exact"/>
              <w:rPr>
                <w:sz w:val="20"/>
                <w:szCs w:val="20"/>
                <w:color w:val="auto"/>
              </w:rPr>
            </w:pPr>
            <w:r>
              <w:rPr>
                <w:rFonts w:ascii="Arial" w:cs="Arial" w:eastAsia="Arial" w:hAnsi="Arial"/>
                <w:sz w:val="17"/>
                <w:szCs w:val="17"/>
                <w:color w:val="auto"/>
              </w:rPr>
              <w:t>and Principal Financial Officer.**</w:t>
            </w:r>
          </w:p>
        </w:tc>
        <w:tc>
          <w:tcPr>
            <w:tcW w:w="260" w:type="dxa"/>
            <w:vAlign w:val="bottom"/>
            <w:tcBorders>
              <w:right w:val="single" w:sz="8" w:color="auto"/>
            </w:tcBorders>
            <w:gridSpan w:val="4"/>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right w:val="single" w:sz="8" w:color="auto"/>
            </w:tcBorders>
            <w:gridSpan w:val="10"/>
          </w:tcPr>
          <w:p>
            <w:pPr>
              <w:spacing w:after="0" w:line="163" w:lineRule="exact"/>
              <w:rPr>
                <w:sz w:val="20"/>
                <w:szCs w:val="20"/>
                <w:color w:val="auto"/>
              </w:rPr>
            </w:pPr>
            <w:r>
              <w:rPr>
                <w:rFonts w:ascii="Arial" w:cs="Arial" w:eastAsia="Arial" w:hAnsi="Arial"/>
                <w:sz w:val="17"/>
                <w:szCs w:val="17"/>
                <w:color w:val="auto"/>
              </w:rPr>
              <w:t>Inline XBRL Instance Document (the Instance Document</w:t>
            </w:r>
          </w:p>
        </w:tc>
        <w:tc>
          <w:tcPr>
            <w:tcW w:w="18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101.INS</w:t>
            </w: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right w:val="single" w:sz="8" w:color="auto"/>
            </w:tcBorders>
            <w:gridSpan w:val="10"/>
          </w:tcPr>
          <w:p>
            <w:pPr>
              <w:spacing w:after="0" w:line="183" w:lineRule="exact"/>
              <w:rPr>
                <w:sz w:val="20"/>
                <w:szCs w:val="20"/>
                <w:color w:val="auto"/>
              </w:rPr>
            </w:pPr>
            <w:r>
              <w:rPr>
                <w:rFonts w:ascii="Arial" w:cs="Arial" w:eastAsia="Arial" w:hAnsi="Arial"/>
                <w:sz w:val="17"/>
                <w:szCs w:val="17"/>
                <w:color w:val="auto"/>
                <w:w w:val="93"/>
              </w:rPr>
              <w:t>does not appear in the Interactive Data File because its XBRL</w:t>
            </w:r>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1"/>
        </w:trPr>
        <w:tc>
          <w:tcPr>
            <w:tcW w:w="58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tags are embedded within the Inline XBRL document)</w:t>
            </w:r>
          </w:p>
        </w:tc>
        <w:tc>
          <w:tcPr>
            <w:tcW w:w="18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5"/>
              </w:rPr>
              <w:t>101.SCH</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Inline XBRL Taxonomy Extension Schema</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50"/>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9"/>
              </w:rPr>
              <w:t>101.CAL</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Inline XBRL Taxonomy Extension Calculation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50"/>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8"/>
              </w:rPr>
              <w:t>101.DEF</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Inline XBRL Taxonomy Extension Definition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50"/>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101.LAB</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Inline XBRL Taxonomy Extension Label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50"/>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6"/>
              </w:rPr>
              <w:t>101.PRE</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3"/>
        </w:trPr>
        <w:tc>
          <w:tcPr>
            <w:tcW w:w="580" w:type="dxa"/>
            <w:vAlign w:val="bottom"/>
            <w:tcBorders>
              <w:left w:val="single" w:sz="8" w:color="auto"/>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tcBorders>
              <w:right w:val="single" w:sz="8" w:color="auto"/>
            </w:tcBorders>
            <w:gridSpan w:val="10"/>
          </w:tcPr>
          <w:p>
            <w:pPr>
              <w:spacing w:after="0"/>
              <w:rPr>
                <w:sz w:val="20"/>
                <w:szCs w:val="20"/>
                <w:color w:val="auto"/>
              </w:rPr>
            </w:pPr>
            <w:r>
              <w:rPr>
                <w:rFonts w:ascii="Arial" w:cs="Arial" w:eastAsia="Arial" w:hAnsi="Arial"/>
                <w:sz w:val="17"/>
                <w:szCs w:val="17"/>
                <w:color w:val="auto"/>
                <w:w w:val="95"/>
              </w:rPr>
              <w:t>Cover Page Interactive Data File (embedded within the Inline</w:t>
            </w:r>
          </w:p>
        </w:tc>
        <w:tc>
          <w:tcPr>
            <w:tcW w:w="180" w:type="dxa"/>
            <w:vAlign w:val="bottom"/>
            <w:tcBorders>
              <w:right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8"/>
        </w:trPr>
        <w:tc>
          <w:tcPr>
            <w:tcW w:w="58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w:t>
            </w: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7"/>
                <w:szCs w:val="17"/>
                <w:color w:val="auto"/>
              </w:rPr>
              <w:t>XBRL document and contained in Exhibit 101)</w:t>
            </w:r>
          </w:p>
        </w:tc>
        <w:tc>
          <w:tcPr>
            <w:tcW w:w="18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75"/>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7"/>
          </w:tcPr>
          <w:p>
            <w:pPr>
              <w:jc w:val="right"/>
              <w:ind w:right="80"/>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376" w:right="319" w:bottom="1440" w:gutter="0" w:footer="0" w:header="0"/>
        </w:sectPr>
      </w:pPr>
    </w:p>
    <w:bookmarkStart w:id="42" w:name="page43"/>
    <w:bookmarkEnd w:id="42"/>
    <w:p>
      <w:pPr>
        <w:ind w:left="598" w:hanging="598"/>
        <w:spacing w:after="0" w:line="232" w:lineRule="auto"/>
        <w:tabs>
          <w:tab w:leader="none" w:pos="598" w:val="left"/>
        </w:tabs>
        <w:numPr>
          <w:ilvl w:val="0"/>
          <w:numId w:val="22"/>
        </w:numPr>
        <w:rPr>
          <w:rFonts w:ascii="Arial" w:cs="Arial" w:eastAsia="Arial" w:hAnsi="Arial"/>
          <w:sz w:val="21"/>
          <w:szCs w:val="21"/>
          <w:color w:val="auto"/>
        </w:rPr>
      </w:pPr>
      <w:r>
        <w:rPr>
          <w:rFonts w:ascii="Arial" w:cs="Arial" w:eastAsia="Arial" w:hAnsi="Arial"/>
          <w:sz w:val="17"/>
          <w:szCs w:val="17"/>
          <w:color w:val="auto"/>
        </w:rPr>
        <w:t>Certain portions of the exhibit have been omitted pursuant to Rule 601(b)(10) of Regulation S-K. The omitted information is not material and is the type of information that the registrant treats as private or confidential. Information that was omitted has been noted in this document with a placeholder identified by the mark “[*****]".</w:t>
      </w:r>
    </w:p>
    <w:p>
      <w:pPr>
        <w:spacing w:after="0" w:line="42" w:lineRule="exact"/>
        <w:rPr>
          <w:sz w:val="20"/>
          <w:szCs w:val="20"/>
          <w:color w:val="auto"/>
        </w:rPr>
      </w:pPr>
    </w:p>
    <w:p>
      <w:pPr>
        <w:ind w:left="598" w:hanging="598"/>
        <w:spacing w:after="0"/>
        <w:tabs>
          <w:tab w:leader="none" w:pos="5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7"/>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38"/>
          </w:cols>
          <w:pgMar w:left="342" w:top="1434" w:right="419" w:bottom="1440" w:gutter="0" w:footer="0" w:header="0"/>
        </w:sectPr>
      </w:pPr>
    </w:p>
    <w:bookmarkStart w:id="43" w:name="page44"/>
    <w:bookmarkEnd w:id="43"/>
    <w:p>
      <w:pPr>
        <w:jc w:val="center"/>
        <w:ind w:right="-839"/>
        <w:spacing w:after="0"/>
        <w:rPr>
          <w:sz w:val="20"/>
          <w:szCs w:val="20"/>
          <w:color w:val="auto"/>
        </w:rPr>
      </w:pPr>
      <w:r>
        <w:rPr>
          <w:rFonts w:ascii="Arial" w:cs="Arial" w:eastAsia="Arial" w:hAnsi="Arial"/>
          <w:sz w:val="17"/>
          <w:szCs w:val="17"/>
          <w:b w:val="1"/>
          <w:bCs w:val="1"/>
          <w:color w:val="auto"/>
        </w:rPr>
        <w:t>SIGNATURES</w:t>
      </w:r>
    </w:p>
    <w:p>
      <w:pPr>
        <w:spacing w:after="0" w:line="32" w:lineRule="exact"/>
        <w:rPr>
          <w:sz w:val="20"/>
          <w:szCs w:val="20"/>
          <w:color w:val="auto"/>
        </w:rPr>
      </w:pPr>
    </w:p>
    <w:p>
      <w:pPr>
        <w:ind w:firstLine="460"/>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Gevo,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(REGISTRANT)</w:t>
      </w:r>
    </w:p>
    <w:p>
      <w:pPr>
        <w:spacing w:after="0" w:line="289"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Alisher Nurmat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24765</wp:posOffset>
            </wp:positionV>
            <wp:extent cx="27133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713355" cy="8255"/>
                    </a:xfrm>
                    <a:prstGeom prst="rect">
                      <a:avLst/>
                    </a:prstGeom>
                    <a:noFill/>
                  </pic:spPr>
                </pic:pic>
              </a:graphicData>
            </a:graphic>
          </wp:anchor>
        </w:drawing>
      </w:r>
    </w:p>
    <w:p>
      <w:pPr>
        <w:spacing w:after="0" w:line="36" w:lineRule="exact"/>
        <w:rPr>
          <w:sz w:val="20"/>
          <w:szCs w:val="20"/>
          <w:color w:val="auto"/>
        </w:rPr>
      </w:pPr>
    </w:p>
    <w:p>
      <w:pPr>
        <w:jc w:val="center"/>
        <w:ind w:right="4740"/>
        <w:spacing w:after="0"/>
        <w:rPr>
          <w:sz w:val="20"/>
          <w:szCs w:val="20"/>
          <w:color w:val="auto"/>
        </w:rPr>
      </w:pPr>
      <w:r>
        <w:rPr>
          <w:rFonts w:ascii="Arial" w:cs="Arial" w:eastAsia="Arial" w:hAnsi="Arial"/>
          <w:sz w:val="14"/>
          <w:szCs w:val="14"/>
          <w:b w:val="1"/>
          <w:bCs w:val="1"/>
          <w:color w:val="auto"/>
        </w:rPr>
        <w:t>Alisher Nurmat, CPA</w:t>
      </w:r>
    </w:p>
    <w:p>
      <w:pPr>
        <w:spacing w:after="0" w:line="12" w:lineRule="exact"/>
        <w:rPr>
          <w:sz w:val="20"/>
          <w:szCs w:val="20"/>
          <w:color w:val="auto"/>
        </w:rPr>
      </w:pPr>
    </w:p>
    <w:p>
      <w:pPr>
        <w:jc w:val="center"/>
        <w:ind w:right="4740"/>
        <w:spacing w:after="0"/>
        <w:rPr>
          <w:sz w:val="20"/>
          <w:szCs w:val="20"/>
          <w:color w:val="auto"/>
        </w:rPr>
      </w:pPr>
      <w:r>
        <w:rPr>
          <w:rFonts w:ascii="Arial" w:cs="Arial" w:eastAsia="Arial" w:hAnsi="Arial"/>
          <w:sz w:val="14"/>
          <w:szCs w:val="14"/>
          <w:b w:val="1"/>
          <w:bCs w:val="1"/>
          <w:color w:val="auto"/>
        </w:rPr>
        <w:t>Vice President and Controller</w:t>
      </w:r>
    </w:p>
    <w:p>
      <w:pPr>
        <w:spacing w:after="0" w:line="5"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(Principal Accounting Officer)</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400"/>
          </w:cols>
          <w:pgMar w:left="320" w:top="1376" w:right="117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 Patrick R. Gruber, certify that:</w:t>
      </w:r>
    </w:p>
    <w:p>
      <w:pPr>
        <w:spacing w:after="0" w:line="79" w:lineRule="exact"/>
        <w:rPr>
          <w:sz w:val="20"/>
          <w:szCs w:val="20"/>
          <w:color w:val="auto"/>
        </w:rPr>
      </w:pPr>
    </w:p>
    <w:p>
      <w:pPr>
        <w:ind w:left="300" w:hanging="295"/>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Gevo, Inc. (the “Registrant”);</w:t>
      </w:r>
    </w:p>
    <w:p>
      <w:pPr>
        <w:spacing w:after="0" w:line="78" w:lineRule="exact"/>
        <w:rPr>
          <w:rFonts w:ascii="Arial" w:cs="Arial" w:eastAsia="Arial" w:hAnsi="Arial"/>
          <w:sz w:val="17"/>
          <w:szCs w:val="17"/>
          <w:color w:val="auto"/>
        </w:rPr>
      </w:pPr>
    </w:p>
    <w:p>
      <w:pPr>
        <w:ind w:left="440" w:right="20" w:hanging="435"/>
        <w:spacing w:after="0" w:line="318" w:lineRule="auto"/>
        <w:tabs>
          <w:tab w:leader="none" w:pos="318"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right="120" w:hanging="435"/>
        <w:spacing w:after="0"/>
        <w:tabs>
          <w:tab w:leader="none" w:pos="31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440" w:right="220" w:hanging="435"/>
        <w:spacing w:after="0" w:line="229" w:lineRule="auto"/>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860" w:right="120" w:hanging="428"/>
        <w:spacing w:after="0" w:line="229" w:lineRule="auto"/>
        <w:tabs>
          <w:tab w:leader="none" w:pos="743"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860" w:right="120" w:hanging="428"/>
        <w:spacing w:after="0"/>
        <w:tabs>
          <w:tab w:leader="none" w:pos="743"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ind w:left="860" w:right="100" w:hanging="428"/>
        <w:spacing w:after="0" w:line="234" w:lineRule="auto"/>
        <w:tabs>
          <w:tab w:leader="none" w:pos="753"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440" w:right="660" w:hanging="435"/>
        <w:spacing w:after="0" w:line="287" w:lineRule="auto"/>
        <w:tabs>
          <w:tab w:leader="none" w:pos="3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860" w:right="100" w:hanging="428"/>
        <w:spacing w:after="0"/>
        <w:tabs>
          <w:tab w:leader="none" w:pos="733"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7"/>
          <w:szCs w:val="17"/>
          <w:color w:val="auto"/>
        </w:rPr>
      </w:pPr>
    </w:p>
    <w:p>
      <w:pPr>
        <w:ind w:left="860" w:right="80" w:hanging="428"/>
        <w:spacing w:after="0"/>
        <w:tabs>
          <w:tab w:leader="none" w:pos="743"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249"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Patrick R. Gruber</w:t>
      </w:r>
    </w:p>
    <w:p>
      <w:pPr>
        <w:jc w:val="center"/>
        <w:ind w:right="6500"/>
        <w:spacing w:after="0" w:line="214" w:lineRule="auto"/>
        <w:rPr>
          <w:sz w:val="20"/>
          <w:szCs w:val="20"/>
          <w:color w:val="auto"/>
        </w:rPr>
      </w:pPr>
      <w:r>
        <w:rPr>
          <w:rFonts w:ascii="Arial" w:cs="Arial" w:eastAsia="Arial" w:hAnsi="Arial"/>
          <w:sz w:val="14"/>
          <w:szCs w:val="14"/>
          <w:b w:val="1"/>
          <w:bCs w:val="1"/>
          <w:color w:val="auto"/>
        </w:rPr>
        <w:t>Chief Executive Officer</w:t>
      </w:r>
    </w:p>
    <w:p>
      <w:pPr>
        <w:ind w:left="1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73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 L. Lynn Smull, certify that:</w:t>
      </w:r>
    </w:p>
    <w:p>
      <w:pPr>
        <w:spacing w:after="0" w:line="79" w:lineRule="exact"/>
        <w:rPr>
          <w:sz w:val="20"/>
          <w:szCs w:val="20"/>
          <w:color w:val="auto"/>
        </w:rPr>
      </w:pPr>
    </w:p>
    <w:p>
      <w:pPr>
        <w:ind w:left="300" w:hanging="295"/>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Gevo, Inc. (the “Registrant”);</w:t>
      </w:r>
    </w:p>
    <w:p>
      <w:pPr>
        <w:spacing w:after="0" w:line="78" w:lineRule="exact"/>
        <w:rPr>
          <w:rFonts w:ascii="Arial" w:cs="Arial" w:eastAsia="Arial" w:hAnsi="Arial"/>
          <w:sz w:val="17"/>
          <w:szCs w:val="17"/>
          <w:color w:val="auto"/>
        </w:rPr>
      </w:pPr>
    </w:p>
    <w:p>
      <w:pPr>
        <w:ind w:left="440" w:right="20" w:hanging="435"/>
        <w:spacing w:after="0" w:line="318" w:lineRule="auto"/>
        <w:tabs>
          <w:tab w:leader="none" w:pos="318"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right="120" w:hanging="435"/>
        <w:spacing w:after="0"/>
        <w:tabs>
          <w:tab w:leader="none" w:pos="3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440" w:right="220" w:hanging="435"/>
        <w:spacing w:after="0" w:line="229" w:lineRule="auto"/>
        <w:tabs>
          <w:tab w:leader="none" w:pos="3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860" w:right="120" w:hanging="428"/>
        <w:spacing w:after="0" w:line="229" w:lineRule="auto"/>
        <w:tabs>
          <w:tab w:leader="none" w:pos="74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860" w:right="120" w:hanging="428"/>
        <w:spacing w:after="0"/>
        <w:tabs>
          <w:tab w:leader="none" w:pos="743"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ind w:left="860" w:right="100" w:hanging="428"/>
        <w:spacing w:after="0" w:line="234" w:lineRule="auto"/>
        <w:tabs>
          <w:tab w:leader="none" w:pos="75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440" w:right="660" w:hanging="435"/>
        <w:spacing w:after="0" w:line="287" w:lineRule="auto"/>
        <w:tabs>
          <w:tab w:leader="none" w:pos="3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860" w:right="100" w:hanging="428"/>
        <w:spacing w:after="0"/>
        <w:tabs>
          <w:tab w:leader="none" w:pos="733"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7"/>
          <w:szCs w:val="17"/>
          <w:color w:val="auto"/>
        </w:rPr>
      </w:pPr>
    </w:p>
    <w:p>
      <w:pPr>
        <w:ind w:left="860" w:right="80" w:hanging="428"/>
        <w:spacing w:after="0"/>
        <w:tabs>
          <w:tab w:leader="none" w:pos="743"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249"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spacing w:after="0" w:line="36"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L. Lynn Smull</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Financial Officer</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240"/>
          </w:cols>
          <w:pgMar w:left="320" w:top="73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906 OF THE SARBANES-OXLEY ACT OF 2002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7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 Patrick R. Gruber, Chief Executive Officer of Gevo, Inc. (the "Company"), and I, L. Lynn Smull, Chief Financial Officer of the Company, certify, pursuant to 18 U.S.C. Section 1350, as adopted pursuant to Section 906 of the Sarbanes-Oxley Act of 2002, that:</w:t>
      </w:r>
    </w:p>
    <w:p>
      <w:pPr>
        <w:spacing w:after="0" w:line="66" w:lineRule="exact"/>
        <w:rPr>
          <w:sz w:val="20"/>
          <w:szCs w:val="20"/>
          <w:color w:val="auto"/>
        </w:rPr>
      </w:pPr>
    </w:p>
    <w:p>
      <w:pPr>
        <w:ind w:right="480" w:firstLine="5"/>
        <w:spacing w:after="0"/>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2022 (the "Report"), fully complies with the requirements of Section 13(a) or 15(d) of the Securities Exchange Act of 1934, as amended; and</w:t>
      </w:r>
    </w:p>
    <w:p>
      <w:pPr>
        <w:spacing w:after="0" w:line="53" w:lineRule="exact"/>
        <w:rPr>
          <w:rFonts w:ascii="Arial" w:cs="Arial" w:eastAsia="Arial" w:hAnsi="Arial"/>
          <w:sz w:val="17"/>
          <w:szCs w:val="17"/>
          <w:color w:val="auto"/>
        </w:rPr>
      </w:pPr>
    </w:p>
    <w:p>
      <w:pPr>
        <w:ind w:right="420" w:firstLine="5"/>
        <w:spacing w:after="0" w:line="256" w:lineRule="auto"/>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8, 2022</w:t>
      </w:r>
    </w:p>
    <w:p>
      <w:pPr>
        <w:spacing w:after="0" w:line="200" w:lineRule="exact"/>
        <w:rPr>
          <w:sz w:val="20"/>
          <w:szCs w:val="20"/>
          <w:color w:val="auto"/>
        </w:rPr>
      </w:pPr>
    </w:p>
    <w:p>
      <w:pPr>
        <w:spacing w:after="0" w:line="336"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spacing w:after="0" w:line="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Patrick R. Gruber</w:t>
      </w:r>
    </w:p>
    <w:p>
      <w:pPr>
        <w:ind w:left="1680"/>
        <w:spacing w:after="0" w:line="194" w:lineRule="auto"/>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spacing w:after="0" w:line="36"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L. Lynn Smull</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Financial Officer</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240"/>
      </w:cols>
      <w:pgMar w:left="320" w:top="7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upperLetter"/>
      <w:start w:val="68"/>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9"/>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57" Type="http://schemas.openxmlformats.org/officeDocument/2006/relationships/hyperlink" Target="https://www.sec.gov/Archives/edgar/data/1392380/000143774922004346/ex_337695.htm" TargetMode="External"/><Relationship Id="rId58" Type="http://schemas.openxmlformats.org/officeDocument/2006/relationships/hyperlink" Target="https://www.sec.gov/Archives/edgar/data/1392380/000143774921027382/ex_310252.htm" TargetMode="External"/><Relationship Id="rId59" Type="http://schemas.openxmlformats.org/officeDocument/2006/relationships/hyperlink" Target="http://www.sec.gov/Archives/edgar/data/1392380/000119312511009935/dex41.htm" TargetMode="External"/><Relationship Id="rId60" Type="http://schemas.openxmlformats.org/officeDocument/2006/relationships/hyperlink" Target="https://www.sec.gov/Archives/edgar/data/1392380/000143774922017606/ex_398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2022-11-08T15:45:52Z</dcterms:created>
  <dcterms:modified xsi:type="dcterms:W3CDTF">2022-11-08T15:45:52Z</dcterms:modified>
</cp:coreProperties>
</file>