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Gruber Patrick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65" w:lineRule="auto"/>
        <w:rPr>
          <w:sz w:val="20"/>
          <w:szCs w:val="20"/>
          <w:color w:val="auto"/>
        </w:rPr>
      </w:pPr>
      <w:r>
        <w:rPr>
          <w:rFonts w:ascii="Times New Roman" w:cs="Times New Roman" w:eastAsia="Times New Roman" w:hAnsi="Times New Roman"/>
          <w:sz w:val="17"/>
          <w:szCs w:val="17"/>
          <w:color w:val="0000FF"/>
        </w:rPr>
        <w:t>GEVO, INC., 345 INVERNESS DRIVE SOUTH BUILDING C, SUITE 310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06/12/2026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157,563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1.4017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3,571,430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25,757.94</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a 10b5-1 trading plan adopted by the Reporting Person on November 19,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$1.370 to $1.475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369"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2026-06-15T16:26:26Z</dcterms:created>
  <dcterms:modified xsi:type="dcterms:W3CDTF">2026-06-15T16:26:26Z</dcterms:modified>
</cp:coreProperties>
</file>