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300"/>
        <w:ind w:left="0" w:right="0" w:hanging="0"/>
        <w:jc w:val="left"/>
        <w:rPr/>
      </w:pPr>
      <w:hyperlink w:anchor="TOC">
        <w:bookmarkStart w:id="0" w:name="gevo-20250630x10q.htm"/>
        <w:bookmarkStart w:id="1" w:name="ksgevo2025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center"/>
        <w:rPr>
          <w:rFonts w:ascii="Times New Roman;Times;serif" w:hAnsi="Times New Roman;Times;serif"/>
          <w:b/>
          <w:sz w:val="2"/>
        </w:rPr>
      </w:pPr>
      <w:r>
        <w:rPr>
          <w:rFonts w:ascii="Times New Roman;Times;serif" w:hAnsi="Times New Roman;Times;serif"/>
          <w:b/>
          <w:sz w:val="2"/>
        </w:rPr>
        <w:t>syn</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513741de_9d41_4ed7_b0c9_efe3608b09d6"/>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jc w:val="left"/>
              <w:rPr/>
            </w:pPr>
            <w:r>
              <w:rPr/>
              <w:t>☒</w:t>
            </w:r>
          </w:p>
        </w:tc>
        <w:tc>
          <w:tcPr>
            <w:tcW w:w="9874"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2025</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24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jc w:val="left"/>
              <w:rPr/>
            </w:pPr>
            <w:r>
              <w:rPr/>
              <w:t>☐</w:t>
            </w:r>
          </w:p>
        </w:tc>
        <w:tc>
          <w:tcPr>
            <w:tcW w:w="9874"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AND EXCHANGE ACT OF 1934</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For the transition period from </w:t>
      </w:r>
      <w:r>
        <w:rPr>
          <w:rFonts w:ascii="Times New Roman;Times;serif" w:hAnsi="Times New Roman;Times;serif"/>
          <w:sz w:val="20"/>
        </w:rPr>
        <w:t xml:space="preserve">                     </w:t>
      </w:r>
      <w:r>
        <w:rPr>
          <w:rFonts w:ascii="Times New Roman;Times;serif" w:hAnsi="Times New Roman;Times;serif"/>
          <w:b/>
          <w:sz w:val="20"/>
        </w:rPr>
        <w:t xml:space="preserve">to </w:t>
      </w:r>
      <w:r>
        <w:rPr>
          <w:rFonts w:ascii="Times New Roman;Times;serif" w:hAnsi="Times New Roman;Times;serif"/>
          <w:sz w:val="20"/>
        </w:rPr>
        <w:t>                    </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001-35073</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lwSrz32eW0mwFkKu4BhXVQ_2_2"/>
      <w:bookmarkStart w:id="4" w:name="Tc_mqeV43d95EimDNB5aVQ3WA_2_0"/>
      <w:bookmarkStart w:id="5" w:name="_2546df90_7b40_4ff2_b8a3_71e1f1150cff"/>
      <w:bookmarkStart w:id="6" w:name="Tc_lwSrz32eW0mwFkKu4BhXVQ_2_2"/>
      <w:bookmarkStart w:id="7" w:name="Tc_mqeV43d95EimDNB5aVQ3WA_2_0"/>
      <w:bookmarkStart w:id="8" w:name="_2546df90_7b40_4ff2_b8a3_71e1f1150cff"/>
      <w:bookmarkEnd w:id="6"/>
      <w:bookmarkEnd w:id="7"/>
      <w:bookmarkEnd w:id="8"/>
    </w:p>
    <w:tbl>
      <w:tblPr>
        <w:tblW w:w="4498" w:type="dxa"/>
        <w:jc w:val="left"/>
        <w:tblInd w:w="0" w:type="dxa"/>
        <w:tblLayout w:type="fixed"/>
        <w:tblCellMar>
          <w:top w:w="0" w:type="dxa"/>
          <w:left w:w="0" w:type="dxa"/>
          <w:bottom w:w="0" w:type="dxa"/>
          <w:right w:w="0" w:type="dxa"/>
        </w:tblCellMar>
      </w:tblPr>
      <w:tblGrid>
        <w:gridCol w:w="2581"/>
        <w:gridCol w:w="266"/>
        <w:gridCol w:w="1651"/>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638935" cy="175260"/>
                      <wp:effectExtent l="0" t="0" r="0" b="0"/>
                      <wp:wrapNone/>
                      <wp:docPr id="1" name="Frame1"/>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68910" cy="175260"/>
                      <wp:effectExtent l="0" t="0" r="0" b="0"/>
                      <wp:wrapNone/>
                      <wp:docPr id="2" name="Frame2"/>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048385" cy="175260"/>
                      <wp:effectExtent l="0" t="0" r="0" b="0"/>
                      <wp:wrapNone/>
                      <wp:docPr id="3" name="Frame3"/>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26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87-0747704</w:t>
            </w:r>
          </w:p>
        </w:tc>
      </w:tr>
      <w:tr>
        <w:trPr/>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266" w:type="dxa"/>
            <w:tcBorders/>
            <w:vAlign w:val="center"/>
          </w:tcPr>
          <w:p>
            <w:pPr>
              <w:pStyle w:val="TableContents"/>
              <w:bidi w:val="0"/>
              <w:spacing w:before="0" w:after="240"/>
              <w:ind w:left="0" w:right="0" w:hanging="0"/>
              <w:jc w:val="left"/>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9" w:name="Tc_0kZ1Fwu-xEiJjKRivcVY_w_2_2"/>
      <w:bookmarkStart w:id="10" w:name="Tc_Cw66Zlg7q0agJgDMOZ6Q4Q_2_0"/>
      <w:bookmarkStart w:id="11" w:name="Tc_IT0kWmU4t02HXE2wxPkxGA_1_0"/>
      <w:bookmarkStart w:id="12" w:name="_480dcf84_8648_49b4_9ac4_507218ea7a4f"/>
      <w:bookmarkStart w:id="13" w:name="Tc_0kZ1Fwu-xEiJjKRivcVY_w_2_2"/>
      <w:bookmarkStart w:id="14" w:name="Tc_Cw66Zlg7q0agJgDMOZ6Q4Q_2_0"/>
      <w:bookmarkStart w:id="15" w:name="Tc_IT0kWmU4t02HXE2wxPkxGA_1_0"/>
      <w:bookmarkStart w:id="16" w:name="_480dcf84_8648_49b4_9ac4_507218ea7a4f"/>
      <w:bookmarkEnd w:id="13"/>
      <w:bookmarkEnd w:id="14"/>
      <w:bookmarkEnd w:id="15"/>
      <w:bookmarkEnd w:id="16"/>
    </w:p>
    <w:tbl>
      <w:tblPr>
        <w:tblW w:w="4603" w:type="dxa"/>
        <w:jc w:val="left"/>
        <w:tblInd w:w="0" w:type="dxa"/>
        <w:tblLayout w:type="fixed"/>
        <w:tblCellMar>
          <w:top w:w="0" w:type="dxa"/>
          <w:left w:w="0" w:type="dxa"/>
          <w:bottom w:w="0" w:type="dxa"/>
          <w:right w:w="0" w:type="dxa"/>
        </w:tblCellMar>
      </w:tblPr>
      <w:tblGrid>
        <w:gridCol w:w="3301"/>
        <w:gridCol w:w="266"/>
        <w:gridCol w:w="1036"/>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96135" cy="175260"/>
                      <wp:effectExtent l="0" t="0" r="0" b="0"/>
                      <wp:wrapNone/>
                      <wp:docPr id="4" name="Frame4"/>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68910" cy="175260"/>
                      <wp:effectExtent l="0" t="0" r="0" b="0"/>
                      <wp:wrapNone/>
                      <wp:docPr id="5" name="Frame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57860" cy="175260"/>
                      <wp:effectExtent l="0" t="0" r="0" b="0"/>
                      <wp:wrapNone/>
                      <wp:docPr id="6" name="Frame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345 Inverness Drive South,</w:t>
              <w:br/>
              <w:t>Building C, Suite 310</w:t>
              <w:br/>
              <w:t>Englewood, CO</w:t>
            </w:r>
          </w:p>
        </w:tc>
        <w:tc>
          <w:tcPr>
            <w:tcW w:w="26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80112</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266" w:type="dxa"/>
            <w:tcBorders/>
            <w:vAlign w:val="center"/>
          </w:tcPr>
          <w:p>
            <w:pPr>
              <w:pStyle w:val="TableContents"/>
              <w:bidi w:val="0"/>
              <w:spacing w:before="0" w:after="24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(303) 858-8358</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7" w:name="Tc_4wbyraEQfkmTs3GWrqz2rg_1_4"/>
      <w:bookmarkStart w:id="18" w:name="Tc_ihfjaYQnfE-W-3Gaj2H7ug_1_2"/>
      <w:bookmarkStart w:id="19" w:name="Tc_qpGHxIYhc0ypXW1uz3S3KQ_1_0"/>
      <w:bookmarkStart w:id="20" w:name="_77b96a2c_1cc3_4128_b0bb_4e2e37c10090"/>
      <w:bookmarkStart w:id="21" w:name="Tc_4wbyraEQfkmTs3GWrqz2rg_1_4"/>
      <w:bookmarkStart w:id="22" w:name="Tc_ihfjaYQnfE-W-3Gaj2H7ug_1_2"/>
      <w:bookmarkStart w:id="23" w:name="Tc_qpGHxIYhc0ypXW1uz3S3KQ_1_0"/>
      <w:bookmarkStart w:id="24" w:name="_77b96a2c_1cc3_4128_b0bb_4e2e37c10090"/>
      <w:bookmarkEnd w:id="21"/>
      <w:bookmarkEnd w:id="22"/>
      <w:bookmarkEnd w:id="23"/>
      <w:bookmarkEnd w:id="24"/>
    </w:p>
    <w:tbl>
      <w:tblPr>
        <w:tblW w:w="9670" w:type="dxa"/>
        <w:jc w:val="left"/>
        <w:tblInd w:w="0" w:type="dxa"/>
        <w:tblLayout w:type="fixed"/>
        <w:tblCellMar>
          <w:top w:w="0" w:type="dxa"/>
          <w:left w:w="0" w:type="dxa"/>
          <w:bottom w:w="0" w:type="dxa"/>
          <w:right w:w="0" w:type="dxa"/>
        </w:tblCellMar>
      </w:tblPr>
      <w:tblGrid>
        <w:gridCol w:w="3496"/>
        <w:gridCol w:w="326"/>
        <w:gridCol w:w="1501"/>
        <w:gridCol w:w="326"/>
        <w:gridCol w:w="4021"/>
      </w:tblGrid>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21" w:type="dxa"/>
            <w:tcBorders/>
            <w:vAlign w:val="center"/>
          </w:tcPr>
          <w:p>
            <w:pPr>
              <w:pStyle w:val="TableContents"/>
              <w:bidi w:val="0"/>
              <w:spacing w:before="0" w:after="0"/>
              <w:ind w:left="0" w:right="0" w:hanging="0"/>
              <w:jc w:val="left"/>
              <w:rPr/>
            </w:pPr>
            <w:r>
              <w:rPr/>
              <w:t>​</w:t>
            </w:r>
          </w:p>
        </w:tc>
      </w:tr>
      <w:tr>
        <w:trPr/>
        <w:tc>
          <w:tcPr>
            <w:tcW w:w="34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4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9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$0.01 per share</w:t>
            </w:r>
          </w:p>
        </w:tc>
        <w:tc>
          <w:tcPr>
            <w:tcW w:w="326" w:type="dxa"/>
            <w:tcBorders>
              <w:top w:val="single" w:sz="2" w:space="0" w:color="000000"/>
              <w:bottom w:val="single" w:sz="2" w:space="0" w:color="000000"/>
            </w:tcBorders>
            <w:tcMar>
              <w:top w:w="28" w:type="dxa"/>
              <w:bottom w:w="28" w:type="dxa"/>
            </w:tcMar>
            <w:vAlign w:val="center"/>
          </w:tcPr>
          <w:p>
            <w:pPr>
              <w:pStyle w:val="TableContents"/>
              <w:bidi w:val="0"/>
              <w:spacing w:before="0" w:after="240"/>
              <w:ind w:left="0" w:right="0" w:hanging="0"/>
              <w:jc w:val="center"/>
              <w:rPr/>
            </w:pPr>
            <w:r>
              <w:rPr/>
              <w:t>​</w:t>
            </w:r>
          </w:p>
        </w:tc>
        <w:tc>
          <w:tcPr>
            <w:tcW w:w="150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GEVO</w:t>
            </w:r>
          </w:p>
        </w:tc>
        <w:tc>
          <w:tcPr>
            <w:tcW w:w="326" w:type="dxa"/>
            <w:tcBorders>
              <w:top w:val="single" w:sz="2" w:space="0" w:color="000000"/>
              <w:bottom w:val="single" w:sz="2" w:space="0" w:color="000000"/>
            </w:tcBorders>
            <w:tcMar>
              <w:top w:w="28" w:type="dxa"/>
              <w:bottom w:w="28" w:type="dxa"/>
            </w:tcMar>
            <w:vAlign w:val="center"/>
          </w:tcPr>
          <w:p>
            <w:pPr>
              <w:pStyle w:val="TableContents"/>
              <w:bidi w:val="0"/>
              <w:spacing w:before="0" w:after="240"/>
              <w:ind w:left="0" w:right="0" w:hanging="0"/>
              <w:jc w:val="center"/>
              <w:rPr/>
            </w:pPr>
            <w:r>
              <w:rPr/>
              <w:t>​</w:t>
            </w:r>
          </w:p>
        </w:tc>
        <w:tc>
          <w:tcPr>
            <w:tcW w:w="402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240"/>
        <w:ind w:left="0" w:right="0" w:firstLine="540"/>
        <w:jc w:val="left"/>
        <w:rPr/>
      </w:pPr>
      <w:r>
        <w:rPr/>
        <w:t>​</w:t>
      </w:r>
    </w:p>
    <w:p>
      <w:pPr>
        <w:pStyle w:val="TextBody"/>
        <w:bidi w:val="0"/>
        <w:spacing w:before="0" w:after="0"/>
        <w:ind w:left="150" w:right="0" w:firstLine="36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240"/>
        <w:ind w:left="150" w:right="0" w:firstLine="360"/>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5" w:name="Tc_5tu_faUxCEO09FHsEasnEQ_2_2"/>
      <w:bookmarkStart w:id="26" w:name="Tc_WgTXSxDNvkeCZvUw8sCycw_1_2"/>
      <w:bookmarkStart w:id="27" w:name="Tc_ZDgs_YmLI0aZb1uNpNmysw_1_1"/>
      <w:bookmarkStart w:id="28" w:name="Tc_bxnbd52N-EygTa-z6JDIjw_0_3"/>
      <w:bookmarkStart w:id="29" w:name="Tc_onS7jslrSkSsfJ0HA5JWFg_0_2"/>
      <w:bookmarkStart w:id="30" w:name="Tc_85MODW_rBUGDb9nmdiHumQ_0_1"/>
      <w:bookmarkStart w:id="31" w:name="Tc_XWm7fKTjzkav9JDL0DoNJg_0_0"/>
      <w:bookmarkStart w:id="32" w:name="_c97b7adc_7f84_4ae4_ace0_a37bf3a966ab"/>
      <w:bookmarkStart w:id="33" w:name="Tc_5tu_faUxCEO09FHsEasnEQ_2_2"/>
      <w:bookmarkStart w:id="34" w:name="Tc_WgTXSxDNvkeCZvUw8sCycw_1_2"/>
      <w:bookmarkStart w:id="35" w:name="Tc_ZDgs_YmLI0aZb1uNpNmysw_1_1"/>
      <w:bookmarkStart w:id="36" w:name="Tc_bxnbd52N-EygTa-z6JDIjw_0_3"/>
      <w:bookmarkStart w:id="37" w:name="Tc_onS7jslrSkSsfJ0HA5JWFg_0_2"/>
      <w:bookmarkStart w:id="38" w:name="Tc_85MODW_rBUGDb9nmdiHumQ_0_1"/>
      <w:bookmarkStart w:id="39" w:name="Tc_XWm7fKTjzkav9JDL0DoNJg_0_0"/>
      <w:bookmarkStart w:id="40" w:name="_c97b7adc_7f84_4ae4_ace0_a37bf3a966ab"/>
      <w:bookmarkEnd w:id="33"/>
      <w:bookmarkEnd w:id="34"/>
      <w:bookmarkEnd w:id="35"/>
      <w:bookmarkEnd w:id="36"/>
      <w:bookmarkEnd w:id="37"/>
      <w:bookmarkEnd w:id="38"/>
      <w:bookmarkEnd w:id="39"/>
      <w:bookmarkEnd w:id="40"/>
    </w:p>
    <w:tbl>
      <w:tblPr>
        <w:tblW w:w="4909" w:type="dxa"/>
        <w:jc w:val="left"/>
        <w:tblInd w:w="0" w:type="dxa"/>
        <w:tblLayout w:type="fixed"/>
        <w:tblCellMar>
          <w:top w:w="0" w:type="dxa"/>
          <w:left w:w="0" w:type="dxa"/>
          <w:bottom w:w="0" w:type="dxa"/>
          <w:right w:w="0" w:type="dxa"/>
        </w:tblCellMar>
      </w:tblPr>
      <w:tblGrid>
        <w:gridCol w:w="1921"/>
        <w:gridCol w:w="316"/>
        <w:gridCol w:w="2311"/>
        <w:gridCol w:w="361"/>
      </w:tblGrid>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w:t>
            </w:r>
          </w:p>
        </w:tc>
        <w:tc>
          <w:tcPr>
            <w:tcW w:w="316" w:type="dxa"/>
            <w:tcBorders/>
            <w:vAlign w:val="center"/>
          </w:tcPr>
          <w:p>
            <w:pPr>
              <w:pStyle w:val="TableContents"/>
              <w:bidi w:val="0"/>
              <w:spacing w:before="0" w:after="0"/>
              <w:ind w:left="0" w:right="0" w:hanging="0"/>
              <w:jc w:val="center"/>
              <w:rPr/>
            </w:pPr>
            <w:r>
              <w:rPr/>
              <w:t>☐</w:t>
            </w:r>
          </w:p>
        </w:tc>
        <w:tc>
          <w:tcPr>
            <w:tcW w:w="23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Accelerated filer</w:t>
            </w:r>
          </w:p>
        </w:tc>
        <w:tc>
          <w:tcPr>
            <w:tcW w:w="361"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w:t>
            </w:r>
          </w:p>
        </w:tc>
        <w:tc>
          <w:tcPr>
            <w:tcW w:w="316" w:type="dxa"/>
            <w:tcBorders/>
            <w:vAlign w:val="center"/>
          </w:tcPr>
          <w:p>
            <w:pPr>
              <w:pStyle w:val="TableContents"/>
              <w:bidi w:val="0"/>
              <w:spacing w:before="0" w:after="0"/>
              <w:ind w:left="0" w:right="0" w:hanging="0"/>
              <w:jc w:val="center"/>
              <w:rPr/>
            </w:pPr>
            <w:r>
              <w:rPr/>
              <w:t>☒</w:t>
            </w:r>
          </w:p>
        </w:tc>
        <w:tc>
          <w:tcPr>
            <w:tcW w:w="23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Smaller reporting company</w:t>
            </w:r>
          </w:p>
        </w:tc>
        <w:tc>
          <w:tcPr>
            <w:tcW w:w="361"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center"/>
              <w:rPr/>
            </w:pPr>
            <w:r>
              <w:rPr/>
              <w:t>​</w:t>
            </w:r>
          </w:p>
        </w:tc>
        <w:tc>
          <w:tcPr>
            <w:tcW w:w="23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Emerging growth company</w:t>
            </w:r>
          </w:p>
        </w:tc>
        <w:tc>
          <w:tcPr>
            <w:tcW w:w="361"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firstLine="547"/>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240"/>
        <w:ind w:left="0" w:right="0" w:firstLine="540"/>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As of August 7, 2025, 241,839,083 shares of the registrant’s common stock were outstanding.</w:t>
      </w:r>
    </w:p>
    <w:p>
      <w:pPr>
        <w:pStyle w:val="TextBody"/>
        <w:pBdr>
          <w:top w:val="single" w:sz="8" w:space="1" w:color="000000"/>
          <w:bottom w:val="single" w:sz="24" w:space="1" w:color="000000"/>
        </w:pBdr>
        <w:bidi w:val="0"/>
        <w:spacing w:before="0" w:after="240"/>
        <w:ind w:left="0" w:right="0" w:firstLine="540"/>
        <w:jc w:val="left"/>
        <w:rPr/>
      </w:pPr>
      <w:r>
        <w:rPr/>
        <w:t>​</w:t>
      </w:r>
    </w:p>
    <w:p>
      <w:pPr>
        <w:pStyle w:val="TextBody"/>
        <w:bidi w:val="0"/>
        <w:spacing w:before="0" w:after="0"/>
        <w:ind w:left="0" w:right="0" w:hanging="0"/>
        <w:jc w:val="left"/>
        <w:rPr/>
      </w:pPr>
      <w:r>
        <w:rPr/>
        <w:t>​</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1" w:name="_50b6d9cf_c685_4af2_a53c_c7e573df7754"/>
      <w:bookmarkEnd w:id="41"/>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2025</w:t>
      </w:r>
    </w:p>
    <w:p>
      <w:pPr>
        <w:pStyle w:val="TextBody"/>
        <w:bidi w:val="0"/>
        <w:spacing w:before="0" w:after="240"/>
        <w:ind w:left="0" w:right="0" w:hanging="0"/>
        <w:jc w:val="center"/>
        <w:rPr>
          <w:rFonts w:ascii="Times New Roman;Times;serif" w:hAnsi="Times New Roman;Times;serif"/>
          <w:b/>
          <w:sz w:val="20"/>
        </w:rPr>
      </w:pPr>
      <w:bookmarkStart w:id="42" w:name="TOC"/>
      <w:bookmarkEnd w:id="42"/>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811"/>
        <w:gridCol w:w="8853"/>
        <w:gridCol w:w="541"/>
      </w:tblGrid>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10205" w:type="dxa"/>
            <w:gridSpan w:val="3"/>
            <w:tcBorders/>
            <w:vAlign w:val="center"/>
          </w:tcPr>
          <w:p>
            <w:pPr>
              <w:pStyle w:val="TableContents"/>
              <w:bidi w:val="0"/>
              <w:spacing w:before="0" w:after="0"/>
              <w:ind w:left="0" w:right="0" w:hanging="0"/>
              <w:jc w:val="center"/>
              <w:rPr/>
            </w:pPr>
            <w:hyperlink w:anchor="PARTIFINANCIALINFORMATION_645820">
              <w:r>
                <w:rPr>
                  <w:rStyle w:val="InternetLink"/>
                  <w:rFonts w:ascii="Times New Roman;Times;serif" w:hAnsi="Times New Roman;Times;serif"/>
                  <w:b/>
                  <w:i w:val="false"/>
                  <w:caps w:val="false"/>
                  <w:smallCaps w:val="false"/>
                  <w:sz w:val="20"/>
                </w:rPr>
                <w:t>PART I. FINANCIAL INFORMATION</w:t>
              </w:r>
            </w:hyperlink>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r>
      <w:tr>
        <w:trPr/>
        <w:tc>
          <w:tcPr>
            <w:tcW w:w="811" w:type="dxa"/>
            <w:tcBorders/>
            <w:vAlign w:val="center"/>
          </w:tcPr>
          <w:p>
            <w:pPr>
              <w:pStyle w:val="TableContents"/>
              <w:bidi w:val="0"/>
              <w:spacing w:before="0" w:after="0"/>
              <w:ind w:left="0" w:right="0" w:hanging="0"/>
              <w:jc w:val="left"/>
              <w:rPr/>
            </w:pPr>
            <w:hyperlink w:anchor="Item1FinancialStatements_375279">
              <w:r>
                <w:rPr>
                  <w:rStyle w:val="InternetLink"/>
                  <w:rFonts w:ascii="Times New Roman;Times;serif" w:hAnsi="Times New Roman;Times;serif"/>
                  <w:b w:val="false"/>
                  <w:i w:val="false"/>
                  <w:caps w:val="false"/>
                  <w:smallCaps w:val="false"/>
                  <w:sz w:val="20"/>
                </w:rPr>
                <w:t>Item 1.</w:t>
              </w:r>
            </w:hyperlink>
          </w:p>
        </w:tc>
        <w:tc>
          <w:tcPr>
            <w:tcW w:w="8853" w:type="dxa"/>
            <w:tcBorders/>
            <w:vAlign w:val="center"/>
          </w:tcPr>
          <w:p>
            <w:pPr>
              <w:pStyle w:val="TableContents"/>
              <w:bidi w:val="0"/>
              <w:spacing w:before="0" w:after="0"/>
              <w:ind w:left="0" w:right="0" w:hanging="0"/>
              <w:jc w:val="left"/>
              <w:rPr/>
            </w:pPr>
            <w:hyperlink w:anchor="Item1FinancialStatements_375279">
              <w:r>
                <w:rPr>
                  <w:rStyle w:val="InternetLink"/>
                  <w:rFonts w:ascii="Times New Roman;Times;serif" w:hAnsi="Times New Roman;Times;serif"/>
                  <w:b w:val="false"/>
                  <w:i w:val="false"/>
                  <w:caps w:val="false"/>
                  <w:smallCaps w:val="false"/>
                  <w:sz w:val="20"/>
                </w:rPr>
                <w:t>Financial Statements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CONSOLIDATEDBALANCESHEETS_963619">
              <w:r>
                <w:rPr>
                  <w:rStyle w:val="InternetLink"/>
                  <w:rFonts w:ascii="Times New Roman;Times;serif" w:hAnsi="Times New Roman;Times;serif"/>
                  <w:b w:val="false"/>
                  <w:i w:val="false"/>
                  <w:caps w:val="false"/>
                  <w:smallCaps w:val="false"/>
                  <w:sz w:val="20"/>
                </w:rPr>
                <w:t>Condensed Consolidated Balance Sheets as of June 30, 2025 and December 31, 2024 (unaudited)</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CONSOLIDATEDSTATEMENTSOFOPERATIONS_79993">
              <w:r>
                <w:rPr>
                  <w:rStyle w:val="InternetLink"/>
                  <w:rFonts w:ascii="Times New Roman;Times;serif" w:hAnsi="Times New Roman;Times;serif"/>
                  <w:b w:val="false"/>
                  <w:i w:val="false"/>
                  <w:caps w:val="false"/>
                  <w:smallCaps w:val="false"/>
                  <w:sz w:val="20"/>
                </w:rPr>
                <w:t>Condensed Consolidated Statements of Operations for the three and six months ended June 30, 2025 and 2024 (unaudited)</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CONSOLIDATEDSTATEMENTSOFSTOCKHOLDERSEQUI">
              <w:r>
                <w:rPr>
                  <w:rStyle w:val="InternetLink"/>
                  <w:rFonts w:ascii="Times New Roman;Times;serif" w:hAnsi="Times New Roman;Times;serif"/>
                  <w:b w:val="false"/>
                  <w:i w:val="false"/>
                  <w:caps w:val="false"/>
                  <w:smallCaps w:val="false"/>
                  <w:sz w:val="20"/>
                </w:rPr>
                <w:t>Condensed Consolidated Statements of Stockholders’ Equity for the three and six months ended June 30, 2025 and 2024 (unaudited)</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CONSOLIDATEDSTATEMENTSOFCASHFLOWS_224163">
              <w:r>
                <w:rPr>
                  <w:rStyle w:val="InternetLink"/>
                  <w:rFonts w:ascii="Times New Roman;Times;serif" w:hAnsi="Times New Roman;Times;serif"/>
                  <w:b w:val="false"/>
                  <w:i w:val="false"/>
                  <w:caps w:val="false"/>
                  <w:smallCaps w:val="false"/>
                  <w:sz w:val="20"/>
                </w:rPr>
                <w:t>Condensed Consolidated Statements of Cash Flows for the six months ended June 30, 2025 and 2024 (unaudited)</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a1NatureofBusinessFinancialConditionandB">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853"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w:t>
            </w:r>
          </w:p>
        </w:tc>
      </w:tr>
      <w:tr>
        <w:trPr/>
        <w:tc>
          <w:tcPr>
            <w:tcW w:w="81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853"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w:t>
            </w:r>
          </w:p>
        </w:tc>
      </w:tr>
      <w:tr>
        <w:trPr/>
        <w:tc>
          <w:tcPr>
            <w:tcW w:w="811" w:type="dxa"/>
            <w:tcBorders/>
            <w:vAlign w:val="center"/>
          </w:tcPr>
          <w:p>
            <w:pPr>
              <w:pStyle w:val="TableContents"/>
              <w:bidi w:val="0"/>
              <w:spacing w:before="0" w:after="0"/>
              <w:ind w:left="0" w:right="0" w:hanging="0"/>
              <w:jc w:val="left"/>
              <w:rPr/>
            </w:pPr>
            <w:hyperlink w:anchor="Item4ControlsandProcedures_150025">
              <w:r>
                <w:rPr>
                  <w:rStyle w:val="InternetLink"/>
                  <w:rFonts w:ascii="Times New Roman;Times;serif" w:hAnsi="Times New Roman;Times;serif"/>
                  <w:b w:val="false"/>
                  <w:i w:val="false"/>
                  <w:caps w:val="false"/>
                  <w:smallCaps w:val="false"/>
                  <w:sz w:val="20"/>
                </w:rPr>
                <w:t>Item 4.</w:t>
              </w:r>
            </w:hyperlink>
          </w:p>
        </w:tc>
        <w:tc>
          <w:tcPr>
            <w:tcW w:w="8853" w:type="dxa"/>
            <w:tcBorders/>
            <w:vAlign w:val="center"/>
          </w:tcPr>
          <w:p>
            <w:pPr>
              <w:pStyle w:val="TableContents"/>
              <w:bidi w:val="0"/>
              <w:spacing w:before="0" w:after="0"/>
              <w:ind w:left="0" w:right="0" w:hanging="0"/>
              <w:jc w:val="left"/>
              <w:rPr/>
            </w:pPr>
            <w:hyperlink w:anchor="Item4ControlsandProcedures_150025">
              <w:r>
                <w:rPr>
                  <w:rStyle w:val="InternetLink"/>
                  <w:rFonts w:ascii="Times New Roman;Times;serif" w:hAnsi="Times New Roman;Times;serif"/>
                  <w:b w:val="false"/>
                  <w:i w:val="false"/>
                  <w:caps w:val="false"/>
                  <w:smallCaps w:val="false"/>
                  <w:sz w:val="20"/>
                </w:rPr>
                <w:t>Controls and Procedures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10205" w:type="dxa"/>
            <w:gridSpan w:val="3"/>
            <w:tcBorders/>
            <w:vAlign w:val="center"/>
          </w:tcPr>
          <w:p>
            <w:pPr>
              <w:pStyle w:val="TableContents"/>
              <w:bidi w:val="0"/>
              <w:spacing w:before="0" w:after="0"/>
              <w:ind w:left="0" w:right="0" w:hanging="0"/>
              <w:jc w:val="center"/>
              <w:rPr/>
            </w:pPr>
            <w:hyperlink w:anchor="PARTIIOTHERINFORMATION_881509">
              <w:r>
                <w:rPr>
                  <w:rStyle w:val="InternetLink"/>
                  <w:rFonts w:ascii="Times New Roman;Times;serif" w:hAnsi="Times New Roman;Times;serif"/>
                  <w:b/>
                  <w:i w:val="false"/>
                  <w:caps w:val="false"/>
                  <w:smallCaps w:val="false"/>
                  <w:sz w:val="20"/>
                </w:rPr>
                <w:t>PART II. OTHER INFORMATION</w:t>
              </w:r>
            </w:hyperlink>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1LegalProceedings_687788">
              <w:r>
                <w:rPr>
                  <w:rStyle w:val="InternetLink"/>
                  <w:rFonts w:ascii="Times New Roman;Times;serif" w:hAnsi="Times New Roman;Times;serif"/>
                  <w:b w:val="false"/>
                  <w:i w:val="false"/>
                  <w:caps w:val="false"/>
                  <w:smallCaps w:val="false"/>
                  <w:sz w:val="20"/>
                </w:rPr>
                <w:t>Item 1.</w:t>
              </w:r>
            </w:hyperlink>
          </w:p>
        </w:tc>
        <w:tc>
          <w:tcPr>
            <w:tcW w:w="8853" w:type="dxa"/>
            <w:tcBorders/>
            <w:vAlign w:val="center"/>
          </w:tcPr>
          <w:p>
            <w:pPr>
              <w:pStyle w:val="TableContents"/>
              <w:bidi w:val="0"/>
              <w:spacing w:before="0" w:after="0"/>
              <w:ind w:left="0" w:right="0" w:hanging="0"/>
              <w:jc w:val="left"/>
              <w:rPr/>
            </w:pPr>
            <w:hyperlink w:anchor="Item1LegalProceedings_687788">
              <w:r>
                <w:rPr>
                  <w:rStyle w:val="InternetLink"/>
                  <w:rFonts w:ascii="Times New Roman;Times;serif" w:hAnsi="Times New Roman;Times;serif"/>
                  <w:b w:val="false"/>
                  <w:i w:val="false"/>
                  <w:caps w:val="false"/>
                  <w:smallCaps w:val="false"/>
                  <w:sz w:val="20"/>
                </w:rPr>
                <w:t>Legal Proceedings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tc>
      </w:tr>
      <w:tr>
        <w:trPr/>
        <w:tc>
          <w:tcPr>
            <w:tcW w:w="811" w:type="dxa"/>
            <w:tcBorders/>
            <w:vAlign w:val="center"/>
          </w:tcPr>
          <w:p>
            <w:pPr>
              <w:pStyle w:val="TableContents"/>
              <w:bidi w:val="0"/>
              <w:spacing w:before="0" w:after="0"/>
              <w:ind w:left="0" w:right="0" w:hanging="0"/>
              <w:jc w:val="left"/>
              <w:rPr/>
            </w:pPr>
            <w:hyperlink w:anchor="Item1ARiskFactors_410492">
              <w:r>
                <w:rPr>
                  <w:rStyle w:val="InternetLink"/>
                  <w:rFonts w:ascii="Times New Roman;Times;serif" w:hAnsi="Times New Roman;Times;serif"/>
                  <w:b w:val="false"/>
                  <w:i w:val="false"/>
                  <w:caps w:val="false"/>
                  <w:smallCaps w:val="false"/>
                  <w:sz w:val="20"/>
                </w:rPr>
                <w:t>Item 1A.</w:t>
              </w:r>
            </w:hyperlink>
          </w:p>
        </w:tc>
        <w:tc>
          <w:tcPr>
            <w:tcW w:w="8853" w:type="dxa"/>
            <w:tcBorders/>
            <w:vAlign w:val="center"/>
          </w:tcPr>
          <w:p>
            <w:pPr>
              <w:pStyle w:val="TableContents"/>
              <w:bidi w:val="0"/>
              <w:spacing w:before="0" w:after="0"/>
              <w:ind w:left="0" w:right="0" w:hanging="0"/>
              <w:jc w:val="left"/>
              <w:rPr/>
            </w:pPr>
            <w:hyperlink w:anchor="Item1ARiskFactors_410492">
              <w:r>
                <w:rPr>
                  <w:rStyle w:val="InternetLink"/>
                  <w:rFonts w:ascii="Times New Roman;Times;serif" w:hAnsi="Times New Roman;Times;serif"/>
                  <w:b w:val="false"/>
                  <w:i w:val="false"/>
                  <w:caps w:val="false"/>
                  <w:smallCaps w:val="false"/>
                  <w:sz w:val="20"/>
                </w:rPr>
                <w:t>Risk Factors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tc>
      </w:tr>
      <w:tr>
        <w:trPr/>
        <w:tc>
          <w:tcPr>
            <w:tcW w:w="81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853" w:type="dxa"/>
            <w:tcBorders/>
            <w:vAlign w:val="center"/>
          </w:tcPr>
          <w:p>
            <w:pPr>
              <w:pStyle w:val="TableContents"/>
              <w:bidi w:val="0"/>
              <w:spacing w:before="0" w:after="0"/>
              <w:ind w:left="0" w:right="0" w:hanging="0"/>
              <w:jc w:val="left"/>
              <w:rPr/>
            </w:pPr>
            <w:hyperlink w:anchor="_Item_2._Unregistered">
              <w:r>
                <w:rPr>
                  <w:rStyle w:val="InternetLink"/>
                  <w:rFonts w:ascii="Times New Roman;Times;serif" w:hAnsi="Times New Roman;Times;serif"/>
                  <w:b w:val="false"/>
                  <w:i w:val="false"/>
                  <w:caps w:val="false"/>
                  <w:smallCaps w:val="false"/>
                  <w:sz w:val="20"/>
                </w:rPr>
                <w:t>Unregistered Sales of Equity Securities, Use of Proceeds</w:t>
              </w:r>
            </w:hyperlink>
            <w:r>
              <w:rPr>
                <w:rFonts w:ascii="Times New Roman;Times;serif" w:hAnsi="Times New Roman;Times;serif"/>
                <w:sz w:val="20"/>
              </w:rPr>
              <w:t>, and Issuer Purchases of Equity Securities</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tc>
      </w:tr>
      <w:tr>
        <w:trPr/>
        <w:tc>
          <w:tcPr>
            <w:tcW w:w="811" w:type="dxa"/>
            <w:tcBorders/>
            <w:vAlign w:val="center"/>
          </w:tcPr>
          <w:p>
            <w:pPr>
              <w:pStyle w:val="TableContents"/>
              <w:bidi w:val="0"/>
              <w:spacing w:before="0" w:after="0"/>
              <w:ind w:left="0" w:right="0" w:hanging="0"/>
              <w:jc w:val="left"/>
              <w:rPr/>
            </w:pPr>
            <w:hyperlink w:anchor="Item3DefaultsUponSeniorSecurities_300980">
              <w:r>
                <w:rPr>
                  <w:rStyle w:val="InternetLink"/>
                  <w:rFonts w:ascii="Times New Roman;Times;serif" w:hAnsi="Times New Roman;Times;serif"/>
                  <w:b w:val="false"/>
                  <w:i w:val="false"/>
                  <w:caps w:val="false"/>
                  <w:smallCaps w:val="false"/>
                  <w:sz w:val="20"/>
                </w:rPr>
                <w:t>Item 3.</w:t>
              </w:r>
            </w:hyperlink>
          </w:p>
        </w:tc>
        <w:tc>
          <w:tcPr>
            <w:tcW w:w="8853" w:type="dxa"/>
            <w:tcBorders/>
            <w:vAlign w:val="center"/>
          </w:tcPr>
          <w:p>
            <w:pPr>
              <w:pStyle w:val="TableContents"/>
              <w:bidi w:val="0"/>
              <w:spacing w:before="0" w:after="0"/>
              <w:ind w:left="0" w:right="0" w:hanging="0"/>
              <w:jc w:val="left"/>
              <w:rPr/>
            </w:pPr>
            <w:hyperlink w:anchor="Item3DefaultsUponSeniorSecurities_300980">
              <w:r>
                <w:rPr>
                  <w:rStyle w:val="InternetLink"/>
                  <w:rFonts w:ascii="Times New Roman;Times;serif" w:hAnsi="Times New Roman;Times;serif"/>
                  <w:b w:val="false"/>
                  <w:i w:val="false"/>
                  <w:caps w:val="false"/>
                  <w:smallCaps w:val="false"/>
                  <w:sz w:val="20"/>
                </w:rPr>
                <w:t>Defaults Upon Senior Securities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tc>
      </w:tr>
      <w:tr>
        <w:trPr/>
        <w:tc>
          <w:tcPr>
            <w:tcW w:w="811" w:type="dxa"/>
            <w:tcBorders/>
            <w:vAlign w:val="center"/>
          </w:tcPr>
          <w:p>
            <w:pPr>
              <w:pStyle w:val="TableContents"/>
              <w:bidi w:val="0"/>
              <w:spacing w:before="0" w:after="0"/>
              <w:ind w:left="0" w:right="0" w:hanging="0"/>
              <w:jc w:val="left"/>
              <w:rPr/>
            </w:pPr>
            <w:hyperlink w:anchor="Item4MineSafetyDisclosures_988747">
              <w:r>
                <w:rPr>
                  <w:rStyle w:val="InternetLink"/>
                  <w:rFonts w:ascii="Times New Roman;Times;serif" w:hAnsi="Times New Roman;Times;serif"/>
                  <w:b w:val="false"/>
                  <w:i w:val="false"/>
                  <w:caps w:val="false"/>
                  <w:smallCaps w:val="false"/>
                  <w:sz w:val="20"/>
                </w:rPr>
                <w:t>Item 4.</w:t>
              </w:r>
            </w:hyperlink>
          </w:p>
        </w:tc>
        <w:tc>
          <w:tcPr>
            <w:tcW w:w="8853" w:type="dxa"/>
            <w:tcBorders/>
            <w:vAlign w:val="center"/>
          </w:tcPr>
          <w:p>
            <w:pPr>
              <w:pStyle w:val="TableContents"/>
              <w:bidi w:val="0"/>
              <w:spacing w:before="0" w:after="0"/>
              <w:ind w:left="0" w:right="0" w:hanging="0"/>
              <w:jc w:val="left"/>
              <w:rPr/>
            </w:pPr>
            <w:hyperlink w:anchor="Item4MineSafetyDisclosures_988747">
              <w:r>
                <w:rPr>
                  <w:rStyle w:val="InternetLink"/>
                  <w:rFonts w:ascii="Times New Roman;Times;serif" w:hAnsi="Times New Roman;Times;serif"/>
                  <w:b w:val="false"/>
                  <w:i w:val="false"/>
                  <w:caps w:val="false"/>
                  <w:smallCaps w:val="false"/>
                  <w:sz w:val="20"/>
                </w:rPr>
                <w:t>Mine Safety Disclosures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tc>
      </w:tr>
      <w:tr>
        <w:trPr/>
        <w:tc>
          <w:tcPr>
            <w:tcW w:w="811" w:type="dxa"/>
            <w:tcBorders/>
            <w:vAlign w:val="center"/>
          </w:tcPr>
          <w:p>
            <w:pPr>
              <w:pStyle w:val="TableContents"/>
              <w:bidi w:val="0"/>
              <w:spacing w:before="0" w:after="0"/>
              <w:ind w:left="0" w:right="0" w:hanging="0"/>
              <w:jc w:val="left"/>
              <w:rPr/>
            </w:pPr>
            <w:hyperlink w:anchor="Item5OtherInformation_31786">
              <w:r>
                <w:rPr>
                  <w:rStyle w:val="InternetLink"/>
                  <w:rFonts w:ascii="Times New Roman;Times;serif" w:hAnsi="Times New Roman;Times;serif"/>
                  <w:b w:val="false"/>
                  <w:i w:val="false"/>
                  <w:caps w:val="false"/>
                  <w:smallCaps w:val="false"/>
                  <w:sz w:val="20"/>
                </w:rPr>
                <w:t>Item 5.</w:t>
              </w:r>
            </w:hyperlink>
          </w:p>
        </w:tc>
        <w:tc>
          <w:tcPr>
            <w:tcW w:w="8853" w:type="dxa"/>
            <w:tcBorders/>
            <w:vAlign w:val="center"/>
          </w:tcPr>
          <w:p>
            <w:pPr>
              <w:pStyle w:val="TableContents"/>
              <w:bidi w:val="0"/>
              <w:spacing w:before="0" w:after="0"/>
              <w:ind w:left="0" w:right="0" w:hanging="0"/>
              <w:jc w:val="left"/>
              <w:rPr/>
            </w:pPr>
            <w:hyperlink w:anchor="Item5OtherInformation_31786">
              <w:r>
                <w:rPr>
                  <w:rStyle w:val="InternetLink"/>
                  <w:rFonts w:ascii="Times New Roman;Times;serif" w:hAnsi="Times New Roman;Times;serif"/>
                  <w:b w:val="false"/>
                  <w:i w:val="false"/>
                  <w:caps w:val="false"/>
                  <w:smallCaps w:val="false"/>
                  <w:sz w:val="20"/>
                </w:rPr>
                <w:t>Other Information</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tc>
      </w:tr>
      <w:tr>
        <w:trPr/>
        <w:tc>
          <w:tcPr>
            <w:tcW w:w="811" w:type="dxa"/>
            <w:tcBorders/>
            <w:vAlign w:val="center"/>
          </w:tcPr>
          <w:p>
            <w:pPr>
              <w:pStyle w:val="TableContents"/>
              <w:bidi w:val="0"/>
              <w:spacing w:before="0" w:after="0"/>
              <w:ind w:left="0" w:right="0" w:hanging="0"/>
              <w:jc w:val="left"/>
              <w:rPr/>
            </w:pPr>
            <w:hyperlink w:anchor="Item6Exhibits_75368">
              <w:r>
                <w:rPr>
                  <w:rStyle w:val="InternetLink"/>
                  <w:rFonts w:ascii="Times New Roman;Times;serif" w:hAnsi="Times New Roman;Times;serif"/>
                  <w:b w:val="false"/>
                  <w:i w:val="false"/>
                  <w:caps w:val="false"/>
                  <w:smallCaps w:val="false"/>
                  <w:sz w:val="20"/>
                </w:rPr>
                <w:t>Item 6.</w:t>
              </w:r>
            </w:hyperlink>
          </w:p>
        </w:tc>
        <w:tc>
          <w:tcPr>
            <w:tcW w:w="8853" w:type="dxa"/>
            <w:tcBorders/>
            <w:vAlign w:val="center"/>
          </w:tcPr>
          <w:p>
            <w:pPr>
              <w:pStyle w:val="TableContents"/>
              <w:bidi w:val="0"/>
              <w:spacing w:before="0" w:after="0"/>
              <w:ind w:left="0" w:right="0" w:hanging="0"/>
              <w:jc w:val="left"/>
              <w:rPr/>
            </w:pPr>
            <w:hyperlink w:anchor="Item6Exhibits_75368">
              <w:r>
                <w:rPr>
                  <w:rStyle w:val="InternetLink"/>
                  <w:rFonts w:ascii="Times New Roman;Times;serif" w:hAnsi="Times New Roman;Times;serif"/>
                  <w:b w:val="false"/>
                  <w:i w:val="false"/>
                  <w:caps w:val="false"/>
                  <w:smallCaps w:val="false"/>
                  <w:sz w:val="20"/>
                </w:rPr>
                <w:t>Exhibits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SIGNATURES_446651">
              <w:r>
                <w:rPr>
                  <w:rStyle w:val="InternetLink"/>
                  <w:rFonts w:ascii="Times New Roman;Times;serif" w:hAnsi="Times New Roman;Times;serif"/>
                  <w:b w:val="false"/>
                  <w:i w:val="false"/>
                  <w:caps w:val="false"/>
                  <w:smallCaps w:val="false"/>
                  <w:sz w:val="20"/>
                </w:rPr>
                <w:t>Signatures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56</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3" w:name="PARTIFINANCIALINFORMATION_645820"/>
      <w:bookmarkStart w:id="44" w:name="_20dc4851_9dd0_4e6f_9144_a67d1b1f3c36"/>
      <w:bookmarkEnd w:id="43"/>
      <w:bookmarkEnd w:id="44"/>
      <w:r>
        <w:rPr>
          <w:rFonts w:ascii="Times New Roman;Times;serif" w:hAnsi="Times New Roman;Times;serif"/>
          <w:b/>
          <w:sz w:val="20"/>
        </w:rPr>
        <w:t>PART I: FINANCIAL INFORMATION</w:t>
      </w:r>
    </w:p>
    <w:p>
      <w:pPr>
        <w:pStyle w:val="TextBody"/>
        <w:bidi w:val="0"/>
        <w:spacing w:before="0" w:after="240"/>
        <w:ind w:left="0" w:right="0" w:hanging="0"/>
        <w:jc w:val="left"/>
        <w:rPr>
          <w:rFonts w:ascii="Times New Roman;Times;serif" w:hAnsi="Times New Roman;Times;serif"/>
          <w:b/>
          <w:sz w:val="20"/>
        </w:rPr>
      </w:pPr>
      <w:bookmarkStart w:id="45" w:name="Item1FinancialStatements_375279"/>
      <w:bookmarkEnd w:id="45"/>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bookmarkStart w:id="46" w:name="CONSOLIDATEDBALANCESHEETS_963619"/>
      <w:bookmarkEnd w:id="46"/>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share and per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7" w:name="Tc_EiUr8pmmAUOkWZ1FX7OVAw_40_5"/>
      <w:bookmarkStart w:id="48" w:name="Tc_lFWrJOb7K0SercDJ4Zm0WA_40_2"/>
      <w:bookmarkStart w:id="49" w:name="Tc_XqPnd20m4UOfY9zqAUky8A_40_0"/>
      <w:bookmarkStart w:id="50" w:name="Tc_uO2nZiVe9E6yAkQ0bVYnww_39_0"/>
      <w:bookmarkStart w:id="51" w:name="Tc_NCANF5GUlE6cq-cQPJl-Uw_38_0"/>
      <w:bookmarkStart w:id="52" w:name="Tc_PVhuk2ao30SZOpaQ1qpLEQ_37_0"/>
      <w:bookmarkStart w:id="53" w:name="Tc_E3v5LL1XBkSx87nX-TB66Q_36_0"/>
      <w:bookmarkStart w:id="54" w:name="Tc_keQbH5GYvUaKZaYO8WEXaA_35_0"/>
      <w:bookmarkStart w:id="55" w:name="Tc_Wm3eoMYfdU656iKLwOzpcQ_33_6"/>
      <w:bookmarkStart w:id="56" w:name="Tc_4TBE_ONdUE2kyIbfle7Aow_33_0"/>
      <w:bookmarkStart w:id="57" w:name="Tc_a3TPX-WcW0-o_jLksGniwg_31_0"/>
      <w:bookmarkStart w:id="58" w:name="Tc_CyTqWo0h40iWA3t_SOqfmw_30_0"/>
      <w:bookmarkStart w:id="59" w:name="Tc_jo9VV0Dn_E6qr23vJ5WcHg_29_6"/>
      <w:bookmarkStart w:id="60" w:name="Tc_hn3Kpr0wZkawwLhsWqp0Aw_29_0"/>
      <w:bookmarkStart w:id="61" w:name="Tc_BOX2YFn930e46qFvwoDS4Q_28_0"/>
      <w:bookmarkStart w:id="62" w:name="Tc_AFzfNV0gWUSFFM-31cNK2g_27_0"/>
      <w:bookmarkStart w:id="63" w:name="Tc_6D96gTt4nkCv9xtPgiP7sQ_26_6"/>
      <w:bookmarkStart w:id="64" w:name="Tc_tDZvNQ2ObEiMlkllraIMHg_26_0"/>
      <w:bookmarkStart w:id="65" w:name="Tc_jSqy9jY3WEWH16-cC-JI7Q_25_0"/>
      <w:bookmarkStart w:id="66" w:name="Tc_AOmfmpF0i0SJ7k1MT44hng_24_0"/>
      <w:bookmarkStart w:id="67" w:name="Tc_TvpZ3NDdBEyfFrm3uLklGw_23_0"/>
      <w:bookmarkStart w:id="68" w:name="Tc_nF6X9qtGMUu4jSo_zNoShA_22_0"/>
      <w:bookmarkStart w:id="69" w:name="Tc_9ytJDqjkNEeuArHTkE2t9A_21_0"/>
      <w:bookmarkStart w:id="70" w:name="Tc_3AXIRTh_5EuQfaw3v8BC_w_20_5"/>
      <w:bookmarkStart w:id="71" w:name="Tc_xFFKaAdqfU6LuZskIcJ5Ag_20_2"/>
      <w:bookmarkStart w:id="72" w:name="Tc_4l-GIg3lhU6X5r2cP5HwQA_20_0"/>
      <w:bookmarkStart w:id="73" w:name="Tc_0lP9tooh9kWctm74q70CzA_19_0"/>
      <w:bookmarkStart w:id="74" w:name="Tc_hnMVqJt51EyUpSZr8ISqUg_18_0"/>
      <w:bookmarkStart w:id="75" w:name="Tc_XgED2kyzyk-_B0uJU_dn4A_17_5"/>
      <w:bookmarkStart w:id="76" w:name="Tc_I1rZfTWImk2rCxIcaCeo1w_17_2"/>
      <w:bookmarkStart w:id="77" w:name="Tc_DeohczKx80eCPuWVaj1KyA_17_0"/>
      <w:bookmarkStart w:id="78" w:name="Tc_7L3w-xxB3EG-6mxZuayNBw_16_0"/>
      <w:bookmarkStart w:id="79" w:name="Tc_B-x0h-wc3E2-nEyT8w3a9w_15_0"/>
      <w:bookmarkStart w:id="80" w:name="Tc_s1_Z5XgvaUKVYyvCbHGNfg_14_0"/>
      <w:bookmarkStart w:id="81" w:name="Tc_yzeH98pMTkugPFVw50gK3Q_13_0"/>
      <w:bookmarkStart w:id="82" w:name="Tc_STk3NlMlcUStxMom3XmDCQ_12_0"/>
      <w:bookmarkStart w:id="83" w:name="Tc_gfihg69mhE-6iwNhiggaYw_11_3"/>
      <w:bookmarkStart w:id="84" w:name="Tc_JorLmN731keiihtLrRtz4w_11_0"/>
      <w:bookmarkStart w:id="85" w:name="Tc_k2pSq2YVWUmnERmNtVFN_g_10_0"/>
      <w:bookmarkStart w:id="86" w:name="Tc_8RMOlBZVZEWfdJrZcri_-Q_9_0"/>
      <w:bookmarkStart w:id="87" w:name="Tc_LXAXFN4_YkO6s8JHuiViuA_8_0"/>
      <w:bookmarkStart w:id="88" w:name="Tc_yk2bOtBVIkOWR7lTdYK-Nw_7_0"/>
      <w:bookmarkStart w:id="89" w:name="Tc_678Oao8nIUi6RQtt66VdCg_6_0"/>
      <w:bookmarkStart w:id="90" w:name="Tc_gyll-HbueEus5UFHBvR0Iw_5_0"/>
      <w:bookmarkStart w:id="91" w:name="Tc_R0eQ_c7zHkah_uZ21R4-gg_4_5"/>
      <w:bookmarkStart w:id="92" w:name="Tc_vW51p59UI0e_M4Gdf53O3g_4_2"/>
      <w:bookmarkStart w:id="93" w:name="Tc_ra7ctSjFN0-geXd-YGrznQ_4_0"/>
      <w:bookmarkStart w:id="94" w:name="Tc_qbP2g7DQ90aO1mTDLdWlmQ_3_0"/>
      <w:bookmarkStart w:id="95" w:name="Tc_NC3FP4j2PkKOImAaKFk_ng_2_0"/>
      <w:bookmarkStart w:id="96" w:name="Tc_PCG_3E9NWk2DVUi5EhLgXw_1_5"/>
      <w:bookmarkStart w:id="97" w:name="Tc_O-OIQVRP_0OVRv7oqwTdtA_1_2"/>
      <w:bookmarkStart w:id="98" w:name="_6d2b83b6_d1c6_4dea_8e24_6b7c1a1e72df"/>
      <w:bookmarkStart w:id="99" w:name="Tc_EiUr8pmmAUOkWZ1FX7OVAw_40_5"/>
      <w:bookmarkStart w:id="100" w:name="Tc_lFWrJOb7K0SercDJ4Zm0WA_40_2"/>
      <w:bookmarkStart w:id="101" w:name="Tc_XqPnd20m4UOfY9zqAUky8A_40_0"/>
      <w:bookmarkStart w:id="102" w:name="Tc_uO2nZiVe9E6yAkQ0bVYnww_39_0"/>
      <w:bookmarkStart w:id="103" w:name="Tc_NCANF5GUlE6cq-cQPJl-Uw_38_0"/>
      <w:bookmarkStart w:id="104" w:name="Tc_PVhuk2ao30SZOpaQ1qpLEQ_37_0"/>
      <w:bookmarkStart w:id="105" w:name="Tc_E3v5LL1XBkSx87nX-TB66Q_36_0"/>
      <w:bookmarkStart w:id="106" w:name="Tc_keQbH5GYvUaKZaYO8WEXaA_35_0"/>
      <w:bookmarkStart w:id="107" w:name="Tc_Wm3eoMYfdU656iKLwOzpcQ_33_6"/>
      <w:bookmarkStart w:id="108" w:name="Tc_4TBE_ONdUE2kyIbfle7Aow_33_0"/>
      <w:bookmarkStart w:id="109" w:name="Tc_a3TPX-WcW0-o_jLksGniwg_31_0"/>
      <w:bookmarkStart w:id="110" w:name="Tc_CyTqWo0h40iWA3t_SOqfmw_30_0"/>
      <w:bookmarkStart w:id="111" w:name="Tc_jo9VV0Dn_E6qr23vJ5WcHg_29_6"/>
      <w:bookmarkStart w:id="112" w:name="Tc_hn3Kpr0wZkawwLhsWqp0Aw_29_0"/>
      <w:bookmarkStart w:id="113" w:name="Tc_BOX2YFn930e46qFvwoDS4Q_28_0"/>
      <w:bookmarkStart w:id="114" w:name="Tc_AFzfNV0gWUSFFM-31cNK2g_27_0"/>
      <w:bookmarkStart w:id="115" w:name="Tc_6D96gTt4nkCv9xtPgiP7sQ_26_6"/>
      <w:bookmarkStart w:id="116" w:name="Tc_tDZvNQ2ObEiMlkllraIMHg_26_0"/>
      <w:bookmarkStart w:id="117" w:name="Tc_jSqy9jY3WEWH16-cC-JI7Q_25_0"/>
      <w:bookmarkStart w:id="118" w:name="Tc_AOmfmpF0i0SJ7k1MT44hng_24_0"/>
      <w:bookmarkStart w:id="119" w:name="Tc_TvpZ3NDdBEyfFrm3uLklGw_23_0"/>
      <w:bookmarkStart w:id="120" w:name="Tc_nF6X9qtGMUu4jSo_zNoShA_22_0"/>
      <w:bookmarkStart w:id="121" w:name="Tc_9ytJDqjkNEeuArHTkE2t9A_21_0"/>
      <w:bookmarkStart w:id="122" w:name="Tc_3AXIRTh_5EuQfaw3v8BC_w_20_5"/>
      <w:bookmarkStart w:id="123" w:name="Tc_xFFKaAdqfU6LuZskIcJ5Ag_20_2"/>
      <w:bookmarkStart w:id="124" w:name="Tc_4l-GIg3lhU6X5r2cP5HwQA_20_0"/>
      <w:bookmarkStart w:id="125" w:name="Tc_0lP9tooh9kWctm74q70CzA_19_0"/>
      <w:bookmarkStart w:id="126" w:name="Tc_hnMVqJt51EyUpSZr8ISqUg_18_0"/>
      <w:bookmarkStart w:id="127" w:name="Tc_XgED2kyzyk-_B0uJU_dn4A_17_5"/>
      <w:bookmarkStart w:id="128" w:name="Tc_I1rZfTWImk2rCxIcaCeo1w_17_2"/>
      <w:bookmarkStart w:id="129" w:name="Tc_DeohczKx80eCPuWVaj1KyA_17_0"/>
      <w:bookmarkStart w:id="130" w:name="Tc_7L3w-xxB3EG-6mxZuayNBw_16_0"/>
      <w:bookmarkStart w:id="131" w:name="Tc_B-x0h-wc3E2-nEyT8w3a9w_15_0"/>
      <w:bookmarkStart w:id="132" w:name="Tc_s1_Z5XgvaUKVYyvCbHGNfg_14_0"/>
      <w:bookmarkStart w:id="133" w:name="Tc_yzeH98pMTkugPFVw50gK3Q_13_0"/>
      <w:bookmarkStart w:id="134" w:name="Tc_STk3NlMlcUStxMom3XmDCQ_12_0"/>
      <w:bookmarkStart w:id="135" w:name="Tc_gfihg69mhE-6iwNhiggaYw_11_3"/>
      <w:bookmarkStart w:id="136" w:name="Tc_JorLmN731keiihtLrRtz4w_11_0"/>
      <w:bookmarkStart w:id="137" w:name="Tc_k2pSq2YVWUmnERmNtVFN_g_10_0"/>
      <w:bookmarkStart w:id="138" w:name="Tc_8RMOlBZVZEWfdJrZcri_-Q_9_0"/>
      <w:bookmarkStart w:id="139" w:name="Tc_LXAXFN4_YkO6s8JHuiViuA_8_0"/>
      <w:bookmarkStart w:id="140" w:name="Tc_yk2bOtBVIkOWR7lTdYK-Nw_7_0"/>
      <w:bookmarkStart w:id="141" w:name="Tc_678Oao8nIUi6RQtt66VdCg_6_0"/>
      <w:bookmarkStart w:id="142" w:name="Tc_gyll-HbueEus5UFHBvR0Iw_5_0"/>
      <w:bookmarkStart w:id="143" w:name="Tc_R0eQ_c7zHkah_uZ21R4-gg_4_5"/>
      <w:bookmarkStart w:id="144" w:name="Tc_vW51p59UI0e_M4Gdf53O3g_4_2"/>
      <w:bookmarkStart w:id="145" w:name="Tc_ra7ctSjFN0-geXd-YGrznQ_4_0"/>
      <w:bookmarkStart w:id="146" w:name="Tc_qbP2g7DQ90aO1mTDLdWlmQ_3_0"/>
      <w:bookmarkStart w:id="147" w:name="Tc_NC3FP4j2PkKOImAaKFk_ng_2_0"/>
      <w:bookmarkStart w:id="148" w:name="Tc_PCG_3E9NWk2DVUi5EhLgXw_1_5"/>
      <w:bookmarkStart w:id="149" w:name="Tc_O-OIQVRP_0OVRv7oqwTdtA_1_2"/>
      <w:bookmarkStart w:id="150" w:name="_6d2b83b6_d1c6_4dea_8e24_6b7c1a1e72df"/>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tbl>
      <w:tblPr>
        <w:tblW w:w="10205" w:type="dxa"/>
        <w:jc w:val="left"/>
        <w:tblInd w:w="0" w:type="dxa"/>
        <w:tblLayout w:type="fixed"/>
        <w:tblCellMar>
          <w:top w:w="0" w:type="dxa"/>
          <w:left w:w="0" w:type="dxa"/>
          <w:bottom w:w="0" w:type="dxa"/>
          <w:right w:w="0" w:type="dxa"/>
        </w:tblCellMar>
      </w:tblPr>
      <w:tblGrid>
        <w:gridCol w:w="6865"/>
        <w:gridCol w:w="326"/>
        <w:gridCol w:w="211"/>
        <w:gridCol w:w="931"/>
        <w:gridCol w:w="326"/>
        <w:gridCol w:w="274"/>
        <w:gridCol w:w="1272"/>
      </w:tblGrid>
      <w:tr>
        <w:trPr/>
        <w:tc>
          <w:tcPr>
            <w:tcW w:w="6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359275" cy="175260"/>
                      <wp:effectExtent l="0" t="0" r="0" b="0"/>
                      <wp:wrapNone/>
                      <wp:docPr id="7" name="Frame7"/>
                      <a:graphic xmlns:a="http://schemas.openxmlformats.org/drawingml/2006/main">
                        <a:graphicData uri="http://schemas.microsoft.com/office/word/2010/wordprocessingShape">
                          <wps:wsp>
                            <wps:cNvSpPr txBox="1"/>
                            <wps:spPr>
                              <a:xfrm>
                                <a:off x="0" y="0"/>
                                <a:ext cx="4359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3985" cy="175260"/>
                      <wp:effectExtent l="0" t="0" r="0" b="0"/>
                      <wp:wrapNone/>
                      <wp:docPr id="9"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91185" cy="175260"/>
                      <wp:effectExtent l="0" t="0" r="0" b="0"/>
                      <wp:wrapNone/>
                      <wp:docPr id="10" name="Frame1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7010" cy="175260"/>
                      <wp:effectExtent l="0" t="0" r="0" b="0"/>
                      <wp:wrapNone/>
                      <wp:docPr id="11" name="Frame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73990" cy="175260"/>
                      <wp:effectExtent l="0" t="0" r="0" b="0"/>
                      <wp:wrapNone/>
                      <wp:docPr id="12" name="Frame12"/>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807720" cy="175260"/>
                      <wp:effectExtent l="0" t="0" r="0" b="0"/>
                      <wp:wrapNone/>
                      <wp:docPr id="13" name="Frame13"/>
                      <a:graphic xmlns:a="http://schemas.openxmlformats.org/drawingml/2006/main">
                        <a:graphicData uri="http://schemas.microsoft.com/office/word/2010/wordprocessingShape">
                          <wps:wsp>
                            <wps:cNvSpPr txBox="1"/>
                            <wps:spPr>
                              <a:xfrm>
                                <a:off x="0" y="0"/>
                                <a:ext cx="807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686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left"/>
              <w:rPr/>
            </w:pPr>
            <w:r>
              <w:rPr/>
              <w:t>​</w:t>
            </w:r>
          </w:p>
        </w:tc>
        <w:tc>
          <w:tcPr>
            <w:tcW w:w="1272" w:type="dxa"/>
            <w:tcBorders/>
            <w:shd w:fill="CCEEFF" w:val="clear"/>
            <w:vAlign w:val="center"/>
          </w:tcPr>
          <w:p>
            <w:pPr>
              <w:pStyle w:val="TableContents"/>
              <w:bidi w:val="0"/>
              <w:spacing w:before="0" w:after="0"/>
              <w:ind w:left="0" w:right="0" w:hanging="0"/>
              <w:jc w:val="right"/>
              <w:rPr/>
            </w:pPr>
            <w:r>
              <w:rPr/>
              <w:t>  </w:t>
            </w:r>
          </w:p>
        </w:tc>
      </w:tr>
      <w:tr>
        <w:trPr/>
        <w:tc>
          <w:tcPr>
            <w:tcW w:w="68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w:t>
            </w:r>
          </w:p>
        </w:tc>
        <w:tc>
          <w:tcPr>
            <w:tcW w:w="1272" w:type="dxa"/>
            <w:tcBorders/>
            <w:vAlign w:val="center"/>
          </w:tcPr>
          <w:p>
            <w:pPr>
              <w:pStyle w:val="TableContents"/>
              <w:bidi w:val="0"/>
              <w:spacing w:before="0" w:after="0"/>
              <w:ind w:left="0" w:right="0" w:hanging="0"/>
              <w:jc w:val="right"/>
              <w:rPr/>
            </w:pPr>
            <w:r>
              <w:rPr/>
              <w:t>  </w:t>
            </w:r>
          </w:p>
        </w:tc>
      </w:tr>
      <w:tr>
        <w:trPr/>
        <w:tc>
          <w:tcPr>
            <w:tcW w:w="6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57,257</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189,389</w:t>
            </w:r>
          </w:p>
        </w:tc>
      </w:tr>
      <w:tr>
        <w:trPr/>
        <w:tc>
          <w:tcPr>
            <w:tcW w:w="68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69,644</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w:t>
            </w:r>
          </w:p>
        </w:tc>
      </w:tr>
      <w:tr>
        <w:trPr/>
        <w:tc>
          <w:tcPr>
            <w:tcW w:w="6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accounts receivable, net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11,025</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2,411</w:t>
            </w:r>
          </w:p>
        </w:tc>
      </w:tr>
      <w:tr>
        <w:trPr/>
        <w:tc>
          <w:tcPr>
            <w:tcW w:w="68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16,939</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4,502</w:t>
            </w:r>
          </w:p>
        </w:tc>
      </w:tr>
      <w:tr>
        <w:trPr/>
        <w:tc>
          <w:tcPr>
            <w:tcW w:w="6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15,576</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5,920</w:t>
            </w:r>
          </w:p>
        </w:tc>
      </w:tr>
      <w:tr>
        <w:trPr/>
        <w:tc>
          <w:tcPr>
            <w:tcW w:w="68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170,441</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203,711</w:t>
            </w:r>
          </w:p>
        </w:tc>
      </w:tr>
      <w:tr>
        <w:trPr/>
        <w:tc>
          <w:tcPr>
            <w:tcW w:w="6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344,914</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221,642</w:t>
            </w:r>
          </w:p>
        </w:tc>
      </w:tr>
      <w:tr>
        <w:trPr/>
        <w:tc>
          <w:tcPr>
            <w:tcW w:w="68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68,155</w:t>
            </w:r>
          </w:p>
        </w:tc>
      </w:tr>
      <w:tr>
        <w:trPr/>
        <w:tc>
          <w:tcPr>
            <w:tcW w:w="6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right-of-use assets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2,137</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w:t>
            </w:r>
          </w:p>
        </w:tc>
      </w:tr>
      <w:tr>
        <w:trPr/>
        <w:tc>
          <w:tcPr>
            <w:tcW w:w="68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right-of-use assets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1,201</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1,877</w:t>
            </w:r>
          </w:p>
        </w:tc>
      </w:tr>
      <w:tr>
        <w:trPr/>
        <w:tc>
          <w:tcPr>
            <w:tcW w:w="6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70,327</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8,129</w:t>
            </w:r>
          </w:p>
        </w:tc>
      </w:tr>
      <w:tr>
        <w:trPr/>
        <w:tc>
          <w:tcPr>
            <w:tcW w:w="68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43,558</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2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3,740</w:t>
            </w:r>
          </w:p>
        </w:tc>
      </w:tr>
      <w:tr>
        <w:trPr/>
        <w:tc>
          <w:tcPr>
            <w:tcW w:w="6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Deposits and other assets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69,539</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75,623</w:t>
            </w:r>
          </w:p>
        </w:tc>
      </w:tr>
      <w:tr>
        <w:trPr/>
        <w:tc>
          <w:tcPr>
            <w:tcW w:w="68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702,117</w:t>
            </w:r>
          </w:p>
        </w:tc>
        <w:tc>
          <w:tcPr>
            <w:tcW w:w="326"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583,941</w:t>
            </w:r>
          </w:p>
        </w:tc>
      </w:tr>
      <w:tr>
        <w:trPr/>
        <w:tc>
          <w:tcPr>
            <w:tcW w:w="686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2" w:type="dxa"/>
            <w:tcBorders/>
            <w:shd w:fill="CCEEFF" w:val="clear"/>
            <w:vAlign w:val="center"/>
          </w:tcPr>
          <w:p>
            <w:pPr>
              <w:pStyle w:val="TableContents"/>
              <w:bidi w:val="0"/>
              <w:spacing w:before="0" w:after="0"/>
              <w:ind w:left="0" w:right="0" w:hanging="0"/>
              <w:jc w:val="right"/>
              <w:rPr/>
            </w:pPr>
            <w:r>
              <w:rPr/>
              <w:t>  </w:t>
            </w:r>
          </w:p>
        </w:tc>
      </w:tr>
      <w:tr>
        <w:trPr/>
        <w:tc>
          <w:tcPr>
            <w:tcW w:w="68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2" w:type="dxa"/>
            <w:tcBorders/>
            <w:vAlign w:val="center"/>
          </w:tcPr>
          <w:p>
            <w:pPr>
              <w:pStyle w:val="TableContents"/>
              <w:bidi w:val="0"/>
              <w:spacing w:before="0" w:after="0"/>
              <w:ind w:left="0" w:right="0" w:hanging="0"/>
              <w:jc w:val="right"/>
              <w:rPr/>
            </w:pPr>
            <w:r>
              <w:rPr/>
              <w:t>  </w:t>
            </w:r>
          </w:p>
        </w:tc>
      </w:tr>
      <w:tr>
        <w:trPr/>
        <w:tc>
          <w:tcPr>
            <w:tcW w:w="6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43,450</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22,006</w:t>
            </w:r>
          </w:p>
        </w:tc>
      </w:tr>
      <w:tr>
        <w:trPr/>
        <w:tc>
          <w:tcPr>
            <w:tcW w:w="68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r>
      <w:tr>
        <w:trPr/>
        <w:tc>
          <w:tcPr>
            <w:tcW w:w="6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2,001</w:t>
            </w:r>
          </w:p>
        </w:tc>
      </w:tr>
      <w:tr>
        <w:trPr/>
        <w:tc>
          <w:tcPr>
            <w:tcW w:w="68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Remarketed Bonds payable, net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27,895</w:t>
            </w:r>
          </w:p>
        </w:tc>
        <w:tc>
          <w:tcPr>
            <w:tcW w:w="32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6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73,233</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24,361</w:t>
            </w:r>
          </w:p>
        </w:tc>
      </w:tr>
      <w:tr>
        <w:trPr/>
        <w:tc>
          <w:tcPr>
            <w:tcW w:w="68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Remarketed Bonds payable, net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39,631</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67,109</w:t>
            </w:r>
          </w:p>
        </w:tc>
      </w:tr>
      <w:tr>
        <w:trPr/>
        <w:tc>
          <w:tcPr>
            <w:tcW w:w="6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payable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99,966</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2" w:type="dxa"/>
            <w:tcBorders/>
            <w:shd w:fill="CCEEFF" w:val="clear"/>
            <w:vAlign w:val="center"/>
          </w:tcPr>
          <w:p>
            <w:pPr>
              <w:pStyle w:val="TableContents"/>
              <w:bidi w:val="0"/>
              <w:spacing w:before="0" w:after="0"/>
              <w:ind w:left="0" w:right="0" w:hanging="0"/>
              <w:jc w:val="right"/>
              <w:rPr/>
            </w:pPr>
            <w:r>
              <w:rPr/>
              <w:t>—</w:t>
            </w:r>
          </w:p>
        </w:tc>
      </w:tr>
      <w:tr>
        <w:trPr/>
        <w:tc>
          <w:tcPr>
            <w:tcW w:w="68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1,703</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w:t>
            </w:r>
          </w:p>
        </w:tc>
      </w:tr>
      <w:tr>
        <w:trPr/>
        <w:tc>
          <w:tcPr>
            <w:tcW w:w="6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r>
      <w:tr>
        <w:trPr/>
        <w:tc>
          <w:tcPr>
            <w:tcW w:w="68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 retirement obligation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2,177</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272" w:type="dxa"/>
            <w:tcBorders/>
            <w:vAlign w:val="center"/>
          </w:tcPr>
          <w:p>
            <w:pPr>
              <w:pStyle w:val="TableContents"/>
              <w:bidi w:val="0"/>
              <w:spacing w:before="0" w:after="0"/>
              <w:ind w:left="0" w:right="0" w:hanging="0"/>
              <w:jc w:val="right"/>
              <w:rPr/>
            </w:pPr>
            <w:r>
              <w:rPr/>
              <w:t>—</w:t>
            </w:r>
          </w:p>
        </w:tc>
      </w:tr>
      <w:tr>
        <w:trPr/>
        <w:tc>
          <w:tcPr>
            <w:tcW w:w="6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5,405</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1,830</w:t>
            </w:r>
          </w:p>
        </w:tc>
      </w:tr>
      <w:tr>
        <w:trPr/>
        <w:tc>
          <w:tcPr>
            <w:tcW w:w="68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222,349</w:t>
            </w:r>
          </w:p>
        </w:tc>
        <w:tc>
          <w:tcPr>
            <w:tcW w:w="32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94,453</w:t>
            </w:r>
          </w:p>
        </w:tc>
      </w:tr>
      <w:tr>
        <w:trPr/>
        <w:tc>
          <w:tcPr>
            <w:tcW w:w="686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8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Redeemable non-controlling interest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5,664</w:t>
            </w:r>
          </w:p>
        </w:tc>
        <w:tc>
          <w:tcPr>
            <w:tcW w:w="32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7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86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272" w:type="dxa"/>
            <w:tcBorders/>
            <w:shd w:fill="CCEEFF" w:val="clear"/>
            <w:vAlign w:val="center"/>
          </w:tcPr>
          <w:p>
            <w:pPr>
              <w:pStyle w:val="TableContents"/>
              <w:bidi w:val="0"/>
              <w:spacing w:before="0" w:after="0"/>
              <w:ind w:left="0" w:right="0" w:hanging="0"/>
              <w:jc w:val="right"/>
              <w:rPr/>
            </w:pPr>
            <w:r>
              <w:rPr/>
              <w:t>​</w:t>
            </w:r>
          </w:p>
        </w:tc>
      </w:tr>
      <w:tr>
        <w:trPr/>
        <w:tc>
          <w:tcPr>
            <w:tcW w:w="68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2" w:type="dxa"/>
            <w:tcBorders/>
            <w:vAlign w:val="center"/>
          </w:tcPr>
          <w:p>
            <w:pPr>
              <w:pStyle w:val="TableContents"/>
              <w:bidi w:val="0"/>
              <w:spacing w:before="0" w:after="0"/>
              <w:ind w:left="0" w:right="0" w:hanging="0"/>
              <w:jc w:val="right"/>
              <w:rPr/>
            </w:pPr>
            <w:r>
              <w:rPr/>
              <w:t>  </w:t>
            </w:r>
          </w:p>
        </w:tc>
      </w:tr>
      <w:tr>
        <w:trPr/>
        <w:tc>
          <w:tcPr>
            <w:tcW w:w="6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$0.01 par value per share; 500,000,000 shares authorized; 241,841,590 and 239,176,293 shares issued and outstanding at June 30, 2025, and December 31, 2024, respectively.</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2,419</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2,392</w:t>
            </w:r>
          </w:p>
        </w:tc>
      </w:tr>
      <w:tr>
        <w:trPr/>
        <w:tc>
          <w:tcPr>
            <w:tcW w:w="68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1,291,630</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1,287,333</w:t>
            </w:r>
          </w:p>
        </w:tc>
      </w:tr>
      <w:tr>
        <w:trPr/>
        <w:tc>
          <w:tcPr>
            <w:tcW w:w="6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(819,945)</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(800,237)</w:t>
            </w:r>
          </w:p>
        </w:tc>
      </w:tr>
      <w:tr>
        <w:trPr/>
        <w:tc>
          <w:tcPr>
            <w:tcW w:w="68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474,104</w:t>
            </w:r>
          </w:p>
        </w:tc>
        <w:tc>
          <w:tcPr>
            <w:tcW w:w="32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489,488</w:t>
            </w:r>
          </w:p>
        </w:tc>
      </w:tr>
      <w:tr>
        <w:trPr/>
        <w:tc>
          <w:tcPr>
            <w:tcW w:w="6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702,117</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583,941</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the accompanying Notes to the Condensed Consolidated Financial Statements.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51" w:name="_0f08ab4f_c705_499b_981e_e409c9f59a5d"/>
      <w:bookmarkEnd w:id="151"/>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bookmarkStart w:id="152" w:name="CONSOLIDATEDSTATEMENTSOFOPERATIONS_79993"/>
      <w:bookmarkEnd w:id="152"/>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share and per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53" w:name="Tc_IzuzRHFN5UO-3I-wzUVWiQ_26_0"/>
      <w:bookmarkStart w:id="154" w:name="Tc_S7irQFY7jkmau-fLXT5XJw_25_0"/>
      <w:bookmarkStart w:id="155" w:name="Tc_IfPN5_2IJEafsYWJJPl3cg_24_11"/>
      <w:bookmarkStart w:id="156" w:name="Tc_j3zWkc-gekmQjr1ed6G3Pw_24_8"/>
      <w:bookmarkStart w:id="157" w:name="Tc__F5f9uHFsESwFOfSgZWFMg_24_5"/>
      <w:bookmarkStart w:id="158" w:name="Tc_BMvSMO5awkC9P0l7k_K3qw_24_2"/>
      <w:bookmarkStart w:id="159" w:name="Tc_XKGWKDpCwESpUoW_Z8cM0w_24_0"/>
      <w:bookmarkStart w:id="160" w:name="Tc_XVeIefLrcEaEp07YxsNRmg_23_11"/>
      <w:bookmarkStart w:id="161" w:name="Tc_VzK_ou-xdka_bUvpiEZyuQ_23_8"/>
      <w:bookmarkStart w:id="162" w:name="Tc_chzzGSpOg0-xcyyFYiH3lw_23_5"/>
      <w:bookmarkStart w:id="163" w:name="Tc_5XkDzfdPP0-3IYTBjjcY8A_23_2"/>
      <w:bookmarkStart w:id="164" w:name="Tc_nyoT2VO3IkyIrQOfOW1G3g_23_0"/>
      <w:bookmarkStart w:id="165" w:name="Tc_k2baew72DkGv1DyLrDL6bQ_21_11"/>
      <w:bookmarkStart w:id="166" w:name="Tc_LYBR7Qhoik-NNtBr72Snxg_21_8"/>
      <w:bookmarkStart w:id="167" w:name="Tc_dq1_tTJpLkyeDPdNNBm1uQ_21_5"/>
      <w:bookmarkStart w:id="168" w:name="Tc_vr7PULwUNk-KavIcEl_UBQ_21_2"/>
      <w:bookmarkStart w:id="169" w:name="Tc_8T3GK4mFiUiYFlhNG7C7JQ_21_0"/>
      <w:bookmarkStart w:id="170" w:name="Tc_4YfW-KWfaE-afKYT51-uYw_20_12"/>
      <w:bookmarkStart w:id="171" w:name="Tc_FjwO1_BxgkmKwFBieRqf5g_20_6"/>
      <w:bookmarkStart w:id="172" w:name="Tc_LZ2bEnaP3kaltrHsmSC1UA_20_0"/>
      <w:bookmarkStart w:id="173" w:name="Tc__KTLVZIHFUGfClpnebUiGw_19_0"/>
      <w:bookmarkStart w:id="174" w:name="Tc_o-ZXktAvhUGmIFp4ZyY_jg_18_0"/>
      <w:bookmarkStart w:id="175" w:name="Tc_vsHlNDO8QkmrUxSJvsAorg_17_0"/>
      <w:bookmarkStart w:id="176" w:name="Tc_P3qXMBQJJU2VWlOFaEzGvg_16_0"/>
      <w:bookmarkStart w:id="177" w:name="Tc_9fXAgGGHcUe1hy1QEDSjkA_15_0"/>
      <w:bookmarkStart w:id="178" w:name="Tc_h6dcpuOuzkWYGCEkH33O8g_14_0"/>
      <w:bookmarkStart w:id="179" w:name="Tc_U30dAW7YZ0Wyr7pGL8ZxiQ_13_0"/>
      <w:bookmarkStart w:id="180" w:name="Tc_uR71IxrnNUWM5TzFFvgaZw_12_0"/>
      <w:bookmarkStart w:id="181" w:name="Tc_jwYmtmSR8E-odRUDQXk8gA_11_0"/>
      <w:bookmarkStart w:id="182" w:name="Tc_bA_a-huab0KxoyVXTJO2Ng_10_12"/>
      <w:bookmarkStart w:id="183" w:name="Tc_hJ74NLjZeUe-yZ1yx9IZGg_10_6"/>
      <w:bookmarkStart w:id="184" w:name="Tc_D3jyHwX8O0eRJUw2EYigvw_10_3"/>
      <w:bookmarkStart w:id="185" w:name="Tc_kbPp44UY5EyVkrJ0ApNvtQ_10_0"/>
      <w:bookmarkStart w:id="186" w:name="Tc_D1UBb8kcPUKLxjmhjbEVFQ_9_0"/>
      <w:bookmarkStart w:id="187" w:name="Tc_ya3Y46aJtEqnnJj5xVx70w_8_0"/>
      <w:bookmarkStart w:id="188" w:name="Tc_zzkTmF4lh0OEJnF9lAf0iA_7_0"/>
      <w:bookmarkStart w:id="189" w:name="Tc_3UMaE0M_0UaGVmzwe70eoA_6_0"/>
      <w:bookmarkStart w:id="190" w:name="Tc_TBU2h65x_0Kx2PozO8DqKg_5_0"/>
      <w:bookmarkStart w:id="191" w:name="Tc_BIo0iJDvRUe95bbAXs2qMQ_4_0"/>
      <w:bookmarkStart w:id="192" w:name="Tc_4CYc23NXXU-FiQopKIcy7Q_3_11"/>
      <w:bookmarkStart w:id="193" w:name="Tc_tLmbigbOuEWpRmBFKxx13w_3_8"/>
      <w:bookmarkStart w:id="194" w:name="Tc_-uft9TSeHkKaBSkEVJUIFQ_3_5"/>
      <w:bookmarkStart w:id="195" w:name="Tc_RIvplUCTh0uptJSSK80jUg_3_2"/>
      <w:bookmarkStart w:id="196" w:name="Tc_SH_cBO2-QUu7SnDT63yvdA_3_0"/>
      <w:bookmarkStart w:id="197" w:name="Tc_Xa-fxAdIn0aDqTMClBe1sw_2_11"/>
      <w:bookmarkStart w:id="198" w:name="Tc_qn1bQ6Ux_E2DHculfydtqA_2_8"/>
      <w:bookmarkStart w:id="199" w:name="Tc_GTNQKLtKokWD4uzPfXEzWQ_2_5"/>
      <w:bookmarkStart w:id="200" w:name="Tc_qL5hALD8KU-3OtcdpcOHEQ_2_2"/>
      <w:bookmarkStart w:id="201" w:name="Tc_bNnQmdmwpUGglf9Yu4xwVA_1_8"/>
      <w:bookmarkStart w:id="202" w:name="Tc_CqWH24N9qEmLLbvSGVfmeQ_1_2"/>
      <w:bookmarkStart w:id="203" w:name="_1c0bdacb_143d_4cae_82a0_fcb38a31f497"/>
      <w:bookmarkStart w:id="204" w:name="Tc_IzuzRHFN5UO-3I-wzUVWiQ_26_0"/>
      <w:bookmarkStart w:id="205" w:name="Tc_S7irQFY7jkmau-fLXT5XJw_25_0"/>
      <w:bookmarkStart w:id="206" w:name="Tc_IfPN5_2IJEafsYWJJPl3cg_24_11"/>
      <w:bookmarkStart w:id="207" w:name="Tc_j3zWkc-gekmQjr1ed6G3Pw_24_8"/>
      <w:bookmarkStart w:id="208" w:name="Tc__F5f9uHFsESwFOfSgZWFMg_24_5"/>
      <w:bookmarkStart w:id="209" w:name="Tc_BMvSMO5awkC9P0l7k_K3qw_24_2"/>
      <w:bookmarkStart w:id="210" w:name="Tc_XKGWKDpCwESpUoW_Z8cM0w_24_0"/>
      <w:bookmarkStart w:id="211" w:name="Tc_XVeIefLrcEaEp07YxsNRmg_23_11"/>
      <w:bookmarkStart w:id="212" w:name="Tc_VzK_ou-xdka_bUvpiEZyuQ_23_8"/>
      <w:bookmarkStart w:id="213" w:name="Tc_chzzGSpOg0-xcyyFYiH3lw_23_5"/>
      <w:bookmarkStart w:id="214" w:name="Tc_5XkDzfdPP0-3IYTBjjcY8A_23_2"/>
      <w:bookmarkStart w:id="215" w:name="Tc_nyoT2VO3IkyIrQOfOW1G3g_23_0"/>
      <w:bookmarkStart w:id="216" w:name="Tc_k2baew72DkGv1DyLrDL6bQ_21_11"/>
      <w:bookmarkStart w:id="217" w:name="Tc_LYBR7Qhoik-NNtBr72Snxg_21_8"/>
      <w:bookmarkStart w:id="218" w:name="Tc_dq1_tTJpLkyeDPdNNBm1uQ_21_5"/>
      <w:bookmarkStart w:id="219" w:name="Tc_vr7PULwUNk-KavIcEl_UBQ_21_2"/>
      <w:bookmarkStart w:id="220" w:name="Tc_8T3GK4mFiUiYFlhNG7C7JQ_21_0"/>
      <w:bookmarkStart w:id="221" w:name="Tc_4YfW-KWfaE-afKYT51-uYw_20_12"/>
      <w:bookmarkStart w:id="222" w:name="Tc_FjwO1_BxgkmKwFBieRqf5g_20_6"/>
      <w:bookmarkStart w:id="223" w:name="Tc_LZ2bEnaP3kaltrHsmSC1UA_20_0"/>
      <w:bookmarkStart w:id="224" w:name="Tc__KTLVZIHFUGfClpnebUiGw_19_0"/>
      <w:bookmarkStart w:id="225" w:name="Tc_o-ZXktAvhUGmIFp4ZyY_jg_18_0"/>
      <w:bookmarkStart w:id="226" w:name="Tc_vsHlNDO8QkmrUxSJvsAorg_17_0"/>
      <w:bookmarkStart w:id="227" w:name="Tc_P3qXMBQJJU2VWlOFaEzGvg_16_0"/>
      <w:bookmarkStart w:id="228" w:name="Tc_9fXAgGGHcUe1hy1QEDSjkA_15_0"/>
      <w:bookmarkStart w:id="229" w:name="Tc_h6dcpuOuzkWYGCEkH33O8g_14_0"/>
      <w:bookmarkStart w:id="230" w:name="Tc_U30dAW7YZ0Wyr7pGL8ZxiQ_13_0"/>
      <w:bookmarkStart w:id="231" w:name="Tc_uR71IxrnNUWM5TzFFvgaZw_12_0"/>
      <w:bookmarkStart w:id="232" w:name="Tc_jwYmtmSR8E-odRUDQXk8gA_11_0"/>
      <w:bookmarkStart w:id="233" w:name="Tc_bA_a-huab0KxoyVXTJO2Ng_10_12"/>
      <w:bookmarkStart w:id="234" w:name="Tc_hJ74NLjZeUe-yZ1yx9IZGg_10_6"/>
      <w:bookmarkStart w:id="235" w:name="Tc_D3jyHwX8O0eRJUw2EYigvw_10_3"/>
      <w:bookmarkStart w:id="236" w:name="Tc_kbPp44UY5EyVkrJ0ApNvtQ_10_0"/>
      <w:bookmarkStart w:id="237" w:name="Tc_D1UBb8kcPUKLxjmhjbEVFQ_9_0"/>
      <w:bookmarkStart w:id="238" w:name="Tc_ya3Y46aJtEqnnJj5xVx70w_8_0"/>
      <w:bookmarkStart w:id="239" w:name="Tc_zzkTmF4lh0OEJnF9lAf0iA_7_0"/>
      <w:bookmarkStart w:id="240" w:name="Tc_3UMaE0M_0UaGVmzwe70eoA_6_0"/>
      <w:bookmarkStart w:id="241" w:name="Tc_TBU2h65x_0Kx2PozO8DqKg_5_0"/>
      <w:bookmarkStart w:id="242" w:name="Tc_BIo0iJDvRUe95bbAXs2qMQ_4_0"/>
      <w:bookmarkStart w:id="243" w:name="Tc_4CYc23NXXU-FiQopKIcy7Q_3_11"/>
      <w:bookmarkStart w:id="244" w:name="Tc_tLmbigbOuEWpRmBFKxx13w_3_8"/>
      <w:bookmarkStart w:id="245" w:name="Tc_-uft9TSeHkKaBSkEVJUIFQ_3_5"/>
      <w:bookmarkStart w:id="246" w:name="Tc_RIvplUCTh0uptJSSK80jUg_3_2"/>
      <w:bookmarkStart w:id="247" w:name="Tc_SH_cBO2-QUu7SnDT63yvdA_3_0"/>
      <w:bookmarkStart w:id="248" w:name="Tc_Xa-fxAdIn0aDqTMClBe1sw_2_11"/>
      <w:bookmarkStart w:id="249" w:name="Tc_qn1bQ6Ux_E2DHculfydtqA_2_8"/>
      <w:bookmarkStart w:id="250" w:name="Tc_GTNQKLtKokWD4uzPfXEzWQ_2_5"/>
      <w:bookmarkStart w:id="251" w:name="Tc_qL5hALD8KU-3OtcdpcOHEQ_2_2"/>
      <w:bookmarkStart w:id="252" w:name="Tc_bNnQmdmwpUGglf9Yu4xwVA_1_8"/>
      <w:bookmarkStart w:id="253" w:name="Tc_CqWH24N9qEmLLbvSGVfmeQ_1_2"/>
      <w:bookmarkStart w:id="254" w:name="_1c0bdacb_143d_4cae_82a0_fcb38a31f497"/>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tbl>
      <w:tblPr>
        <w:tblW w:w="10205" w:type="dxa"/>
        <w:jc w:val="left"/>
        <w:tblInd w:w="0" w:type="dxa"/>
        <w:tblLayout w:type="fixed"/>
        <w:tblCellMar>
          <w:top w:w="0" w:type="dxa"/>
          <w:left w:w="0" w:type="dxa"/>
          <w:bottom w:w="0" w:type="dxa"/>
          <w:right w:w="0" w:type="dxa"/>
        </w:tblCellMar>
      </w:tblPr>
      <w:tblGrid>
        <w:gridCol w:w="3388"/>
        <w:gridCol w:w="326"/>
        <w:gridCol w:w="211"/>
        <w:gridCol w:w="1141"/>
        <w:gridCol w:w="326"/>
        <w:gridCol w:w="211"/>
        <w:gridCol w:w="1141"/>
        <w:gridCol w:w="326"/>
        <w:gridCol w:w="211"/>
        <w:gridCol w:w="1141"/>
        <w:gridCol w:w="326"/>
        <w:gridCol w:w="211"/>
        <w:gridCol w:w="1246"/>
      </w:tblGrid>
      <w:tr>
        <w:trPr/>
        <w:tc>
          <w:tcPr>
            <w:tcW w:w="3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51380" cy="175260"/>
                      <wp:effectExtent l="0" t="0" r="0" b="0"/>
                      <wp:wrapNone/>
                      <wp:docPr id="14" name="Frame14"/>
                      <a:graphic xmlns:a="http://schemas.openxmlformats.org/drawingml/2006/main">
                        <a:graphicData uri="http://schemas.microsoft.com/office/word/2010/wordprocessingShape">
                          <wps:wsp>
                            <wps:cNvSpPr txBox="1"/>
                            <wps:spPr>
                              <a:xfrm>
                                <a:off x="0" y="0"/>
                                <a:ext cx="2151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724535" cy="175260"/>
                      <wp:effectExtent l="0" t="0" r="0" b="0"/>
                      <wp:wrapNone/>
                      <wp:docPr id="17" name="Frame1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724535" cy="175260"/>
                      <wp:effectExtent l="0" t="0" r="0" b="0"/>
                      <wp:wrapNone/>
                      <wp:docPr id="20" name="Frame2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1"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2"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724535" cy="175260"/>
                      <wp:effectExtent l="0" t="0" r="0" b="0"/>
                      <wp:wrapNone/>
                      <wp:docPr id="23" name="Frame2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5"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791210" cy="175260"/>
                      <wp:effectExtent l="0" t="0" r="0" b="0"/>
                      <wp:wrapNone/>
                      <wp:docPr id="26" name="Frame26"/>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30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1"/>
              <w:ind w:left="0" w:right="0" w:hanging="0"/>
              <w:jc w:val="left"/>
              <w:rPr/>
            </w:pPr>
            <w:r>
              <w:rPr/>
              <w:t>    </w:t>
            </w:r>
          </w:p>
        </w:tc>
        <w:tc>
          <w:tcPr>
            <w:tcW w:w="31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3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14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38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operating revenues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43,413</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5,260</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72,522</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9,250</w:t>
            </w:r>
          </w:p>
        </w:tc>
      </w:tr>
      <w:tr>
        <w:trPr/>
        <w:tc>
          <w:tcPr>
            <w:tcW w:w="338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246" w:type="dxa"/>
            <w:tcBorders/>
            <w:vAlign w:val="center"/>
          </w:tcPr>
          <w:p>
            <w:pPr>
              <w:pStyle w:val="TableContents"/>
              <w:bidi w:val="0"/>
              <w:spacing w:before="0" w:after="1"/>
              <w:ind w:left="0" w:right="0" w:hanging="0"/>
              <w:jc w:val="right"/>
              <w:rPr/>
            </w:pPr>
            <w:r>
              <w:rPr/>
              <w:t>​</w:t>
            </w:r>
          </w:p>
        </w:tc>
      </w:tr>
      <w:tr>
        <w:trPr/>
        <w:tc>
          <w:tcPr>
            <w:tcW w:w="33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production</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17,265</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3,423</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38,711</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6,010</w:t>
            </w:r>
          </w:p>
        </w:tc>
      </w:tr>
      <w:tr>
        <w:trPr/>
        <w:tc>
          <w:tcPr>
            <w:tcW w:w="33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7,213</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4,277</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12,835</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8,728</w:t>
            </w:r>
          </w:p>
        </w:tc>
      </w:tr>
      <w:tr>
        <w:trPr/>
        <w:tc>
          <w:tcPr>
            <w:tcW w:w="33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934</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1,641</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1,986</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3,189</w:t>
            </w:r>
          </w:p>
        </w:tc>
      </w:tr>
      <w:tr>
        <w:trPr/>
        <w:tc>
          <w:tcPr>
            <w:tcW w:w="33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10,783</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11,513</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21,867</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23,663</w:t>
            </w:r>
          </w:p>
        </w:tc>
      </w:tr>
      <w:tr>
        <w:trPr/>
        <w:tc>
          <w:tcPr>
            <w:tcW w:w="33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Project development costs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831</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7,736</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5,833</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13,055</w:t>
            </w:r>
          </w:p>
        </w:tc>
      </w:tr>
      <w:tr>
        <w:trPr/>
        <w:tc>
          <w:tcPr>
            <w:tcW w:w="33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 related costs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4,438</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246" w:type="dxa"/>
            <w:tcBorders/>
            <w:vAlign w:val="center"/>
          </w:tcPr>
          <w:p>
            <w:pPr>
              <w:pStyle w:val="TableContents"/>
              <w:bidi w:val="0"/>
              <w:spacing w:before="0" w:after="1"/>
              <w:ind w:left="0" w:right="0" w:hanging="0"/>
              <w:jc w:val="right"/>
              <w:rPr/>
            </w:pPr>
            <w:r>
              <w:rPr/>
              <w:t>—</w:t>
            </w:r>
          </w:p>
        </w:tc>
      </w:tr>
      <w:tr>
        <w:trPr/>
        <w:tc>
          <w:tcPr>
            <w:tcW w:w="33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Facility idling costs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699</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1,195</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2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1,775</w:t>
            </w:r>
          </w:p>
        </w:tc>
      </w:tr>
      <w:tr>
        <w:trPr/>
        <w:tc>
          <w:tcPr>
            <w:tcW w:w="33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37,617</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29,289</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86,865</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2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56,420</w:t>
            </w:r>
          </w:p>
        </w:tc>
      </w:tr>
      <w:tr>
        <w:trPr/>
        <w:tc>
          <w:tcPr>
            <w:tcW w:w="33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5,796</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(24,029)</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(14,343)</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2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(47,170)</w:t>
            </w:r>
          </w:p>
        </w:tc>
      </w:tr>
      <w:tr>
        <w:trPr/>
        <w:tc>
          <w:tcPr>
            <w:tcW w:w="338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(expense) income</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246" w:type="dxa"/>
            <w:tcBorders/>
            <w:vAlign w:val="center"/>
          </w:tcPr>
          <w:p>
            <w:pPr>
              <w:pStyle w:val="TableContents"/>
              <w:bidi w:val="0"/>
              <w:spacing w:before="0" w:after="1"/>
              <w:ind w:left="0" w:right="0" w:hanging="0"/>
              <w:jc w:val="right"/>
              <w:rPr/>
            </w:pPr>
            <w:r>
              <w:rPr/>
              <w:t>  </w:t>
            </w:r>
          </w:p>
        </w:tc>
      </w:tr>
      <w:tr>
        <w:trPr/>
        <w:tc>
          <w:tcPr>
            <w:tcW w:w="33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(4,345)</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(1,113)</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(7,639)</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(1,655)</w:t>
            </w:r>
          </w:p>
        </w:tc>
      </w:tr>
      <w:tr>
        <w:trPr/>
        <w:tc>
          <w:tcPr>
            <w:tcW w:w="33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investment income</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1,322</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4,143</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3,092</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8,736</w:t>
            </w:r>
          </w:p>
        </w:tc>
      </w:tr>
      <w:tr>
        <w:trPr/>
        <w:tc>
          <w:tcPr>
            <w:tcW w:w="33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 income, net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2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w:t>
            </w:r>
          </w:p>
        </w:tc>
      </w:tr>
      <w:tr>
        <w:trPr/>
        <w:tc>
          <w:tcPr>
            <w:tcW w:w="33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(expense) income, net</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(3,067)</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3,027</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(4,701)</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2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7,293</w:t>
            </w:r>
          </w:p>
        </w:tc>
      </w:tr>
      <w:tr>
        <w:trPr/>
        <w:tc>
          <w:tcPr>
            <w:tcW w:w="338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(loss)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2,729</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(21,002)</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(19,044)</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(39,877)</w:t>
            </w:r>
          </w:p>
        </w:tc>
      </w:tr>
      <w:tr>
        <w:trPr/>
        <w:tc>
          <w:tcPr>
            <w:tcW w:w="338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attributable to redeemable non-controlling interest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38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(loss) attributable to Gevo, Inc.</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2,144</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(21,002)</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(19,584)</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(39,877)</w:t>
            </w:r>
          </w:p>
        </w:tc>
      </w:tr>
      <w:tr>
        <w:trPr/>
        <w:tc>
          <w:tcPr>
            <w:tcW w:w="33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246" w:type="dxa"/>
            <w:tcBorders/>
            <w:vAlign w:val="center"/>
          </w:tcPr>
          <w:p>
            <w:pPr>
              <w:pStyle w:val="TableContents"/>
              <w:bidi w:val="0"/>
              <w:spacing w:before="0" w:after="1"/>
              <w:ind w:left="0" w:right="0" w:hanging="0"/>
              <w:jc w:val="right"/>
              <w:rPr/>
            </w:pPr>
            <w:r>
              <w:rPr/>
              <w:t>​</w:t>
            </w:r>
          </w:p>
        </w:tc>
      </w:tr>
      <w:tr>
        <w:trPr/>
        <w:tc>
          <w:tcPr>
            <w:tcW w:w="33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per share - basic</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(0.09)</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(0.08)</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2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(0.17)</w:t>
            </w:r>
          </w:p>
        </w:tc>
      </w:tr>
      <w:tr>
        <w:trPr/>
        <w:tc>
          <w:tcPr>
            <w:tcW w:w="33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per share - diluted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(0.09)</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(0.08)</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2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(0.17)</w:t>
            </w:r>
          </w:p>
        </w:tc>
      </w:tr>
      <w:tr>
        <w:trPr/>
        <w:tc>
          <w:tcPr>
            <w:tcW w:w="33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 - basic</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232,945,048</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239,014,435</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232,490,122</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239,929,385</w:t>
            </w:r>
          </w:p>
        </w:tc>
      </w:tr>
      <w:tr>
        <w:trPr/>
        <w:tc>
          <w:tcPr>
            <w:tcW w:w="33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 - diluted</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236,839,117</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239,014,435</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232,490,122</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24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239,929,385</w:t>
            </w:r>
          </w:p>
        </w:tc>
      </w:tr>
    </w:tbl>
    <w:p>
      <w:pPr>
        <w:pStyle w:val="TextBody"/>
        <w:bidi w:val="0"/>
        <w:spacing w:before="0" w:after="24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the accompanying Notes to the Condensed Consolidated Financial Statements.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55" w:name="_62a63971_232f_460d_a6bb_b36010b8e37b"/>
      <w:bookmarkEnd w:id="255"/>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bookmarkStart w:id="256" w:name="CONSOLIDATEDSTATEMENTSOFSTOCKHOLDERSEQUI"/>
      <w:bookmarkEnd w:id="256"/>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share amounts)</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57" w:name="Tc_EYPVaEtG-Eer7WTZ-4QQwA_19_17"/>
      <w:bookmarkStart w:id="258" w:name="Tc_u-COKfCqkU2pieUII_r7Tw_19_16"/>
      <w:bookmarkStart w:id="259" w:name="Tc_UWQyt5dIkkGq-nwiqDkTPQ_19_13"/>
      <w:bookmarkStart w:id="260" w:name="Tc_7D77EJuy20u9MLMjM6yJDA_19_10"/>
      <w:bookmarkStart w:id="261" w:name="Tc_jNj5s9GmiE-iRkpNALldbA_19_7"/>
      <w:bookmarkStart w:id="262" w:name="Tc_Kqubc0r1-USk_jzCnGCCoQ_19_4"/>
      <w:bookmarkStart w:id="263" w:name="Tc__8QFrNdgJU6CgR7MUp5nbA_19_0"/>
      <w:bookmarkStart w:id="264" w:name="Tc_ZpeAjVXbvU2GViFgIVWiVQ_18_17"/>
      <w:bookmarkStart w:id="265" w:name="Tc_kE-LtZ5epkOq1F18m7JlLg_18_8"/>
      <w:bookmarkStart w:id="266" w:name="Tc_UJqEQ2b4G0KUrCzVi6MorA_18_2"/>
      <w:bookmarkStart w:id="267" w:name="Tc_r0rKYbf_ZkuLuAItxcga5w_18_0"/>
      <w:bookmarkStart w:id="268" w:name="Tc_7_VvKypS-k6hjQoSqBs75Q_17_17"/>
      <w:bookmarkStart w:id="269" w:name="Tc_0tF62O2CJkil_NBy9SlDSQ_17_14"/>
      <w:bookmarkStart w:id="270" w:name="Tc_hE2tJg1jcUu9vRU-U2cOiw_17_11"/>
      <w:bookmarkStart w:id="271" w:name="Tc_cGdw8DMrm06bu7ZaftFLyw_17_8"/>
      <w:bookmarkStart w:id="272" w:name="Tc_mg6aJLgaoECiOk9Pr3Z1SQ_17_2"/>
      <w:bookmarkStart w:id="273" w:name="Tc_np8oo_kjtUSsaN2vVTWcvQ_17_0"/>
      <w:bookmarkStart w:id="274" w:name="Tc_w77p8zFvXEOcUuHrEqKOfg_16_17"/>
      <w:bookmarkStart w:id="275" w:name="Tc_ImhajJnKPE6RDPfv6fE02w_16_11"/>
      <w:bookmarkStart w:id="276" w:name="Tc_X5bHqZ-0b0-07h4soWInHQ_16_0"/>
      <w:bookmarkStart w:id="277" w:name="Tc_rrIfVzA9Uk6quvRiAiPvLw_15_17"/>
      <w:bookmarkStart w:id="278" w:name="Tc_vTCMLyF0gEOeE7T6NYmaog_15_11"/>
      <w:bookmarkStart w:id="279" w:name="Tc_kdJgEGWh7ECHBZe0WAkGHw_15_0"/>
      <w:bookmarkStart w:id="280" w:name="Tc_bp1t_z-m2E-_WgirF8zldg_14_17"/>
      <w:bookmarkStart w:id="281" w:name="Tc_0foumOHxvk6pV8l_JJApPg_14_11"/>
      <w:bookmarkStart w:id="282" w:name="Tc_4-2l8iRwEkOGU2oHhxb47Q_14_5"/>
      <w:bookmarkStart w:id="283" w:name="Tc_Mk4CChQ2b0uxoXB6CA4VEA_14_2"/>
      <w:bookmarkStart w:id="284" w:name="Tc_ORbmTZB5S0-Ay_5ZIaOnzA_14_0"/>
      <w:bookmarkStart w:id="285" w:name="Tc_oD2nuv1dxUG_KkGUSuOGtA_13_17"/>
      <w:bookmarkStart w:id="286" w:name="Tc_T-ybYnPNME630ig2BIvV5Q_13_13"/>
      <w:bookmarkStart w:id="287" w:name="Tc_Njr0FOJbkEOP6uh4b-IVZQ_13_10"/>
      <w:bookmarkStart w:id="288" w:name="Tc_XjnNKW_BZ02RTKEFuv9AgQ_13_7"/>
      <w:bookmarkStart w:id="289" w:name="Tc_618o5URcU0S02mCjhBEZTQ_13_4"/>
      <w:bookmarkStart w:id="290" w:name="Tc_97pPUf5k_U62LbS3F6hYvA_13_0"/>
      <w:bookmarkStart w:id="291" w:name="Tc_sZauMjs0qkqW16va1jhCCA_11_16"/>
      <w:bookmarkStart w:id="292" w:name="Tc_ed2GXaFagUKiep-bGd4r6A_11_13"/>
      <w:bookmarkStart w:id="293" w:name="Tc_ZowToLdMWEikzc0wMUuRgg_11_10"/>
      <w:bookmarkStart w:id="294" w:name="Tc__mQPpAcjME2RrCE7-3H2Dg_11_7"/>
      <w:bookmarkStart w:id="295" w:name="Tc_aMKLOB9G0E-ghfyqUAuSNw_11_4"/>
      <w:bookmarkStart w:id="296" w:name="Tc_1xkcLo0410m6oMoTe0_exw_11_0"/>
      <w:bookmarkStart w:id="297" w:name="Tc_QBsh0gAqy0u8g9YmKsLiNg_10_8"/>
      <w:bookmarkStart w:id="298" w:name="Tc_wP1Fe6uwBkWiTiYBXkwq9Q_10_5"/>
      <w:bookmarkStart w:id="299" w:name="Tc__GaUfwNbeEOXxDWEshicdQ_10_2"/>
      <w:bookmarkStart w:id="300" w:name="Tc_Qfak2rpeMEiLgwWmNCYBkg_10_0"/>
      <w:bookmarkStart w:id="301" w:name="Tc_Zm-6fEIgeUimgnR6SdQA_A_9_8"/>
      <w:bookmarkStart w:id="302" w:name="Tc_LZI5aQqGL0y3_4-Op1Fq8w_9_5"/>
      <w:bookmarkStart w:id="303" w:name="Tc_kUYzTfYfvUG04m6ORjX7tg_9_2"/>
      <w:bookmarkStart w:id="304" w:name="Tc_Ql_srzsoXk-cn7uWUI5ITA_9_0"/>
      <w:bookmarkStart w:id="305" w:name="Tc_EJj5zeVmHk6uyjwAkK3l1w_8_17"/>
      <w:bookmarkStart w:id="306" w:name="Tc_nwqcWYmNTUawmkGmdJgWKg_8_11"/>
      <w:bookmarkStart w:id="307" w:name="Tc_XqbpGCEfiE6sFw927vOTwA_8_0"/>
      <w:bookmarkStart w:id="308" w:name="Tc_EnuhU6MuWEmTr7AvehMXmw_7_17"/>
      <w:bookmarkStart w:id="309" w:name="Tc_GIUtqC4xcE6UBWMneMPMxg_7_11"/>
      <w:bookmarkStart w:id="310" w:name="Tc_OR051RG6zE-UkTFuOq03Eg_7_5"/>
      <w:bookmarkStart w:id="311" w:name="Tc_quSjmfS0nE6pQ1RjjiSCfQ_7_2"/>
      <w:bookmarkStart w:id="312" w:name="Tc_wcQTtCn_RkqN_9RuZ39_dw_7_0"/>
      <w:bookmarkStart w:id="313" w:name="Tc_DNZzXuT7pEmjaJRXugZXXA_6_16"/>
      <w:bookmarkStart w:id="314" w:name="Tc_ICQibg_mIUGoZ_EBgXhuJA_6_13"/>
      <w:bookmarkStart w:id="315" w:name="Tc_62rJfqaQLkiQjaFQ7Dnp0A_6_10"/>
      <w:bookmarkStart w:id="316" w:name="Tc_HJKzPJeMMUWyXAZ7L_k2_Q_6_7"/>
      <w:bookmarkStart w:id="317" w:name="Tc_ujuQlB0xhkikkIX3xxclAg_6_4"/>
      <w:bookmarkStart w:id="318" w:name="Tc_0_RvBD5Ngkqig4F0bWUYAQ_6_0"/>
      <w:bookmarkStart w:id="319" w:name="Tc_gbNWi5RcxUG_rq9rtDIjJQ_5_16"/>
      <w:bookmarkStart w:id="320" w:name="Tc_EfYFzBcIaEqDrEJbmrDq_A_5_13"/>
      <w:bookmarkStart w:id="321" w:name="Tc_nQKiMSLbxk-FLfcJTfXrmw_5_10"/>
      <w:bookmarkStart w:id="322" w:name="Tc_Xn3XOY_U8keL-YZA50C_YA_5_7"/>
      <w:bookmarkStart w:id="323" w:name="Tc_j54nJm7LbUuRQInAngagkA_5_4"/>
      <w:bookmarkStart w:id="324" w:name="Tc_4_G3obNZikaJ2ziLlP9mAQ_5_2"/>
      <w:bookmarkStart w:id="325" w:name="Tc_RtVLZfkVM0aANr1D8wSJTg_4_16"/>
      <w:bookmarkStart w:id="326" w:name="Tc_llf0GorCjUK3d07epRPLVw_4_13"/>
      <w:bookmarkStart w:id="327" w:name="Tc_Kk57wdbNSkmTXnO1M9AobQ_4_10"/>
      <w:bookmarkStart w:id="328" w:name="Tc_3mI9rtWHFkCKVhrCAOhuZg_4_2"/>
      <w:bookmarkStart w:id="329" w:name="Tc_Hr8x5lNJjEOM9H8xl6FlQw_3_16"/>
      <w:bookmarkStart w:id="330" w:name="Tc_fRBaD0tmTEyDLuXr1GbGTA_2_16"/>
      <w:bookmarkStart w:id="331" w:name="Tc_2QFyKxx_d0eNbyWCrzZBag_2_2"/>
      <w:bookmarkStart w:id="332" w:name="Tc_jAh39feekkmXsjxsMP_PIw_1_2"/>
      <w:bookmarkStart w:id="333" w:name="_78a4a9cb_369d_4c93_8519_a53b39122f97"/>
      <w:bookmarkStart w:id="334" w:name="Tc_EYPVaEtG-Eer7WTZ-4QQwA_19_17"/>
      <w:bookmarkStart w:id="335" w:name="Tc_u-COKfCqkU2pieUII_r7Tw_19_16"/>
      <w:bookmarkStart w:id="336" w:name="Tc_UWQyt5dIkkGq-nwiqDkTPQ_19_13"/>
      <w:bookmarkStart w:id="337" w:name="Tc_7D77EJuy20u9MLMjM6yJDA_19_10"/>
      <w:bookmarkStart w:id="338" w:name="Tc_jNj5s9GmiE-iRkpNALldbA_19_7"/>
      <w:bookmarkStart w:id="339" w:name="Tc_Kqubc0r1-USk_jzCnGCCoQ_19_4"/>
      <w:bookmarkStart w:id="340" w:name="Tc__8QFrNdgJU6CgR7MUp5nbA_19_0"/>
      <w:bookmarkStart w:id="341" w:name="Tc_ZpeAjVXbvU2GViFgIVWiVQ_18_17"/>
      <w:bookmarkStart w:id="342" w:name="Tc_kE-LtZ5epkOq1F18m7JlLg_18_8"/>
      <w:bookmarkStart w:id="343" w:name="Tc_UJqEQ2b4G0KUrCzVi6MorA_18_2"/>
      <w:bookmarkStart w:id="344" w:name="Tc_r0rKYbf_ZkuLuAItxcga5w_18_0"/>
      <w:bookmarkStart w:id="345" w:name="Tc_7_VvKypS-k6hjQoSqBs75Q_17_17"/>
      <w:bookmarkStart w:id="346" w:name="Tc_0tF62O2CJkil_NBy9SlDSQ_17_14"/>
      <w:bookmarkStart w:id="347" w:name="Tc_hE2tJg1jcUu9vRU-U2cOiw_17_11"/>
      <w:bookmarkStart w:id="348" w:name="Tc_cGdw8DMrm06bu7ZaftFLyw_17_8"/>
      <w:bookmarkStart w:id="349" w:name="Tc_mg6aJLgaoECiOk9Pr3Z1SQ_17_2"/>
      <w:bookmarkStart w:id="350" w:name="Tc_np8oo_kjtUSsaN2vVTWcvQ_17_0"/>
      <w:bookmarkStart w:id="351" w:name="Tc_w77p8zFvXEOcUuHrEqKOfg_16_17"/>
      <w:bookmarkStart w:id="352" w:name="Tc_ImhajJnKPE6RDPfv6fE02w_16_11"/>
      <w:bookmarkStart w:id="353" w:name="Tc_X5bHqZ-0b0-07h4soWInHQ_16_0"/>
      <w:bookmarkStart w:id="354" w:name="Tc_rrIfVzA9Uk6quvRiAiPvLw_15_17"/>
      <w:bookmarkStart w:id="355" w:name="Tc_vTCMLyF0gEOeE7T6NYmaog_15_11"/>
      <w:bookmarkStart w:id="356" w:name="Tc_kdJgEGWh7ECHBZe0WAkGHw_15_0"/>
      <w:bookmarkStart w:id="357" w:name="Tc_bp1t_z-m2E-_WgirF8zldg_14_17"/>
      <w:bookmarkStart w:id="358" w:name="Tc_0foumOHxvk6pV8l_JJApPg_14_11"/>
      <w:bookmarkStart w:id="359" w:name="Tc_4-2l8iRwEkOGU2oHhxb47Q_14_5"/>
      <w:bookmarkStart w:id="360" w:name="Tc_Mk4CChQ2b0uxoXB6CA4VEA_14_2"/>
      <w:bookmarkStart w:id="361" w:name="Tc_ORbmTZB5S0-Ay_5ZIaOnzA_14_0"/>
      <w:bookmarkStart w:id="362" w:name="Tc_oD2nuv1dxUG_KkGUSuOGtA_13_17"/>
      <w:bookmarkStart w:id="363" w:name="Tc_T-ybYnPNME630ig2BIvV5Q_13_13"/>
      <w:bookmarkStart w:id="364" w:name="Tc_Njr0FOJbkEOP6uh4b-IVZQ_13_10"/>
      <w:bookmarkStart w:id="365" w:name="Tc_XjnNKW_BZ02RTKEFuv9AgQ_13_7"/>
      <w:bookmarkStart w:id="366" w:name="Tc_618o5URcU0S02mCjhBEZTQ_13_4"/>
      <w:bookmarkStart w:id="367" w:name="Tc_97pPUf5k_U62LbS3F6hYvA_13_0"/>
      <w:bookmarkStart w:id="368" w:name="Tc_sZauMjs0qkqW16va1jhCCA_11_16"/>
      <w:bookmarkStart w:id="369" w:name="Tc_ed2GXaFagUKiep-bGd4r6A_11_13"/>
      <w:bookmarkStart w:id="370" w:name="Tc_ZowToLdMWEikzc0wMUuRgg_11_10"/>
      <w:bookmarkStart w:id="371" w:name="Tc__mQPpAcjME2RrCE7-3H2Dg_11_7"/>
      <w:bookmarkStart w:id="372" w:name="Tc_aMKLOB9G0E-ghfyqUAuSNw_11_4"/>
      <w:bookmarkStart w:id="373" w:name="Tc_1xkcLo0410m6oMoTe0_exw_11_0"/>
      <w:bookmarkStart w:id="374" w:name="Tc_QBsh0gAqy0u8g9YmKsLiNg_10_8"/>
      <w:bookmarkStart w:id="375" w:name="Tc_wP1Fe6uwBkWiTiYBXkwq9Q_10_5"/>
      <w:bookmarkStart w:id="376" w:name="Tc__GaUfwNbeEOXxDWEshicdQ_10_2"/>
      <w:bookmarkStart w:id="377" w:name="Tc_Qfak2rpeMEiLgwWmNCYBkg_10_0"/>
      <w:bookmarkStart w:id="378" w:name="Tc_Zm-6fEIgeUimgnR6SdQA_A_9_8"/>
      <w:bookmarkStart w:id="379" w:name="Tc_LZI5aQqGL0y3_4-Op1Fq8w_9_5"/>
      <w:bookmarkStart w:id="380" w:name="Tc_kUYzTfYfvUG04m6ORjX7tg_9_2"/>
      <w:bookmarkStart w:id="381" w:name="Tc_Ql_srzsoXk-cn7uWUI5ITA_9_0"/>
      <w:bookmarkStart w:id="382" w:name="Tc_EJj5zeVmHk6uyjwAkK3l1w_8_17"/>
      <w:bookmarkStart w:id="383" w:name="Tc_nwqcWYmNTUawmkGmdJgWKg_8_11"/>
      <w:bookmarkStart w:id="384" w:name="Tc_XqbpGCEfiE6sFw927vOTwA_8_0"/>
      <w:bookmarkStart w:id="385" w:name="Tc_EnuhU6MuWEmTr7AvehMXmw_7_17"/>
      <w:bookmarkStart w:id="386" w:name="Tc_GIUtqC4xcE6UBWMneMPMxg_7_11"/>
      <w:bookmarkStart w:id="387" w:name="Tc_OR051RG6zE-UkTFuOq03Eg_7_5"/>
      <w:bookmarkStart w:id="388" w:name="Tc_quSjmfS0nE6pQ1RjjiSCfQ_7_2"/>
      <w:bookmarkStart w:id="389" w:name="Tc_wcQTtCn_RkqN_9RuZ39_dw_7_0"/>
      <w:bookmarkStart w:id="390" w:name="Tc_DNZzXuT7pEmjaJRXugZXXA_6_16"/>
      <w:bookmarkStart w:id="391" w:name="Tc_ICQibg_mIUGoZ_EBgXhuJA_6_13"/>
      <w:bookmarkStart w:id="392" w:name="Tc_62rJfqaQLkiQjaFQ7Dnp0A_6_10"/>
      <w:bookmarkStart w:id="393" w:name="Tc_HJKzPJeMMUWyXAZ7L_k2_Q_6_7"/>
      <w:bookmarkStart w:id="394" w:name="Tc_ujuQlB0xhkikkIX3xxclAg_6_4"/>
      <w:bookmarkStart w:id="395" w:name="Tc_0_RvBD5Ngkqig4F0bWUYAQ_6_0"/>
      <w:bookmarkStart w:id="396" w:name="Tc_gbNWi5RcxUG_rq9rtDIjJQ_5_16"/>
      <w:bookmarkStart w:id="397" w:name="Tc_EfYFzBcIaEqDrEJbmrDq_A_5_13"/>
      <w:bookmarkStart w:id="398" w:name="Tc_nQKiMSLbxk-FLfcJTfXrmw_5_10"/>
      <w:bookmarkStart w:id="399" w:name="Tc_Xn3XOY_U8keL-YZA50C_YA_5_7"/>
      <w:bookmarkStart w:id="400" w:name="Tc_j54nJm7LbUuRQInAngagkA_5_4"/>
      <w:bookmarkStart w:id="401" w:name="Tc_4_G3obNZikaJ2ziLlP9mAQ_5_2"/>
      <w:bookmarkStart w:id="402" w:name="Tc_RtVLZfkVM0aANr1D8wSJTg_4_16"/>
      <w:bookmarkStart w:id="403" w:name="Tc_llf0GorCjUK3d07epRPLVw_4_13"/>
      <w:bookmarkStart w:id="404" w:name="Tc_Kk57wdbNSkmTXnO1M9AobQ_4_10"/>
      <w:bookmarkStart w:id="405" w:name="Tc_3mI9rtWHFkCKVhrCAOhuZg_4_2"/>
      <w:bookmarkStart w:id="406" w:name="Tc_Hr8x5lNJjEOM9H8xl6FlQw_3_16"/>
      <w:bookmarkStart w:id="407" w:name="Tc_fRBaD0tmTEyDLuXr1GbGTA_2_16"/>
      <w:bookmarkStart w:id="408" w:name="Tc_2QFyKxx_d0eNbyWCrzZBag_2_2"/>
      <w:bookmarkStart w:id="409" w:name="Tc_jAh39feekkmXsjxsMP_PIw_1_2"/>
      <w:bookmarkStart w:id="410" w:name="_78a4a9cb_369d_4c93_8519_a53b39122f97"/>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p>
    <w:tbl>
      <w:tblPr>
        <w:tblW w:w="10205" w:type="dxa"/>
        <w:jc w:val="left"/>
        <w:tblInd w:w="0" w:type="dxa"/>
        <w:tblLayout w:type="fixed"/>
        <w:tblCellMar>
          <w:top w:w="0" w:type="dxa"/>
          <w:left w:w="0" w:type="dxa"/>
          <w:bottom w:w="0" w:type="dxa"/>
          <w:right w:w="0" w:type="dxa"/>
        </w:tblCellMar>
      </w:tblPr>
      <w:tblGrid>
        <w:gridCol w:w="1986"/>
        <w:gridCol w:w="326"/>
        <w:gridCol w:w="1141"/>
        <w:gridCol w:w="326"/>
        <w:gridCol w:w="211"/>
        <w:gridCol w:w="571"/>
        <w:gridCol w:w="326"/>
        <w:gridCol w:w="227"/>
        <w:gridCol w:w="1004"/>
        <w:gridCol w:w="326"/>
        <w:gridCol w:w="211"/>
        <w:gridCol w:w="887"/>
        <w:gridCol w:w="109"/>
        <w:gridCol w:w="221"/>
        <w:gridCol w:w="822"/>
        <w:gridCol w:w="146"/>
        <w:gridCol w:w="366"/>
        <w:gridCol w:w="999"/>
      </w:tblGrid>
      <w:tr>
        <w:trPr/>
        <w:tc>
          <w:tcPr>
            <w:tcW w:w="1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261110" cy="175260"/>
                      <wp:effectExtent l="0" t="0" r="0" b="0"/>
                      <wp:wrapNone/>
                      <wp:docPr id="27" name="Frame27"/>
                      <a:graphic xmlns:a="http://schemas.openxmlformats.org/drawingml/2006/main">
                        <a:graphicData uri="http://schemas.microsoft.com/office/word/2010/wordprocessingShape">
                          <wps:wsp>
                            <wps:cNvSpPr txBox="1"/>
                            <wps:spPr>
                              <a:xfrm>
                                <a:off x="0" y="0"/>
                                <a:ext cx="1261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724535" cy="175260"/>
                      <wp:effectExtent l="0" t="0" r="0" b="0"/>
                      <wp:wrapNone/>
                      <wp:docPr id="29" name="Frame2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31"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362585" cy="175260"/>
                      <wp:effectExtent l="0" t="0" r="0" b="0"/>
                      <wp:wrapNone/>
                      <wp:docPr id="32" name="Frame3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44145" cy="175260"/>
                      <wp:effectExtent l="0" t="0" r="0" b="0"/>
                      <wp:wrapNone/>
                      <wp:docPr id="34" name="Frame34"/>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37540" cy="175260"/>
                      <wp:effectExtent l="0" t="0" r="0" b="0"/>
                      <wp:wrapNone/>
                      <wp:docPr id="35" name="Frame35"/>
                      <a:graphic xmlns:a="http://schemas.openxmlformats.org/drawingml/2006/main">
                        <a:graphicData uri="http://schemas.microsoft.com/office/word/2010/wordprocessingShape">
                          <wps:wsp>
                            <wps:cNvSpPr txBox="1"/>
                            <wps:spPr>
                              <a:xfrm>
                                <a:off x="0" y="0"/>
                                <a:ext cx="637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3985" cy="175260"/>
                      <wp:effectExtent l="0" t="0" r="0" b="0"/>
                      <wp:wrapNone/>
                      <wp:docPr id="37" name="Frame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63245" cy="175260"/>
                      <wp:effectExtent l="0" t="0" r="0" b="0"/>
                      <wp:wrapNone/>
                      <wp:docPr id="38" name="Frame38"/>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9215" cy="175260"/>
                      <wp:effectExtent l="0" t="0" r="0" b="0"/>
                      <wp:wrapNone/>
                      <wp:docPr id="39" name="Frame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40335" cy="175260"/>
                      <wp:effectExtent l="0" t="0" r="0" b="0"/>
                      <wp:wrapNone/>
                      <wp:docPr id="40" name="Frame40"/>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21970" cy="175260"/>
                      <wp:effectExtent l="0" t="0" r="0" b="0"/>
                      <wp:wrapNone/>
                      <wp:docPr id="41" name="Frame41"/>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92710" cy="175260"/>
                      <wp:effectExtent l="0" t="0" r="0" b="0"/>
                      <wp:wrapNone/>
                      <wp:docPr id="42" name="Frame4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32410" cy="175260"/>
                      <wp:effectExtent l="0" t="0" r="0" b="0"/>
                      <wp:wrapNone/>
                      <wp:docPr id="43" name="Frame43"/>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34365" cy="175260"/>
                      <wp:effectExtent l="0" t="0" r="0" b="0"/>
                      <wp:wrapNone/>
                      <wp:docPr id="44" name="Frame44"/>
                      <a:graphic xmlns:a="http://schemas.openxmlformats.org/drawingml/2006/main">
                        <a:graphicData uri="http://schemas.microsoft.com/office/word/2010/wordprocessingShape">
                          <wps:wsp>
                            <wps:cNvSpPr txBox="1"/>
                            <wps:spPr>
                              <a:xfrm>
                                <a:off x="0" y="0"/>
                                <a:ext cx="634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93"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2025 and 2024</w:t>
            </w:r>
          </w:p>
        </w:tc>
      </w:tr>
      <w:tr>
        <w:trPr/>
        <w:tc>
          <w:tcPr>
            <w:tcW w:w="19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382" w:type="dxa"/>
            <w:gridSpan w:val="1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 Equity</w:t>
            </w:r>
          </w:p>
        </w:tc>
        <w:tc>
          <w:tcPr>
            <w:tcW w:w="146" w:type="dxa"/>
            <w:tcBorders/>
            <w:vAlign w:val="center"/>
          </w:tcPr>
          <w:p>
            <w:pPr>
              <w:pStyle w:val="TableContents"/>
              <w:bidi w:val="0"/>
              <w:spacing w:before="0" w:after="1"/>
              <w:ind w:left="0" w:right="0" w:hanging="0"/>
              <w:jc w:val="center"/>
              <w:rPr/>
            </w:pPr>
            <w:r>
              <w:rPr/>
              <w:t>​</w:t>
            </w:r>
          </w:p>
        </w:tc>
        <w:tc>
          <w:tcPr>
            <w:tcW w:w="13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Mezzanine Equity</w:t>
            </w:r>
          </w:p>
        </w:tc>
      </w:tr>
      <w:tr>
        <w:trPr/>
        <w:tc>
          <w:tcPr>
            <w:tcW w:w="19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27" w:type="dxa"/>
            <w:tcBorders/>
            <w:vAlign w:val="center"/>
          </w:tcPr>
          <w:p>
            <w:pPr>
              <w:pStyle w:val="TableContents"/>
              <w:bidi w:val="0"/>
              <w:spacing w:before="0" w:after="1"/>
              <w:ind w:left="0" w:right="0" w:hanging="0"/>
              <w:jc w:val="center"/>
              <w:rPr/>
            </w:pPr>
            <w:r>
              <w:rPr/>
              <w:t>​</w:t>
            </w:r>
          </w:p>
        </w:tc>
        <w:tc>
          <w:tcPr>
            <w:tcW w:w="100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87"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21" w:type="dxa"/>
            <w:tcBorders/>
            <w:vAlign w:val="center"/>
          </w:tcPr>
          <w:p>
            <w:pPr>
              <w:pStyle w:val="TableContents"/>
              <w:bidi w:val="0"/>
              <w:spacing w:before="0" w:after="1"/>
              <w:ind w:left="0" w:right="0" w:hanging="0"/>
              <w:jc w:val="center"/>
              <w:rPr/>
            </w:pPr>
            <w:r>
              <w:rPr/>
              <w:t>​</w:t>
            </w:r>
          </w:p>
        </w:tc>
        <w:tc>
          <w:tcPr>
            <w:tcW w:w="822"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w:t>
            </w:r>
          </w:p>
        </w:tc>
        <w:tc>
          <w:tcPr>
            <w:tcW w:w="13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Redeemable</w:t>
            </w:r>
          </w:p>
        </w:tc>
      </w:tr>
      <w:tr>
        <w:trPr/>
        <w:tc>
          <w:tcPr>
            <w:tcW w:w="19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9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109" w:type="dxa"/>
            <w:tcBorders/>
            <w:vAlign w:val="center"/>
          </w:tcPr>
          <w:p>
            <w:pPr>
              <w:pStyle w:val="TableContents"/>
              <w:bidi w:val="0"/>
              <w:spacing w:before="0" w:after="1"/>
              <w:ind w:left="0" w:right="0" w:hanging="0"/>
              <w:jc w:val="center"/>
              <w:rPr/>
            </w:pPr>
            <w:r>
              <w:rPr/>
              <w:t>​</w:t>
            </w:r>
          </w:p>
        </w:tc>
        <w:tc>
          <w:tcPr>
            <w:tcW w:w="104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c>
          <w:tcPr>
            <w:tcW w:w="146" w:type="dxa"/>
            <w:tcBorders/>
            <w:vAlign w:val="center"/>
          </w:tcPr>
          <w:p>
            <w:pPr>
              <w:pStyle w:val="TableContents"/>
              <w:bidi w:val="0"/>
              <w:spacing w:before="0" w:after="1"/>
              <w:ind w:left="0" w:right="0" w:hanging="0"/>
              <w:jc w:val="center"/>
              <w:rPr/>
            </w:pPr>
            <w:r>
              <w:rPr/>
              <w:t> </w:t>
            </w:r>
          </w:p>
        </w:tc>
        <w:tc>
          <w:tcPr>
            <w:tcW w:w="13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Non-Controlling</w:t>
            </w:r>
          </w:p>
        </w:tc>
      </w:tr>
      <w:tr>
        <w:trPr/>
        <w:tc>
          <w:tcPr>
            <w:tcW w:w="19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12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26" w:type="dxa"/>
            <w:tcBorders/>
            <w:vAlign w:val="center"/>
          </w:tcPr>
          <w:p>
            <w:pPr>
              <w:pStyle w:val="TableContents"/>
              <w:bidi w:val="0"/>
              <w:spacing w:before="0" w:after="1"/>
              <w:ind w:left="0" w:right="0" w:hanging="0"/>
              <w:jc w:val="left"/>
              <w:rPr/>
            </w:pPr>
            <w:r>
              <w:rPr/>
              <w:t>    </w:t>
            </w:r>
          </w:p>
        </w:tc>
        <w:tc>
          <w:tcPr>
            <w:tcW w:w="10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109" w:type="dxa"/>
            <w:tcBorders/>
            <w:vAlign w:val="center"/>
          </w:tcPr>
          <w:p>
            <w:pPr>
              <w:pStyle w:val="TableContents"/>
              <w:bidi w:val="0"/>
              <w:spacing w:before="0" w:after="1"/>
              <w:ind w:left="0" w:right="0" w:hanging="0"/>
              <w:jc w:val="center"/>
              <w:rPr/>
            </w:pPr>
            <w:r>
              <w:rPr/>
              <w:t>​</w:t>
            </w:r>
          </w:p>
        </w:tc>
        <w:tc>
          <w:tcPr>
            <w:tcW w:w="104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146" w:type="dxa"/>
            <w:tcBorders/>
            <w:vAlign w:val="center"/>
          </w:tcPr>
          <w:p>
            <w:pPr>
              <w:pStyle w:val="TableContents"/>
              <w:bidi w:val="0"/>
              <w:spacing w:before="0" w:after="1"/>
              <w:ind w:left="0" w:right="0" w:hanging="0"/>
              <w:jc w:val="left"/>
              <w:rPr/>
            </w:pPr>
            <w:r>
              <w:rPr/>
              <w:t>​</w:t>
            </w:r>
          </w:p>
        </w:tc>
        <w:tc>
          <w:tcPr>
            <w:tcW w:w="13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r>
      <w:tr>
        <w:trPr/>
        <w:tc>
          <w:tcPr>
            <w:tcW w:w="19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March 31, 2025</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239,562,995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2,396</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1,289,406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(821,965)</w:t>
            </w:r>
          </w:p>
        </w:tc>
        <w:tc>
          <w:tcPr>
            <w:tcW w:w="109" w:type="dxa"/>
            <w:tcBorders/>
            <w:shd w:fill="CCEEFF" w:val="clear"/>
            <w:vAlign w:val="center"/>
          </w:tcPr>
          <w:p>
            <w:pPr>
              <w:pStyle w:val="TableContents"/>
              <w:bidi w:val="0"/>
              <w:spacing w:before="0" w:after="1"/>
              <w:ind w:left="0" w:right="0" w:hanging="0"/>
              <w:jc w:val="righ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469,837</w:t>
            </w:r>
          </w:p>
        </w:tc>
        <w:tc>
          <w:tcPr>
            <w:tcW w:w="146"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4,955</w:t>
            </w:r>
          </w:p>
        </w:tc>
      </w:tr>
      <w:tr>
        <w:trPr/>
        <w:tc>
          <w:tcPr>
            <w:tcW w:w="19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stock-based compensation</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21" w:type="dxa"/>
            <w:tcBorders/>
            <w:vAlign w:val="center"/>
          </w:tcPr>
          <w:p>
            <w:pPr>
              <w:pStyle w:val="TableContents"/>
              <w:bidi w:val="0"/>
              <w:spacing w:before="0" w:after="1"/>
              <w:ind w:left="0" w:right="0" w:hanging="0"/>
              <w:jc w:val="left"/>
              <w:rPr/>
            </w:pPr>
            <w:r>
              <w:rPr/>
              <w:t> </w:t>
            </w:r>
          </w:p>
        </w:tc>
        <w:tc>
          <w:tcPr>
            <w:tcW w:w="8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2,244</w:t>
            </w:r>
          </w:p>
        </w:tc>
        <w:tc>
          <w:tcPr>
            <w:tcW w:w="146"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left"/>
              <w:rPr/>
            </w:pPr>
            <w:r>
              <w:rPr/>
              <w:t>​</w:t>
            </w:r>
          </w:p>
        </w:tc>
        <w:tc>
          <w:tcPr>
            <w:tcW w:w="999" w:type="dxa"/>
            <w:tcBorders/>
            <w:vAlign w:val="center"/>
          </w:tcPr>
          <w:p>
            <w:pPr>
              <w:pStyle w:val="TableContents"/>
              <w:bidi w:val="0"/>
              <w:spacing w:before="0" w:after="1"/>
              <w:ind w:left="0" w:right="0" w:hanging="0"/>
              <w:jc w:val="right"/>
              <w:rPr/>
            </w:pPr>
            <w:r>
              <w:rPr/>
              <w:t>—</w:t>
            </w:r>
          </w:p>
        </w:tc>
      </w:tr>
      <w:tr>
        <w:trPr/>
        <w:tc>
          <w:tcPr>
            <w:tcW w:w="19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awards and related share issuances, net</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2,278,595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8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146"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w:t>
            </w:r>
          </w:p>
        </w:tc>
        <w:tc>
          <w:tcPr>
            <w:tcW w:w="999" w:type="dxa"/>
            <w:tcBorders/>
            <w:shd w:fill="CCEEFF" w:val="clear"/>
            <w:vAlign w:val="center"/>
          </w:tcPr>
          <w:p>
            <w:pPr>
              <w:pStyle w:val="TableContents"/>
              <w:bidi w:val="0"/>
              <w:spacing w:before="0" w:after="1"/>
              <w:ind w:left="0" w:right="0" w:hanging="0"/>
              <w:jc w:val="right"/>
              <w:rPr/>
            </w:pPr>
            <w:r>
              <w:rPr/>
              <w:t>—</w:t>
            </w:r>
          </w:p>
        </w:tc>
      </w:tr>
      <w:tr>
        <w:trPr/>
        <w:tc>
          <w:tcPr>
            <w:tcW w:w="19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redemption value of redeemable non-controlling interest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c>
          <w:tcPr>
            <w:tcW w:w="109" w:type="dxa"/>
            <w:tcBorders/>
            <w:vAlign w:val="center"/>
          </w:tcPr>
          <w:p>
            <w:pPr>
              <w:pStyle w:val="TableContents"/>
              <w:bidi w:val="0"/>
              <w:spacing w:before="0" w:after="1"/>
              <w:ind w:left="0" w:right="0" w:hanging="0"/>
              <w:jc w:val="right"/>
              <w:rPr/>
            </w:pPr>
            <w:r>
              <w:rPr/>
              <w:t>​</w:t>
            </w:r>
          </w:p>
        </w:tc>
        <w:tc>
          <w:tcPr>
            <w:tcW w:w="221" w:type="dxa"/>
            <w:tcBorders/>
            <w:vAlign w:val="center"/>
          </w:tcPr>
          <w:p>
            <w:pPr>
              <w:pStyle w:val="TableContents"/>
              <w:bidi w:val="0"/>
              <w:spacing w:before="0" w:after="1"/>
              <w:ind w:left="0" w:right="0" w:hanging="0"/>
              <w:jc w:val="right"/>
              <w:rPr/>
            </w:pPr>
            <w:r>
              <w:rPr/>
              <w:t>​</w:t>
            </w:r>
          </w:p>
        </w:tc>
        <w:tc>
          <w:tcPr>
            <w:tcW w:w="8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c>
          <w:tcPr>
            <w:tcW w:w="146"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left"/>
              <w:rPr/>
            </w:pPr>
            <w:r>
              <w:rPr/>
              <w:t>​</w:t>
            </w:r>
          </w:p>
        </w:tc>
        <w:tc>
          <w:tcPr>
            <w:tcW w:w="9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19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2,144</w:t>
            </w:r>
          </w:p>
        </w:tc>
        <w:tc>
          <w:tcPr>
            <w:tcW w:w="109" w:type="dxa"/>
            <w:tcBorders/>
            <w:shd w:fill="CCEEFF" w:val="clear"/>
            <w:vAlign w:val="center"/>
          </w:tcPr>
          <w:p>
            <w:pPr>
              <w:pStyle w:val="TableContents"/>
              <w:bidi w:val="0"/>
              <w:spacing w:before="0" w:after="1"/>
              <w:ind w:left="0" w:right="0" w:hanging="0"/>
              <w:jc w:val="righ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2,144</w:t>
            </w:r>
          </w:p>
        </w:tc>
        <w:tc>
          <w:tcPr>
            <w:tcW w:w="146"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w:t>
            </w:r>
          </w:p>
        </w:tc>
        <w:tc>
          <w:tcPr>
            <w:tcW w:w="9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w:t>
            </w:r>
          </w:p>
        </w:tc>
      </w:tr>
      <w:tr>
        <w:trPr/>
        <w:tc>
          <w:tcPr>
            <w:tcW w:w="19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June 30, 2025</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241,841,590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2,419</w:t>
            </w:r>
          </w:p>
        </w:tc>
        <w:tc>
          <w:tcPr>
            <w:tcW w:w="326" w:type="dxa"/>
            <w:tcBorders/>
            <w:vAlign w:val="center"/>
          </w:tcPr>
          <w:p>
            <w:pPr>
              <w:pStyle w:val="TableContents"/>
              <w:bidi w:val="0"/>
              <w:spacing w:before="0" w:after="1"/>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1,291,630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(819,945)</w:t>
            </w:r>
          </w:p>
        </w:tc>
        <w:tc>
          <w:tcPr>
            <w:tcW w:w="109" w:type="dxa"/>
            <w:tcBorders/>
            <w:vAlign w:val="center"/>
          </w:tcPr>
          <w:p>
            <w:pPr>
              <w:pStyle w:val="TableContents"/>
              <w:bidi w:val="0"/>
              <w:spacing w:before="0" w:after="1"/>
              <w:ind w:left="0" w:right="0" w:hanging="0"/>
              <w:jc w:val="righ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474,104</w:t>
            </w:r>
          </w:p>
        </w:tc>
        <w:tc>
          <w:tcPr>
            <w:tcW w:w="146" w:type="dxa"/>
            <w:tcBorders/>
            <w:vAlign w:val="center"/>
          </w:tcPr>
          <w:p>
            <w:pPr>
              <w:pStyle w:val="TableContents"/>
              <w:bidi w:val="0"/>
              <w:spacing w:before="0" w:after="1"/>
              <w:ind w:left="0" w:right="0" w:hanging="0"/>
              <w:jc w:val="left"/>
              <w:rPr/>
            </w:pPr>
            <w:r>
              <w:rPr/>
              <w:t>​</w:t>
            </w:r>
          </w:p>
        </w:tc>
        <w:tc>
          <w:tcPr>
            <w:tcW w:w="36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5,664</w:t>
            </w:r>
          </w:p>
        </w:tc>
      </w:tr>
      <w:tr>
        <w:trPr/>
        <w:tc>
          <w:tcPr>
            <w:tcW w:w="19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822"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w:t>
            </w:r>
          </w:p>
        </w:tc>
        <w:tc>
          <w:tcPr>
            <w:tcW w:w="999" w:type="dxa"/>
            <w:tcBorders/>
            <w:shd w:fill="CCEEFF" w:val="clear"/>
            <w:vAlign w:val="center"/>
          </w:tcPr>
          <w:p>
            <w:pPr>
              <w:pStyle w:val="TableContents"/>
              <w:bidi w:val="0"/>
              <w:spacing w:before="0" w:after="1"/>
              <w:ind w:left="0" w:right="0" w:hanging="0"/>
              <w:jc w:val="left"/>
              <w:rPr/>
            </w:pPr>
            <w:r>
              <w:rPr/>
              <w:t>​</w:t>
            </w:r>
          </w:p>
        </w:tc>
      </w:tr>
      <w:tr>
        <w:trPr/>
        <w:tc>
          <w:tcPr>
            <w:tcW w:w="19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March 31, 2024</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239,576,404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2,396</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1,280,021</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(740,472)</w:t>
            </w:r>
          </w:p>
        </w:tc>
        <w:tc>
          <w:tcPr>
            <w:tcW w:w="109" w:type="dxa"/>
            <w:tcBorders/>
            <w:vAlign w:val="center"/>
          </w:tcPr>
          <w:p>
            <w:pPr>
              <w:pStyle w:val="TableContents"/>
              <w:bidi w:val="0"/>
              <w:spacing w:before="0" w:after="1"/>
              <w:ind w:left="0" w:right="0" w:hanging="0"/>
              <w:jc w:val="right"/>
              <w:rPr/>
            </w:pPr>
            <w:r>
              <w:rPr/>
              <w:t>​</w:t>
            </w:r>
          </w:p>
        </w:tc>
        <w:tc>
          <w:tcPr>
            <w:tcW w:w="2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541,945</w:t>
            </w:r>
          </w:p>
        </w:tc>
        <w:tc>
          <w:tcPr>
            <w:tcW w:w="146"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left"/>
              <w:rPr/>
            </w:pPr>
            <w:r>
              <w:rPr/>
              <w:t>​</w:t>
            </w:r>
          </w:p>
        </w:tc>
        <w:tc>
          <w:tcPr>
            <w:tcW w:w="999" w:type="dxa"/>
            <w:tcBorders/>
            <w:vAlign w:val="center"/>
          </w:tcPr>
          <w:p>
            <w:pPr>
              <w:pStyle w:val="TableContents"/>
              <w:bidi w:val="0"/>
              <w:spacing w:before="0" w:after="1"/>
              <w:ind w:left="0" w:right="0" w:hanging="0"/>
              <w:jc w:val="right"/>
              <w:rPr/>
            </w:pPr>
            <w:r>
              <w:rPr/>
              <w:t>—</w:t>
            </w:r>
          </w:p>
        </w:tc>
      </w:tr>
      <w:tr>
        <w:trPr/>
        <w:tc>
          <w:tcPr>
            <w:tcW w:w="19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stock-based compensation</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8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4,466</w:t>
            </w:r>
          </w:p>
        </w:tc>
        <w:tc>
          <w:tcPr>
            <w:tcW w:w="146"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w:t>
            </w:r>
          </w:p>
        </w:tc>
        <w:tc>
          <w:tcPr>
            <w:tcW w:w="999" w:type="dxa"/>
            <w:tcBorders/>
            <w:shd w:fill="CCEEFF" w:val="clear"/>
            <w:vAlign w:val="center"/>
          </w:tcPr>
          <w:p>
            <w:pPr>
              <w:pStyle w:val="TableContents"/>
              <w:bidi w:val="0"/>
              <w:spacing w:before="0" w:after="1"/>
              <w:ind w:left="0" w:right="0" w:hanging="0"/>
              <w:jc w:val="right"/>
              <w:rPr/>
            </w:pPr>
            <w:r>
              <w:rPr/>
              <w:t>—</w:t>
            </w:r>
          </w:p>
        </w:tc>
      </w:tr>
      <w:tr>
        <w:trPr/>
        <w:tc>
          <w:tcPr>
            <w:tcW w:w="19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awards and related share issuances, net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4,956,688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50</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21"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left"/>
              <w:rPr/>
            </w:pPr>
            <w:r>
              <w:rPr/>
              <w:t>​</w:t>
            </w:r>
          </w:p>
        </w:tc>
        <w:tc>
          <w:tcPr>
            <w:tcW w:w="999" w:type="dxa"/>
            <w:tcBorders/>
            <w:vAlign w:val="center"/>
          </w:tcPr>
          <w:p>
            <w:pPr>
              <w:pStyle w:val="TableContents"/>
              <w:bidi w:val="0"/>
              <w:spacing w:before="0" w:after="1"/>
              <w:ind w:left="0" w:right="0" w:hanging="0"/>
              <w:jc w:val="right"/>
              <w:rPr/>
            </w:pPr>
            <w:r>
              <w:rPr/>
              <w:t>—</w:t>
            </w:r>
          </w:p>
        </w:tc>
      </w:tr>
      <w:tr>
        <w:trPr/>
        <w:tc>
          <w:tcPr>
            <w:tcW w:w="19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(3,967,852)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8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(2,667)</w:t>
            </w:r>
          </w:p>
        </w:tc>
        <w:tc>
          <w:tcPr>
            <w:tcW w:w="146"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w:t>
            </w:r>
          </w:p>
        </w:tc>
        <w:tc>
          <w:tcPr>
            <w:tcW w:w="999" w:type="dxa"/>
            <w:tcBorders/>
            <w:shd w:fill="CCEEFF" w:val="clear"/>
            <w:vAlign w:val="center"/>
          </w:tcPr>
          <w:p>
            <w:pPr>
              <w:pStyle w:val="TableContents"/>
              <w:bidi w:val="0"/>
              <w:spacing w:before="0" w:after="1"/>
              <w:ind w:left="0" w:right="0" w:hanging="0"/>
              <w:jc w:val="right"/>
              <w:rPr/>
            </w:pPr>
            <w:r>
              <w:rPr/>
              <w:t>—</w:t>
            </w:r>
          </w:p>
        </w:tc>
      </w:tr>
      <w:tr>
        <w:trPr/>
        <w:tc>
          <w:tcPr>
            <w:tcW w:w="19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warrants</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100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21" w:type="dxa"/>
            <w:tcBorders/>
            <w:vAlign w:val="center"/>
          </w:tcPr>
          <w:p>
            <w:pPr>
              <w:pStyle w:val="TableContents"/>
              <w:bidi w:val="0"/>
              <w:spacing w:before="0" w:after="1"/>
              <w:ind w:left="0" w:right="0" w:hanging="0"/>
              <w:jc w:val="left"/>
              <w:rPr/>
            </w:pPr>
            <w:r>
              <w:rPr/>
              <w:t> </w:t>
            </w:r>
          </w:p>
        </w:tc>
        <w:tc>
          <w:tcPr>
            <w:tcW w:w="822"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left"/>
              <w:rPr/>
            </w:pPr>
            <w:r>
              <w:rPr/>
              <w:t>​</w:t>
            </w:r>
          </w:p>
        </w:tc>
        <w:tc>
          <w:tcPr>
            <w:tcW w:w="999" w:type="dxa"/>
            <w:tcBorders/>
            <w:vAlign w:val="center"/>
          </w:tcPr>
          <w:p>
            <w:pPr>
              <w:pStyle w:val="TableContents"/>
              <w:bidi w:val="0"/>
              <w:spacing w:before="0" w:after="1"/>
              <w:ind w:left="0" w:right="0" w:hanging="0"/>
              <w:jc w:val="right"/>
              <w:rPr/>
            </w:pPr>
            <w:r>
              <w:rPr/>
              <w:t>—</w:t>
            </w:r>
          </w:p>
        </w:tc>
      </w:tr>
      <w:tr>
        <w:trPr/>
        <w:tc>
          <w:tcPr>
            <w:tcW w:w="19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(21,002)</w:t>
            </w:r>
          </w:p>
        </w:tc>
        <w:tc>
          <w:tcPr>
            <w:tcW w:w="109" w:type="dxa"/>
            <w:tcBorders/>
            <w:shd w:fill="CCEEFF" w:val="clear"/>
            <w:vAlign w:val="center"/>
          </w:tcPr>
          <w:p>
            <w:pPr>
              <w:pStyle w:val="TableContents"/>
              <w:bidi w:val="0"/>
              <w:spacing w:before="0" w:after="1"/>
              <w:ind w:left="0" w:right="0" w:hanging="0"/>
              <w:jc w:val="righ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(21,002)</w:t>
            </w:r>
          </w:p>
        </w:tc>
        <w:tc>
          <w:tcPr>
            <w:tcW w:w="146"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w:t>
            </w:r>
          </w:p>
        </w:tc>
        <w:tc>
          <w:tcPr>
            <w:tcW w:w="9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9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June 30, 2024</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240,565,240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2,406</w:t>
            </w:r>
          </w:p>
        </w:tc>
        <w:tc>
          <w:tcPr>
            <w:tcW w:w="326" w:type="dxa"/>
            <w:tcBorders/>
            <w:vAlign w:val="center"/>
          </w:tcPr>
          <w:p>
            <w:pPr>
              <w:pStyle w:val="TableContents"/>
              <w:bidi w:val="0"/>
              <w:spacing w:before="0" w:after="1"/>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1,281,810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(761,474)</w:t>
            </w:r>
          </w:p>
        </w:tc>
        <w:tc>
          <w:tcPr>
            <w:tcW w:w="109" w:type="dxa"/>
            <w:tcBorders/>
            <w:vAlign w:val="center"/>
          </w:tcPr>
          <w:p>
            <w:pPr>
              <w:pStyle w:val="TableContents"/>
              <w:bidi w:val="0"/>
              <w:spacing w:before="0" w:after="1"/>
              <w:ind w:left="0" w:right="0" w:hanging="0"/>
              <w:jc w:val="righ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522,742</w:t>
            </w:r>
          </w:p>
        </w:tc>
        <w:tc>
          <w:tcPr>
            <w:tcW w:w="146" w:type="dxa"/>
            <w:tcBorders/>
            <w:vAlign w:val="center"/>
          </w:tcPr>
          <w:p>
            <w:pPr>
              <w:pStyle w:val="TableContents"/>
              <w:bidi w:val="0"/>
              <w:spacing w:before="0" w:after="1"/>
              <w:ind w:left="0" w:right="0" w:hanging="0"/>
              <w:jc w:val="left"/>
              <w:rPr/>
            </w:pPr>
            <w:r>
              <w:rPr/>
              <w:t>​</w:t>
            </w:r>
          </w:p>
        </w:tc>
        <w:tc>
          <w:tcPr>
            <w:tcW w:w="36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411" w:name="Tc_UIkSk-KJGEmJzHtiFDnspw_19_17"/>
      <w:bookmarkStart w:id="412" w:name="Tc_yQSTUKRy4UWqtij9CUKjyg_19_16"/>
      <w:bookmarkStart w:id="413" w:name="Tc_-DzKs1Y8kkSYhgzyhF0E4w_19_13"/>
      <w:bookmarkStart w:id="414" w:name="Tc_F1Ql9jzm4k-4rZ10K4CmAg_19_10"/>
      <w:bookmarkStart w:id="415" w:name="Tc_40pRrxc1P02ocGKr5ofPEg_19_7"/>
      <w:bookmarkStart w:id="416" w:name="Tc_QHunZX5roU2-gCNlmRxbXQ_19_4"/>
      <w:bookmarkStart w:id="417" w:name="Tc_ItBdQxEPuEq3ykGYxLhz4Q_19_0"/>
      <w:bookmarkStart w:id="418" w:name="Tc_V2NUYK9t1U20P0CymM1xyw_18_17"/>
      <w:bookmarkStart w:id="419" w:name="Tc_AkUZRlWUyU-dowg62svKGw_18_8"/>
      <w:bookmarkStart w:id="420" w:name="Tc_iV74QjEapk-sNxezqq48bw_18_5"/>
      <w:bookmarkStart w:id="421" w:name="Tc_nEFvZyBpR02vWUVDoSVEOw_18_2"/>
      <w:bookmarkStart w:id="422" w:name="Tc_VuHutPEx6UuBQLoV7xLVkQ_18_0"/>
      <w:bookmarkStart w:id="423" w:name="Tc_uWuI96791ESQ-Fn1iPmNqg_17_17"/>
      <w:bookmarkStart w:id="424" w:name="Tc_wmoYQh9350Gu0p7bZJQsvw_17_11"/>
      <w:bookmarkStart w:id="425" w:name="Tc_GO5FaWl2RUm02X6TEtaKVg_17_0"/>
      <w:bookmarkStart w:id="426" w:name="Tc_kc3cl3macU-aBQ2RzNQEfA_16_17"/>
      <w:bookmarkStart w:id="427" w:name="Tc_soI6cOkvEUaE8wQdovm46w_16_11"/>
      <w:bookmarkStart w:id="428" w:name="Tc_U0JiIbXGEkiJysswiT20yA_16_0"/>
      <w:bookmarkStart w:id="429" w:name="Tc_xxYJYzH6n0e_mXz8hYma9w_15_17"/>
      <w:bookmarkStart w:id="430" w:name="Tc_IpPzVOSMiEucjk51_OU48g_15_11"/>
      <w:bookmarkStart w:id="431" w:name="Tc_WUYcwMv0PU6ZTLmlHZxdkw_15_5"/>
      <w:bookmarkStart w:id="432" w:name="Tc_Ys6w2-a9jEaKZMuem8uLOQ_15_2"/>
      <w:bookmarkStart w:id="433" w:name="Tc_bucYoMDVlkGeWcBFEZ5HNQ_15_0"/>
      <w:bookmarkStart w:id="434" w:name="Tc_bOg-CaDEeE6g32QRPcRFdw_14_17"/>
      <w:bookmarkStart w:id="435" w:name="Tc_V-7wwP9jO0e602_-e1aPNw_14_13"/>
      <w:bookmarkStart w:id="436" w:name="Tc_nSY0fCNwe0aKf96bWHJlHQ_14_10"/>
      <w:bookmarkStart w:id="437" w:name="Tc__qZBiJJAjUi5wTGjr4HKeA_14_7"/>
      <w:bookmarkStart w:id="438" w:name="Tc_egPBNpQzRUePUskTOxZeYw_14_4"/>
      <w:bookmarkStart w:id="439" w:name="Tc_ExkH5ljFrU-fgNRNzgPsDA_14_0"/>
      <w:bookmarkStart w:id="440" w:name="Tc_ekid2GiRaEiKboZe5wUN6w_12_16"/>
      <w:bookmarkStart w:id="441" w:name="Tc_5usihKngkkGZnz7cQeVsUg_12_13"/>
      <w:bookmarkStart w:id="442" w:name="Tc_ppJm0CEYqke3BkaOekhskQ_12_10"/>
      <w:bookmarkStart w:id="443" w:name="Tc_iuy2QPMhskCW9GG9OJ3sGA_12_7"/>
      <w:bookmarkStart w:id="444" w:name="Tc_xpFxct2hdk2acBrZE4SymA_12_4"/>
      <w:bookmarkStart w:id="445" w:name="Tc_HVhlcmujHkuyiEQWuzZLUQ_12_0"/>
      <w:bookmarkStart w:id="446" w:name="Tc_rIg_gBFWUECj0ZzYUThgew_11_8"/>
      <w:bookmarkStart w:id="447" w:name="Tc_7QK1J1d3OEu9dBlaECqTZw_11_5"/>
      <w:bookmarkStart w:id="448" w:name="Tc_Pqr0GBSFtk60UkPXpDix4w_11_2"/>
      <w:bookmarkStart w:id="449" w:name="Tc_UCLvnPsneUm0OVhwbExK1Q_11_0"/>
      <w:bookmarkStart w:id="450" w:name="Tc_epIdTDhEP0S0DnVC-wjviA_10_8"/>
      <w:bookmarkStart w:id="451" w:name="Tc_xmbjNtet7U-Thfk4jz1_Cw_10_5"/>
      <w:bookmarkStart w:id="452" w:name="Tc_L0DXaSBgKUiiE55j0v1qsQ_10_2"/>
      <w:bookmarkStart w:id="453" w:name="Tc_NP_HqUgVeUe-KmcYicU5bQ_10_0"/>
      <w:bookmarkStart w:id="454" w:name="Tc_ez7cWt3yh0ycuNy-W1p9jA_9_17"/>
      <w:bookmarkStart w:id="455" w:name="Tc_XQAMqOyJakqe3EzDHqku_g_9_11"/>
      <w:bookmarkStart w:id="456" w:name="Tc_uysyhjj5kkKRG4hqh-hphw_9_0"/>
      <w:bookmarkStart w:id="457" w:name="Tc_S7hUQ60Q1kC2roJJU3xWcg_8_17"/>
      <w:bookmarkStart w:id="458" w:name="Tc_molypMFzeEe-5D7h5lTVGg_8_11"/>
      <w:bookmarkStart w:id="459" w:name="Tc_drzjCZWRxE2huu6ICZAr1A_8_5"/>
      <w:bookmarkStart w:id="460" w:name="Tc_UV42Q2abFki5ZyHPevjKrg_8_2"/>
      <w:bookmarkStart w:id="461" w:name="Tc_zOFGQrNk4kS6qOdc9H_ltQ_8_0"/>
      <w:bookmarkStart w:id="462" w:name="Tc_Vo-jFXFg9kCziYvj3TYgyg_7_0"/>
      <w:bookmarkStart w:id="463" w:name="Tc_A2YoazcCs0atzY8zLAg38w_6_16"/>
      <w:bookmarkStart w:id="464" w:name="Tc_RE14gQDkiUuzf9xR1v4bAw_6_13"/>
      <w:bookmarkStart w:id="465" w:name="Tc_c-3wvNoGuECUBcxFtiI-0g_6_10"/>
      <w:bookmarkStart w:id="466" w:name="Tc_2qf1CXkhC0OEU8LxWR-WLQ_6_7"/>
      <w:bookmarkStart w:id="467" w:name="Tc_GjiQoTAxk0yApUGcdIGiwQ_6_4"/>
      <w:bookmarkStart w:id="468" w:name="Tc_vz_QEQZpyUWQemB3tZ9UQw_6_0"/>
      <w:bookmarkStart w:id="469" w:name="Tc_Vy2-YmV4jkqXCn0de4e2Og_5_16"/>
      <w:bookmarkStart w:id="470" w:name="Tc_lvBbpSCjb0OkdxPsCijD8w_5_13"/>
      <w:bookmarkStart w:id="471" w:name="Tc_O56qIqig4EKG0Sw4i68Zhg_5_10"/>
      <w:bookmarkStart w:id="472" w:name="Tc_gKLupn9RNkKcMbKX_OTgFw_5_7"/>
      <w:bookmarkStart w:id="473" w:name="Tc_fAdeTQU5i0-e60a-3JNXBA_5_4"/>
      <w:bookmarkStart w:id="474" w:name="Tc_AtwHezgKVEqQ53QB7vh_5A_5_2"/>
      <w:bookmarkStart w:id="475" w:name="Tc_6MkosX2XKUmovSqP3bBBmA_4_16"/>
      <w:bookmarkStart w:id="476" w:name="Tc_3I8huWJHlk22wGM7Rp1U_A_4_13"/>
      <w:bookmarkStart w:id="477" w:name="Tc_mwgnYuXGlUKp3CZ8H_UA9g_4_10"/>
      <w:bookmarkStart w:id="478" w:name="Tc_jQdpCYwYKkKOymno-fKSvQ_4_2"/>
      <w:bookmarkStart w:id="479" w:name="Tc_D5Tnlb5EEUy6lV2ZeStmbQ_3_16"/>
      <w:bookmarkStart w:id="480" w:name="Tc_xCtBHt0dME-dXl_V3Cc2tg_2_16"/>
      <w:bookmarkStart w:id="481" w:name="Tc_jqtgXN6eL0e377Zbpv7DSA_2_2"/>
      <w:bookmarkStart w:id="482" w:name="Tc_EEp6CgrxM0-jYWQ_TjfmsQ_1_2"/>
      <w:bookmarkStart w:id="483" w:name="_6e04fd3c_cc99_4d2a_81e5_9516bb71e25d"/>
      <w:bookmarkStart w:id="484" w:name="Tc_UIkSk-KJGEmJzHtiFDnspw_19_17"/>
      <w:bookmarkStart w:id="485" w:name="Tc_yQSTUKRy4UWqtij9CUKjyg_19_16"/>
      <w:bookmarkStart w:id="486" w:name="Tc_-DzKs1Y8kkSYhgzyhF0E4w_19_13"/>
      <w:bookmarkStart w:id="487" w:name="Tc_F1Ql9jzm4k-4rZ10K4CmAg_19_10"/>
      <w:bookmarkStart w:id="488" w:name="Tc_40pRrxc1P02ocGKr5ofPEg_19_7"/>
      <w:bookmarkStart w:id="489" w:name="Tc_QHunZX5roU2-gCNlmRxbXQ_19_4"/>
      <w:bookmarkStart w:id="490" w:name="Tc_ItBdQxEPuEq3ykGYxLhz4Q_19_0"/>
      <w:bookmarkStart w:id="491" w:name="Tc_V2NUYK9t1U20P0CymM1xyw_18_17"/>
      <w:bookmarkStart w:id="492" w:name="Tc_AkUZRlWUyU-dowg62svKGw_18_8"/>
      <w:bookmarkStart w:id="493" w:name="Tc_iV74QjEapk-sNxezqq48bw_18_5"/>
      <w:bookmarkStart w:id="494" w:name="Tc_nEFvZyBpR02vWUVDoSVEOw_18_2"/>
      <w:bookmarkStart w:id="495" w:name="Tc_VuHutPEx6UuBQLoV7xLVkQ_18_0"/>
      <w:bookmarkStart w:id="496" w:name="Tc_uWuI96791ESQ-Fn1iPmNqg_17_17"/>
      <w:bookmarkStart w:id="497" w:name="Tc_wmoYQh9350Gu0p7bZJQsvw_17_11"/>
      <w:bookmarkStart w:id="498" w:name="Tc_GO5FaWl2RUm02X6TEtaKVg_17_0"/>
      <w:bookmarkStart w:id="499" w:name="Tc_kc3cl3macU-aBQ2RzNQEfA_16_17"/>
      <w:bookmarkStart w:id="500" w:name="Tc_soI6cOkvEUaE8wQdovm46w_16_11"/>
      <w:bookmarkStart w:id="501" w:name="Tc_U0JiIbXGEkiJysswiT20yA_16_0"/>
      <w:bookmarkStart w:id="502" w:name="Tc_xxYJYzH6n0e_mXz8hYma9w_15_17"/>
      <w:bookmarkStart w:id="503" w:name="Tc_IpPzVOSMiEucjk51_OU48g_15_11"/>
      <w:bookmarkStart w:id="504" w:name="Tc_WUYcwMv0PU6ZTLmlHZxdkw_15_5"/>
      <w:bookmarkStart w:id="505" w:name="Tc_Ys6w2-a9jEaKZMuem8uLOQ_15_2"/>
      <w:bookmarkStart w:id="506" w:name="Tc_bucYoMDVlkGeWcBFEZ5HNQ_15_0"/>
      <w:bookmarkStart w:id="507" w:name="Tc_bOg-CaDEeE6g32QRPcRFdw_14_17"/>
      <w:bookmarkStart w:id="508" w:name="Tc_V-7wwP9jO0e602_-e1aPNw_14_13"/>
      <w:bookmarkStart w:id="509" w:name="Tc_nSY0fCNwe0aKf96bWHJlHQ_14_10"/>
      <w:bookmarkStart w:id="510" w:name="Tc__qZBiJJAjUi5wTGjr4HKeA_14_7"/>
      <w:bookmarkStart w:id="511" w:name="Tc_egPBNpQzRUePUskTOxZeYw_14_4"/>
      <w:bookmarkStart w:id="512" w:name="Tc_ExkH5ljFrU-fgNRNzgPsDA_14_0"/>
      <w:bookmarkStart w:id="513" w:name="Tc_ekid2GiRaEiKboZe5wUN6w_12_16"/>
      <w:bookmarkStart w:id="514" w:name="Tc_5usihKngkkGZnz7cQeVsUg_12_13"/>
      <w:bookmarkStart w:id="515" w:name="Tc_ppJm0CEYqke3BkaOekhskQ_12_10"/>
      <w:bookmarkStart w:id="516" w:name="Tc_iuy2QPMhskCW9GG9OJ3sGA_12_7"/>
      <w:bookmarkStart w:id="517" w:name="Tc_xpFxct2hdk2acBrZE4SymA_12_4"/>
      <w:bookmarkStart w:id="518" w:name="Tc_HVhlcmujHkuyiEQWuzZLUQ_12_0"/>
      <w:bookmarkStart w:id="519" w:name="Tc_rIg_gBFWUECj0ZzYUThgew_11_8"/>
      <w:bookmarkStart w:id="520" w:name="Tc_7QK1J1d3OEu9dBlaECqTZw_11_5"/>
      <w:bookmarkStart w:id="521" w:name="Tc_Pqr0GBSFtk60UkPXpDix4w_11_2"/>
      <w:bookmarkStart w:id="522" w:name="Tc_UCLvnPsneUm0OVhwbExK1Q_11_0"/>
      <w:bookmarkStart w:id="523" w:name="Tc_epIdTDhEP0S0DnVC-wjviA_10_8"/>
      <w:bookmarkStart w:id="524" w:name="Tc_xmbjNtet7U-Thfk4jz1_Cw_10_5"/>
      <w:bookmarkStart w:id="525" w:name="Tc_L0DXaSBgKUiiE55j0v1qsQ_10_2"/>
      <w:bookmarkStart w:id="526" w:name="Tc_NP_HqUgVeUe-KmcYicU5bQ_10_0"/>
      <w:bookmarkStart w:id="527" w:name="Tc_ez7cWt3yh0ycuNy-W1p9jA_9_17"/>
      <w:bookmarkStart w:id="528" w:name="Tc_XQAMqOyJakqe3EzDHqku_g_9_11"/>
      <w:bookmarkStart w:id="529" w:name="Tc_uysyhjj5kkKRG4hqh-hphw_9_0"/>
      <w:bookmarkStart w:id="530" w:name="Tc_S7hUQ60Q1kC2roJJU3xWcg_8_17"/>
      <w:bookmarkStart w:id="531" w:name="Tc_molypMFzeEe-5D7h5lTVGg_8_11"/>
      <w:bookmarkStart w:id="532" w:name="Tc_drzjCZWRxE2huu6ICZAr1A_8_5"/>
      <w:bookmarkStart w:id="533" w:name="Tc_UV42Q2abFki5ZyHPevjKrg_8_2"/>
      <w:bookmarkStart w:id="534" w:name="Tc_zOFGQrNk4kS6qOdc9H_ltQ_8_0"/>
      <w:bookmarkStart w:id="535" w:name="Tc_Vo-jFXFg9kCziYvj3TYgyg_7_0"/>
      <w:bookmarkStart w:id="536" w:name="Tc_A2YoazcCs0atzY8zLAg38w_6_16"/>
      <w:bookmarkStart w:id="537" w:name="Tc_RE14gQDkiUuzf9xR1v4bAw_6_13"/>
      <w:bookmarkStart w:id="538" w:name="Tc_c-3wvNoGuECUBcxFtiI-0g_6_10"/>
      <w:bookmarkStart w:id="539" w:name="Tc_2qf1CXkhC0OEU8LxWR-WLQ_6_7"/>
      <w:bookmarkStart w:id="540" w:name="Tc_GjiQoTAxk0yApUGcdIGiwQ_6_4"/>
      <w:bookmarkStart w:id="541" w:name="Tc_vz_QEQZpyUWQemB3tZ9UQw_6_0"/>
      <w:bookmarkStart w:id="542" w:name="Tc_Vy2-YmV4jkqXCn0de4e2Og_5_16"/>
      <w:bookmarkStart w:id="543" w:name="Tc_lvBbpSCjb0OkdxPsCijD8w_5_13"/>
      <w:bookmarkStart w:id="544" w:name="Tc_O56qIqig4EKG0Sw4i68Zhg_5_10"/>
      <w:bookmarkStart w:id="545" w:name="Tc_gKLupn9RNkKcMbKX_OTgFw_5_7"/>
      <w:bookmarkStart w:id="546" w:name="Tc_fAdeTQU5i0-e60a-3JNXBA_5_4"/>
      <w:bookmarkStart w:id="547" w:name="Tc_AtwHezgKVEqQ53QB7vh_5A_5_2"/>
      <w:bookmarkStart w:id="548" w:name="Tc_6MkosX2XKUmovSqP3bBBmA_4_16"/>
      <w:bookmarkStart w:id="549" w:name="Tc_3I8huWJHlk22wGM7Rp1U_A_4_13"/>
      <w:bookmarkStart w:id="550" w:name="Tc_mwgnYuXGlUKp3CZ8H_UA9g_4_10"/>
      <w:bookmarkStart w:id="551" w:name="Tc_jQdpCYwYKkKOymno-fKSvQ_4_2"/>
      <w:bookmarkStart w:id="552" w:name="Tc_D5Tnlb5EEUy6lV2ZeStmbQ_3_16"/>
      <w:bookmarkStart w:id="553" w:name="Tc_xCtBHt0dME-dXl_V3Cc2tg_2_16"/>
      <w:bookmarkStart w:id="554" w:name="Tc_jqtgXN6eL0e377Zbpv7DSA_2_2"/>
      <w:bookmarkStart w:id="555" w:name="Tc_EEp6CgrxM0-jYWQ_TjfmsQ_1_2"/>
      <w:bookmarkStart w:id="556" w:name="_6e04fd3c_cc99_4d2a_81e5_9516bb71e25d"/>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p>
    <w:tbl>
      <w:tblPr>
        <w:tblW w:w="10205" w:type="dxa"/>
        <w:jc w:val="left"/>
        <w:tblInd w:w="0" w:type="dxa"/>
        <w:tblLayout w:type="fixed"/>
        <w:tblCellMar>
          <w:top w:w="0" w:type="dxa"/>
          <w:left w:w="0" w:type="dxa"/>
          <w:bottom w:w="0" w:type="dxa"/>
          <w:right w:w="0" w:type="dxa"/>
        </w:tblCellMar>
      </w:tblPr>
      <w:tblGrid>
        <w:gridCol w:w="1986"/>
        <w:gridCol w:w="326"/>
        <w:gridCol w:w="1141"/>
        <w:gridCol w:w="326"/>
        <w:gridCol w:w="211"/>
        <w:gridCol w:w="571"/>
        <w:gridCol w:w="326"/>
        <w:gridCol w:w="227"/>
        <w:gridCol w:w="1004"/>
        <w:gridCol w:w="326"/>
        <w:gridCol w:w="211"/>
        <w:gridCol w:w="887"/>
        <w:gridCol w:w="109"/>
        <w:gridCol w:w="221"/>
        <w:gridCol w:w="822"/>
        <w:gridCol w:w="146"/>
        <w:gridCol w:w="366"/>
        <w:gridCol w:w="999"/>
      </w:tblGrid>
      <w:tr>
        <w:trPr/>
        <w:tc>
          <w:tcPr>
            <w:tcW w:w="1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261110" cy="175260"/>
                      <wp:effectExtent l="0" t="0" r="0" b="0"/>
                      <wp:wrapNone/>
                      <wp:docPr id="45" name="Frame45"/>
                      <a:graphic xmlns:a="http://schemas.openxmlformats.org/drawingml/2006/main">
                        <a:graphicData uri="http://schemas.microsoft.com/office/word/2010/wordprocessingShape">
                          <wps:wsp>
                            <wps:cNvSpPr txBox="1"/>
                            <wps:spPr>
                              <a:xfrm>
                                <a:off x="0" y="0"/>
                                <a:ext cx="1261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724535" cy="175260"/>
                      <wp:effectExtent l="0" t="0" r="0" b="0"/>
                      <wp:wrapNone/>
                      <wp:docPr id="47" name="Frame4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3985" cy="175260"/>
                      <wp:effectExtent l="0" t="0" r="0" b="0"/>
                      <wp:wrapNone/>
                      <wp:docPr id="49" name="Frame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362585" cy="175260"/>
                      <wp:effectExtent l="0" t="0" r="0" b="0"/>
                      <wp:wrapNone/>
                      <wp:docPr id="50" name="Frame5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44145" cy="175260"/>
                      <wp:effectExtent l="0" t="0" r="0" b="0"/>
                      <wp:wrapNone/>
                      <wp:docPr id="52" name="Frame52"/>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37540" cy="175260"/>
                      <wp:effectExtent l="0" t="0" r="0" b="0"/>
                      <wp:wrapNone/>
                      <wp:docPr id="53" name="Frame53"/>
                      <a:graphic xmlns:a="http://schemas.openxmlformats.org/drawingml/2006/main">
                        <a:graphicData uri="http://schemas.microsoft.com/office/word/2010/wordprocessingShape">
                          <wps:wsp>
                            <wps:cNvSpPr txBox="1"/>
                            <wps:spPr>
                              <a:xfrm>
                                <a:off x="0" y="0"/>
                                <a:ext cx="637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3985" cy="175260"/>
                      <wp:effectExtent l="0" t="0" r="0" b="0"/>
                      <wp:wrapNone/>
                      <wp:docPr id="55" name="Frame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63245" cy="175260"/>
                      <wp:effectExtent l="0" t="0" r="0" b="0"/>
                      <wp:wrapNone/>
                      <wp:docPr id="56" name="Frame56"/>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9215" cy="175260"/>
                      <wp:effectExtent l="0" t="0" r="0" b="0"/>
                      <wp:wrapNone/>
                      <wp:docPr id="57" name="Frame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40335" cy="175260"/>
                      <wp:effectExtent l="0" t="0" r="0" b="0"/>
                      <wp:wrapNone/>
                      <wp:docPr id="58" name="Frame58"/>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21970" cy="175260"/>
                      <wp:effectExtent l="0" t="0" r="0" b="0"/>
                      <wp:wrapNone/>
                      <wp:docPr id="59" name="Frame59"/>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92710" cy="175260"/>
                      <wp:effectExtent l="0" t="0" r="0" b="0"/>
                      <wp:wrapNone/>
                      <wp:docPr id="60" name="Frame6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32410" cy="175260"/>
                      <wp:effectExtent l="0" t="0" r="0" b="0"/>
                      <wp:wrapNone/>
                      <wp:docPr id="61" name="Frame61"/>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34365" cy="175260"/>
                      <wp:effectExtent l="0" t="0" r="0" b="0"/>
                      <wp:wrapNone/>
                      <wp:docPr id="62" name="Frame62"/>
                      <a:graphic xmlns:a="http://schemas.openxmlformats.org/drawingml/2006/main">
                        <a:graphicData uri="http://schemas.microsoft.com/office/word/2010/wordprocessingShape">
                          <wps:wsp>
                            <wps:cNvSpPr txBox="1"/>
                            <wps:spPr>
                              <a:xfrm>
                                <a:off x="0" y="0"/>
                                <a:ext cx="634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93"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2025 and 2024</w:t>
            </w:r>
          </w:p>
        </w:tc>
      </w:tr>
      <w:tr>
        <w:trPr/>
        <w:tc>
          <w:tcPr>
            <w:tcW w:w="19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382" w:type="dxa"/>
            <w:gridSpan w:val="1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 Equity</w:t>
            </w:r>
          </w:p>
        </w:tc>
        <w:tc>
          <w:tcPr>
            <w:tcW w:w="146" w:type="dxa"/>
            <w:tcBorders/>
            <w:vAlign w:val="center"/>
          </w:tcPr>
          <w:p>
            <w:pPr>
              <w:pStyle w:val="TableContents"/>
              <w:bidi w:val="0"/>
              <w:spacing w:before="0" w:after="1"/>
              <w:ind w:left="0" w:right="0" w:hanging="0"/>
              <w:jc w:val="center"/>
              <w:rPr/>
            </w:pPr>
            <w:r>
              <w:rPr/>
              <w:t>​</w:t>
            </w:r>
          </w:p>
        </w:tc>
        <w:tc>
          <w:tcPr>
            <w:tcW w:w="13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Mezzanine Equity</w:t>
            </w:r>
          </w:p>
        </w:tc>
      </w:tr>
      <w:tr>
        <w:trPr/>
        <w:tc>
          <w:tcPr>
            <w:tcW w:w="19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27" w:type="dxa"/>
            <w:tcBorders/>
            <w:vAlign w:val="center"/>
          </w:tcPr>
          <w:p>
            <w:pPr>
              <w:pStyle w:val="TableContents"/>
              <w:bidi w:val="0"/>
              <w:spacing w:before="0" w:after="1"/>
              <w:ind w:left="0" w:right="0" w:hanging="0"/>
              <w:jc w:val="center"/>
              <w:rPr/>
            </w:pPr>
            <w:r>
              <w:rPr/>
              <w:t>​</w:t>
            </w:r>
          </w:p>
        </w:tc>
        <w:tc>
          <w:tcPr>
            <w:tcW w:w="100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87"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21" w:type="dxa"/>
            <w:tcBorders/>
            <w:vAlign w:val="center"/>
          </w:tcPr>
          <w:p>
            <w:pPr>
              <w:pStyle w:val="TableContents"/>
              <w:bidi w:val="0"/>
              <w:spacing w:before="0" w:after="1"/>
              <w:ind w:left="0" w:right="0" w:hanging="0"/>
              <w:jc w:val="center"/>
              <w:rPr/>
            </w:pPr>
            <w:r>
              <w:rPr/>
              <w:t>​</w:t>
            </w:r>
          </w:p>
        </w:tc>
        <w:tc>
          <w:tcPr>
            <w:tcW w:w="822"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w:t>
            </w:r>
          </w:p>
        </w:tc>
        <w:tc>
          <w:tcPr>
            <w:tcW w:w="13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Redeemable</w:t>
            </w:r>
          </w:p>
        </w:tc>
      </w:tr>
      <w:tr>
        <w:trPr/>
        <w:tc>
          <w:tcPr>
            <w:tcW w:w="19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9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109" w:type="dxa"/>
            <w:tcBorders/>
            <w:vAlign w:val="center"/>
          </w:tcPr>
          <w:p>
            <w:pPr>
              <w:pStyle w:val="TableContents"/>
              <w:bidi w:val="0"/>
              <w:spacing w:before="0" w:after="1"/>
              <w:ind w:left="0" w:right="0" w:hanging="0"/>
              <w:jc w:val="center"/>
              <w:rPr/>
            </w:pPr>
            <w:r>
              <w:rPr/>
              <w:t>​</w:t>
            </w:r>
          </w:p>
        </w:tc>
        <w:tc>
          <w:tcPr>
            <w:tcW w:w="104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c>
          <w:tcPr>
            <w:tcW w:w="146" w:type="dxa"/>
            <w:tcBorders/>
            <w:vAlign w:val="center"/>
          </w:tcPr>
          <w:p>
            <w:pPr>
              <w:pStyle w:val="TableContents"/>
              <w:bidi w:val="0"/>
              <w:spacing w:before="0" w:after="1"/>
              <w:ind w:left="0" w:right="0" w:hanging="0"/>
              <w:jc w:val="center"/>
              <w:rPr/>
            </w:pPr>
            <w:r>
              <w:rPr/>
              <w:t> </w:t>
            </w:r>
          </w:p>
        </w:tc>
        <w:tc>
          <w:tcPr>
            <w:tcW w:w="13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Non-Controlling</w:t>
            </w:r>
          </w:p>
        </w:tc>
      </w:tr>
      <w:tr>
        <w:trPr/>
        <w:tc>
          <w:tcPr>
            <w:tcW w:w="19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12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26" w:type="dxa"/>
            <w:tcBorders/>
            <w:vAlign w:val="center"/>
          </w:tcPr>
          <w:p>
            <w:pPr>
              <w:pStyle w:val="TableContents"/>
              <w:bidi w:val="0"/>
              <w:spacing w:before="0" w:after="1"/>
              <w:ind w:left="0" w:right="0" w:hanging="0"/>
              <w:jc w:val="left"/>
              <w:rPr/>
            </w:pPr>
            <w:r>
              <w:rPr/>
              <w:t>    </w:t>
            </w:r>
          </w:p>
        </w:tc>
        <w:tc>
          <w:tcPr>
            <w:tcW w:w="10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109" w:type="dxa"/>
            <w:tcBorders/>
            <w:vAlign w:val="center"/>
          </w:tcPr>
          <w:p>
            <w:pPr>
              <w:pStyle w:val="TableContents"/>
              <w:bidi w:val="0"/>
              <w:spacing w:before="0" w:after="1"/>
              <w:ind w:left="0" w:right="0" w:hanging="0"/>
              <w:jc w:val="center"/>
              <w:rPr/>
            </w:pPr>
            <w:r>
              <w:rPr/>
              <w:t>​</w:t>
            </w:r>
          </w:p>
        </w:tc>
        <w:tc>
          <w:tcPr>
            <w:tcW w:w="104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146" w:type="dxa"/>
            <w:tcBorders/>
            <w:vAlign w:val="center"/>
          </w:tcPr>
          <w:p>
            <w:pPr>
              <w:pStyle w:val="TableContents"/>
              <w:bidi w:val="0"/>
              <w:spacing w:before="0" w:after="1"/>
              <w:ind w:left="0" w:right="0" w:hanging="0"/>
              <w:jc w:val="left"/>
              <w:rPr/>
            </w:pPr>
            <w:r>
              <w:rPr/>
              <w:t>​</w:t>
            </w:r>
          </w:p>
        </w:tc>
        <w:tc>
          <w:tcPr>
            <w:tcW w:w="13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r>
      <w:tr>
        <w:trPr/>
        <w:tc>
          <w:tcPr>
            <w:tcW w:w="19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December 31, 2024</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239,176,293</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2,392</w:t>
            </w:r>
          </w:p>
        </w:tc>
        <w:tc>
          <w:tcPr>
            <w:tcW w:w="326" w:type="dxa"/>
            <w:tcBorders/>
            <w:shd w:fill="CCEEFF" w:val="clear"/>
            <w:vAlign w:val="center"/>
          </w:tcPr>
          <w:p>
            <w:pPr>
              <w:pStyle w:val="TableContents"/>
              <w:bidi w:val="0"/>
              <w:spacing w:before="0" w:after="1"/>
              <w:ind w:left="0" w:right="0" w:hanging="0"/>
              <w:jc w:val="left"/>
              <w:rPr/>
            </w:pPr>
            <w:r>
              <w:rPr/>
              <w:t>    </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1,287,333</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(800,237)</w:t>
            </w:r>
          </w:p>
        </w:tc>
        <w:tc>
          <w:tcPr>
            <w:tcW w:w="109" w:type="dxa"/>
            <w:tcBorders/>
            <w:shd w:fill="CCEEFF" w:val="clear"/>
            <w:vAlign w:val="center"/>
          </w:tcPr>
          <w:p>
            <w:pPr>
              <w:pStyle w:val="TableContents"/>
              <w:bidi w:val="0"/>
              <w:spacing w:before="0" w:after="1"/>
              <w:ind w:left="0" w:right="0" w:hanging="0"/>
              <w:jc w:val="righ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489,488</w:t>
            </w:r>
          </w:p>
        </w:tc>
        <w:tc>
          <w:tcPr>
            <w:tcW w:w="146"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19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redeemable non-controlling interest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21"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left"/>
              <w:rPr/>
            </w:pPr>
            <w:r>
              <w:rPr/>
              <w:t>​</w:t>
            </w:r>
          </w:p>
        </w:tc>
        <w:tc>
          <w:tcPr>
            <w:tcW w:w="9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w:t>
            </w:r>
          </w:p>
        </w:tc>
      </w:tr>
      <w:tr>
        <w:trPr/>
        <w:tc>
          <w:tcPr>
            <w:tcW w:w="19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stock-based compensation</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8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4,142</w:t>
            </w:r>
          </w:p>
        </w:tc>
        <w:tc>
          <w:tcPr>
            <w:tcW w:w="146"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w:t>
            </w:r>
          </w:p>
        </w:tc>
        <w:tc>
          <w:tcPr>
            <w:tcW w:w="999" w:type="dxa"/>
            <w:tcBorders/>
            <w:shd w:fill="CCEEFF" w:val="clear"/>
            <w:vAlign w:val="center"/>
          </w:tcPr>
          <w:p>
            <w:pPr>
              <w:pStyle w:val="TableContents"/>
              <w:bidi w:val="0"/>
              <w:spacing w:before="0" w:after="1"/>
              <w:ind w:left="0" w:right="0" w:hanging="0"/>
              <w:jc w:val="right"/>
              <w:rPr/>
            </w:pPr>
            <w:r>
              <w:rPr/>
              <w:t>—</w:t>
            </w:r>
          </w:p>
        </w:tc>
      </w:tr>
      <w:tr>
        <w:trPr/>
        <w:tc>
          <w:tcPr>
            <w:tcW w:w="19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awards and related share issuances, net</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2,665,297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21" w:type="dxa"/>
            <w:tcBorders/>
            <w:vAlign w:val="center"/>
          </w:tcPr>
          <w:p>
            <w:pPr>
              <w:pStyle w:val="TableContents"/>
              <w:bidi w:val="0"/>
              <w:spacing w:before="0" w:after="1"/>
              <w:ind w:left="0" w:right="0" w:hanging="0"/>
              <w:jc w:val="left"/>
              <w:rPr/>
            </w:pPr>
            <w:r>
              <w:rPr/>
              <w:t> </w:t>
            </w:r>
          </w:p>
        </w:tc>
        <w:tc>
          <w:tcPr>
            <w:tcW w:w="8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w:t>
            </w:r>
          </w:p>
        </w:tc>
        <w:tc>
          <w:tcPr>
            <w:tcW w:w="146"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left"/>
              <w:rPr/>
            </w:pPr>
            <w:r>
              <w:rPr/>
              <w:t>​</w:t>
            </w:r>
          </w:p>
        </w:tc>
        <w:tc>
          <w:tcPr>
            <w:tcW w:w="999" w:type="dxa"/>
            <w:tcBorders/>
            <w:vAlign w:val="center"/>
          </w:tcPr>
          <w:p>
            <w:pPr>
              <w:pStyle w:val="TableContents"/>
              <w:bidi w:val="0"/>
              <w:spacing w:before="0" w:after="1"/>
              <w:ind w:left="0" w:right="0" w:hanging="0"/>
              <w:jc w:val="right"/>
              <w:rPr/>
            </w:pPr>
            <w:r>
              <w:rPr/>
              <w:t>—</w:t>
            </w:r>
          </w:p>
        </w:tc>
      </w:tr>
      <w:tr>
        <w:trPr/>
        <w:tc>
          <w:tcPr>
            <w:tcW w:w="19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redemption value of redeemable non-controlling interest</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c>
          <w:tcPr>
            <w:tcW w:w="109" w:type="dxa"/>
            <w:tcBorders/>
            <w:shd w:fill="CCEEFF" w:val="clear"/>
            <w:vAlign w:val="center"/>
          </w:tcPr>
          <w:p>
            <w:pPr>
              <w:pStyle w:val="TableContents"/>
              <w:bidi w:val="0"/>
              <w:spacing w:before="0" w:after="1"/>
              <w:ind w:left="0" w:right="0" w:hanging="0"/>
              <w:jc w:val="righ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8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c>
          <w:tcPr>
            <w:tcW w:w="146"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w:t>
            </w:r>
          </w:p>
        </w:tc>
        <w:tc>
          <w:tcPr>
            <w:tcW w:w="9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19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(19,584)</w:t>
            </w:r>
          </w:p>
        </w:tc>
        <w:tc>
          <w:tcPr>
            <w:tcW w:w="109" w:type="dxa"/>
            <w:tcBorders/>
            <w:vAlign w:val="center"/>
          </w:tcPr>
          <w:p>
            <w:pPr>
              <w:pStyle w:val="TableContents"/>
              <w:bidi w:val="0"/>
              <w:spacing w:before="0" w:after="1"/>
              <w:ind w:left="0" w:right="0" w:hanging="0"/>
              <w:jc w:val="righ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(19,584)</w:t>
            </w:r>
          </w:p>
        </w:tc>
        <w:tc>
          <w:tcPr>
            <w:tcW w:w="146" w:type="dxa"/>
            <w:tcBorders/>
            <w:vAlign w:val="center"/>
          </w:tcPr>
          <w:p>
            <w:pPr>
              <w:pStyle w:val="TableContents"/>
              <w:bidi w:val="0"/>
              <w:spacing w:before="0" w:after="1"/>
              <w:ind w:left="0" w:right="0" w:hanging="0"/>
              <w:jc w:val="left"/>
              <w:rPr/>
            </w:pPr>
            <w:r>
              <w:rPr/>
              <w:t>​</w:t>
            </w:r>
          </w:p>
        </w:tc>
        <w:tc>
          <w:tcPr>
            <w:tcW w:w="36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w:t>
            </w:r>
          </w:p>
        </w:tc>
      </w:tr>
      <w:tr>
        <w:trPr/>
        <w:tc>
          <w:tcPr>
            <w:tcW w:w="19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June 30, 2025</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241,841,590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2,419</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1,291,630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(819,945)</w:t>
            </w:r>
          </w:p>
        </w:tc>
        <w:tc>
          <w:tcPr>
            <w:tcW w:w="109" w:type="dxa"/>
            <w:tcBorders/>
            <w:shd w:fill="CCEEFF" w:val="clear"/>
            <w:vAlign w:val="center"/>
          </w:tcPr>
          <w:p>
            <w:pPr>
              <w:pStyle w:val="TableContents"/>
              <w:bidi w:val="0"/>
              <w:spacing w:before="0" w:after="1"/>
              <w:ind w:left="0" w:right="0" w:hanging="0"/>
              <w:jc w:val="righ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474,104</w:t>
            </w:r>
          </w:p>
        </w:tc>
        <w:tc>
          <w:tcPr>
            <w:tcW w:w="146" w:type="dxa"/>
            <w:tcBorders/>
            <w:shd w:fill="CCEEFF" w:val="clear"/>
            <w:vAlign w:val="center"/>
          </w:tcPr>
          <w:p>
            <w:pPr>
              <w:pStyle w:val="TableContents"/>
              <w:bidi w:val="0"/>
              <w:spacing w:before="0" w:after="1"/>
              <w:ind w:left="0" w:right="0" w:hanging="0"/>
              <w:jc w:val="left"/>
              <w:rPr/>
            </w:pPr>
            <w:r>
              <w:rPr/>
              <w:t>​</w:t>
            </w:r>
          </w:p>
        </w:tc>
        <w:tc>
          <w:tcPr>
            <w:tcW w:w="3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5,664</w:t>
            </w:r>
          </w:p>
        </w:tc>
      </w:tr>
      <w:tr>
        <w:trPr/>
        <w:tc>
          <w:tcPr>
            <w:tcW w:w="19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21"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left"/>
              <w:rPr/>
            </w:pPr>
            <w:r>
              <w:rPr/>
              <w:t>​</w:t>
            </w:r>
          </w:p>
        </w:tc>
        <w:tc>
          <w:tcPr>
            <w:tcW w:w="999" w:type="dxa"/>
            <w:tcBorders/>
            <w:vAlign w:val="center"/>
          </w:tcPr>
          <w:p>
            <w:pPr>
              <w:pStyle w:val="TableContents"/>
              <w:bidi w:val="0"/>
              <w:spacing w:before="0" w:after="1"/>
              <w:ind w:left="0" w:right="0" w:hanging="0"/>
              <w:jc w:val="left"/>
              <w:rPr/>
            </w:pPr>
            <w:r>
              <w:rPr/>
              <w:t>​</w:t>
            </w:r>
          </w:p>
        </w:tc>
      </w:tr>
      <w:tr>
        <w:trPr/>
        <w:tc>
          <w:tcPr>
            <w:tcW w:w="19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240,499,833</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2,405</w:t>
            </w:r>
          </w:p>
        </w:tc>
        <w:tc>
          <w:tcPr>
            <w:tcW w:w="326" w:type="dxa"/>
            <w:tcBorders/>
            <w:shd w:fill="CCEEFF" w:val="clear"/>
            <w:vAlign w:val="center"/>
          </w:tcPr>
          <w:p>
            <w:pPr>
              <w:pStyle w:val="TableContents"/>
              <w:bidi w:val="0"/>
              <w:spacing w:before="0" w:after="1"/>
              <w:ind w:left="0" w:right="0" w:hanging="0"/>
              <w:jc w:val="left"/>
              <w:rPr/>
            </w:pPr>
            <w:r>
              <w:rPr/>
              <w:t>    </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1,276,581</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(721,597)</w:t>
            </w:r>
          </w:p>
        </w:tc>
        <w:tc>
          <w:tcPr>
            <w:tcW w:w="109" w:type="dxa"/>
            <w:tcBorders/>
            <w:shd w:fill="CCEEFF" w:val="clear"/>
            <w:vAlign w:val="center"/>
          </w:tcPr>
          <w:p>
            <w:pPr>
              <w:pStyle w:val="TableContents"/>
              <w:bidi w:val="0"/>
              <w:spacing w:before="0" w:after="1"/>
              <w:ind w:left="0" w:right="0" w:hanging="0"/>
              <w:jc w:val="righ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557,389</w:t>
            </w:r>
          </w:p>
        </w:tc>
        <w:tc>
          <w:tcPr>
            <w:tcW w:w="146"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w:t>
            </w:r>
          </w:p>
        </w:tc>
        <w:tc>
          <w:tcPr>
            <w:tcW w:w="999" w:type="dxa"/>
            <w:tcBorders/>
            <w:shd w:fill="CCEEFF" w:val="clear"/>
            <w:vAlign w:val="center"/>
          </w:tcPr>
          <w:p>
            <w:pPr>
              <w:pStyle w:val="TableContents"/>
              <w:bidi w:val="0"/>
              <w:spacing w:before="0" w:after="1"/>
              <w:ind w:left="0" w:right="0" w:hanging="0"/>
              <w:jc w:val="right"/>
              <w:rPr/>
            </w:pPr>
            <w:r>
              <w:rPr/>
              <w:t>—</w:t>
            </w:r>
          </w:p>
        </w:tc>
      </w:tr>
      <w:tr>
        <w:trPr/>
        <w:tc>
          <w:tcPr>
            <w:tcW w:w="19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stock-based compensation</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8,699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21" w:type="dxa"/>
            <w:tcBorders/>
            <w:vAlign w:val="center"/>
          </w:tcPr>
          <w:p>
            <w:pPr>
              <w:pStyle w:val="TableContents"/>
              <w:bidi w:val="0"/>
              <w:spacing w:before="0" w:after="1"/>
              <w:ind w:left="0" w:right="0" w:hanging="0"/>
              <w:jc w:val="left"/>
              <w:rPr/>
            </w:pPr>
            <w:r>
              <w:rPr/>
              <w:t> </w:t>
            </w:r>
          </w:p>
        </w:tc>
        <w:tc>
          <w:tcPr>
            <w:tcW w:w="8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8,699</w:t>
            </w:r>
          </w:p>
        </w:tc>
        <w:tc>
          <w:tcPr>
            <w:tcW w:w="146"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left"/>
              <w:rPr/>
            </w:pPr>
            <w:r>
              <w:rPr/>
              <w:t>​</w:t>
            </w:r>
          </w:p>
        </w:tc>
        <w:tc>
          <w:tcPr>
            <w:tcW w:w="999" w:type="dxa"/>
            <w:tcBorders/>
            <w:vAlign w:val="center"/>
          </w:tcPr>
          <w:p>
            <w:pPr>
              <w:pStyle w:val="TableContents"/>
              <w:bidi w:val="0"/>
              <w:spacing w:before="0" w:after="1"/>
              <w:ind w:left="0" w:right="0" w:hanging="0"/>
              <w:jc w:val="right"/>
              <w:rPr/>
            </w:pPr>
            <w:r>
              <w:rPr/>
              <w:t>—</w:t>
            </w:r>
          </w:p>
        </w:tc>
      </w:tr>
      <w:tr>
        <w:trPr/>
        <w:tc>
          <w:tcPr>
            <w:tcW w:w="19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awards and related share issuances, net</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6,160,920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8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w:t>
            </w:r>
          </w:p>
        </w:tc>
        <w:tc>
          <w:tcPr>
            <w:tcW w:w="146"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w:t>
            </w:r>
          </w:p>
        </w:tc>
        <w:tc>
          <w:tcPr>
            <w:tcW w:w="999" w:type="dxa"/>
            <w:tcBorders/>
            <w:shd w:fill="CCEEFF" w:val="clear"/>
            <w:vAlign w:val="center"/>
          </w:tcPr>
          <w:p>
            <w:pPr>
              <w:pStyle w:val="TableContents"/>
              <w:bidi w:val="0"/>
              <w:spacing w:before="0" w:after="1"/>
              <w:ind w:left="0" w:right="0" w:hanging="0"/>
              <w:jc w:val="right"/>
              <w:rPr/>
            </w:pPr>
            <w:r>
              <w:rPr/>
              <w:t>—</w:t>
            </w:r>
          </w:p>
        </w:tc>
      </w:tr>
      <w:tr>
        <w:trPr/>
        <w:tc>
          <w:tcPr>
            <w:tcW w:w="19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common stock</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(6,095,513)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21"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(4,064)</w:t>
            </w:r>
          </w:p>
        </w:tc>
        <w:tc>
          <w:tcPr>
            <w:tcW w:w="146"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left"/>
              <w:rPr/>
            </w:pPr>
            <w:r>
              <w:rPr/>
              <w:t>​</w:t>
            </w:r>
          </w:p>
        </w:tc>
        <w:tc>
          <w:tcPr>
            <w:tcW w:w="999" w:type="dxa"/>
            <w:tcBorders/>
            <w:vAlign w:val="center"/>
          </w:tcPr>
          <w:p>
            <w:pPr>
              <w:pStyle w:val="TableContents"/>
              <w:bidi w:val="0"/>
              <w:spacing w:before="0" w:after="1"/>
              <w:ind w:left="0" w:right="0" w:hanging="0"/>
              <w:jc w:val="right"/>
              <w:rPr/>
            </w:pPr>
            <w:r>
              <w:rPr/>
              <w:t>—</w:t>
            </w:r>
          </w:p>
        </w:tc>
      </w:tr>
      <w:tr>
        <w:trPr/>
        <w:tc>
          <w:tcPr>
            <w:tcW w:w="19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(39,877)</w:t>
            </w:r>
          </w:p>
        </w:tc>
        <w:tc>
          <w:tcPr>
            <w:tcW w:w="109" w:type="dxa"/>
            <w:tcBorders/>
            <w:shd w:fill="CCEEFF" w:val="clear"/>
            <w:vAlign w:val="center"/>
          </w:tcPr>
          <w:p>
            <w:pPr>
              <w:pStyle w:val="TableContents"/>
              <w:bidi w:val="0"/>
              <w:spacing w:before="0" w:after="1"/>
              <w:ind w:left="0" w:right="0" w:hanging="0"/>
              <w:jc w:val="righ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(39,877)</w:t>
            </w:r>
          </w:p>
        </w:tc>
        <w:tc>
          <w:tcPr>
            <w:tcW w:w="146"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w:t>
            </w:r>
          </w:p>
        </w:tc>
        <w:tc>
          <w:tcPr>
            <w:tcW w:w="9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9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June 30, 2024</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240,565,240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2,406</w:t>
            </w:r>
          </w:p>
        </w:tc>
        <w:tc>
          <w:tcPr>
            <w:tcW w:w="326" w:type="dxa"/>
            <w:tcBorders/>
            <w:vAlign w:val="center"/>
          </w:tcPr>
          <w:p>
            <w:pPr>
              <w:pStyle w:val="TableContents"/>
              <w:bidi w:val="0"/>
              <w:spacing w:before="0" w:after="1"/>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1,281,810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(761,474)</w:t>
            </w:r>
          </w:p>
        </w:tc>
        <w:tc>
          <w:tcPr>
            <w:tcW w:w="109" w:type="dxa"/>
            <w:tcBorders/>
            <w:vAlign w:val="center"/>
          </w:tcPr>
          <w:p>
            <w:pPr>
              <w:pStyle w:val="TableContents"/>
              <w:bidi w:val="0"/>
              <w:spacing w:before="0" w:after="1"/>
              <w:ind w:left="0" w:right="0" w:hanging="0"/>
              <w:jc w:val="righ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522,742</w:t>
            </w:r>
          </w:p>
        </w:tc>
        <w:tc>
          <w:tcPr>
            <w:tcW w:w="146" w:type="dxa"/>
            <w:tcBorders/>
            <w:vAlign w:val="center"/>
          </w:tcPr>
          <w:p>
            <w:pPr>
              <w:pStyle w:val="TableContents"/>
              <w:bidi w:val="0"/>
              <w:spacing w:before="0" w:after="1"/>
              <w:ind w:left="0" w:right="0" w:hanging="0"/>
              <w:jc w:val="left"/>
              <w:rPr/>
            </w:pPr>
            <w:r>
              <w:rPr/>
              <w:t>​</w:t>
            </w:r>
          </w:p>
        </w:tc>
        <w:tc>
          <w:tcPr>
            <w:tcW w:w="36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the accompanying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0"/>
        <w:ind w:left="0" w:right="0" w:hanging="0"/>
        <w:jc w:val="center"/>
        <w:rPr>
          <w:rFonts w:ascii="Times New Roman;Times;serif" w:hAnsi="Times New Roman;Times;serif"/>
          <w:b/>
          <w:sz w:val="20"/>
        </w:rPr>
      </w:pPr>
      <w:bookmarkStart w:id="557" w:name="_f40a59fb_1dca_49a6_94d0_671d01198324"/>
      <w:bookmarkEnd w:id="557"/>
      <w:r>
        <w:rPr>
          <w:rFonts w:ascii="Times New Roman;Times;serif" w:hAnsi="Times New Roman;Times;serif"/>
          <w:b/>
          <w:sz w:val="20"/>
        </w:rPr>
        <w:t>GEVO, INC.</w:t>
      </w:r>
    </w:p>
    <w:p>
      <w:pPr>
        <w:pStyle w:val="TextBody"/>
        <w:bidi w:val="0"/>
        <w:spacing w:lineRule="atLeast" w:line="200" w:before="0" w:after="0"/>
        <w:ind w:left="0" w:right="0" w:hanging="0"/>
        <w:jc w:val="center"/>
        <w:rPr>
          <w:rFonts w:ascii="Times New Roman;Times;serif" w:hAnsi="Times New Roman;Times;serif"/>
          <w:b/>
          <w:sz w:val="20"/>
        </w:rPr>
      </w:pPr>
      <w:bookmarkStart w:id="558" w:name="CONSOLIDATEDSTATEMENTSOFCASHFLOWS_224163"/>
      <w:bookmarkEnd w:id="558"/>
      <w:r>
        <w:rPr>
          <w:rFonts w:ascii="Times New Roman;Times;serif" w:hAnsi="Times New Roman;Times;serif"/>
          <w:b/>
          <w:sz w:val="20"/>
        </w:rPr>
        <w:t>CONDENSED CONSOLIDATED STATEMENTS OF CASH FLOWS</w:t>
      </w:r>
    </w:p>
    <w:p>
      <w:pPr>
        <w:pStyle w:val="TextBody"/>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59" w:name="Tc_nRaf2tDtP0-rwIP_mil4ug_32_5"/>
      <w:bookmarkStart w:id="560" w:name="Tc_KjTrGNHzD0Cj9_BqHefsSw_32_2"/>
      <w:bookmarkStart w:id="561" w:name="Tc_sJiNrIeNm0iCDNGtYxlCPw_32_0"/>
      <w:bookmarkStart w:id="562" w:name="Tc_XfXiSOuH10mXyeQgnUTuIw_31_0"/>
      <w:bookmarkStart w:id="563" w:name="Tc_xowAn__Qk0iWDnnRQZHqUw_30_0"/>
      <w:bookmarkStart w:id="564" w:name="Tc_Q8fJx1VNp0SQucAXL2SlVQ_29_0"/>
      <w:bookmarkStart w:id="565" w:name="Tc_oU_TN99CnEK5a-oCzkx_yw_28_3"/>
      <w:bookmarkStart w:id="566" w:name="Tc_npnYZxxLMkOkn3kBiVinpg_28_0"/>
      <w:bookmarkStart w:id="567" w:name="Tc_jkXKJOr4o0CkCRGDswKO7g_27_0"/>
      <w:bookmarkStart w:id="568" w:name="Tc_MhVhcxug60-g7WEfD4xPEA_26_3"/>
      <w:bookmarkStart w:id="569" w:name="Tc_IxFY_ELf5kSB1wJj5j_dzg_26_0"/>
      <w:bookmarkStart w:id="570" w:name="Tc_e1U3Dj15jEu8wBAEbx4rAA_25_6"/>
      <w:bookmarkStart w:id="571" w:name="Tc_lYaXjldB_E-KGrGmkzX6_A_25_0"/>
      <w:bookmarkStart w:id="572" w:name="Tc_LHc1WrqdnEaJl4x31AdIHw_24_6"/>
      <w:bookmarkStart w:id="573" w:name="Tc_mqypINvA3EuLsJ76sCHBIg_24_0"/>
      <w:bookmarkStart w:id="574" w:name="Tc_kGhPPobBe0Kpmnkqa9kMrA_23_0"/>
      <w:bookmarkStart w:id="575" w:name="Tc_x-tMmBMk00O2HEw0Dm5ITg_22_6"/>
      <w:bookmarkStart w:id="576" w:name="Tc_Ys-rdSI3Tk63xCm3-usghA_22_0"/>
      <w:bookmarkStart w:id="577" w:name="Tc_pV8U5l36BUmaUwyNWLJucw_21_0"/>
      <w:bookmarkStart w:id="578" w:name="Tc_jgENSTpf1kK6lhdUAyJ-Ag_20_0"/>
      <w:bookmarkStart w:id="579" w:name="Tc_FBwChzgS3UWlsdpiROITkA_19_6"/>
      <w:bookmarkStart w:id="580" w:name="Tc_HSx7NW4wuE6T1O9Cm0SGtQ_19_0"/>
      <w:bookmarkStart w:id="581" w:name="Tc_yfVViYXox0SZmXJw1wzeEg_18_0"/>
      <w:bookmarkStart w:id="582" w:name="Tc_h79Xj4KP90Sgy5sfsMl6Rg_17_0"/>
      <w:bookmarkStart w:id="583" w:name="Tc_AGE7lsyC6UqESAJHJrUlig_16_0"/>
      <w:bookmarkStart w:id="584" w:name="Tc_cnVB2aJi2kyu7B5wnBNLqA_15_0"/>
      <w:bookmarkStart w:id="585" w:name="Tc_SvAW7xxA-0qS0ThZeO2_fg_14_0"/>
      <w:bookmarkStart w:id="586" w:name="Tc_tjRn6gvTQk2jNTFbr5SQlA_13_0"/>
      <w:bookmarkStart w:id="587" w:name="Tc_Pros9vfgrkKNPwK8jeX-ow_12_0"/>
      <w:bookmarkStart w:id="588" w:name="Tc_E4umCpzbN06sBYWupnXdlQ_11_0"/>
      <w:bookmarkStart w:id="589" w:name="Tc_klkUO-sqikK3-Bq_TYPgcw_10_0"/>
      <w:bookmarkStart w:id="590" w:name="Tc_M3x2GISDZkiyXOgJS8dGEQ_9_6"/>
      <w:bookmarkStart w:id="591" w:name="Tc_Dx1NY1g9JUSXxw7BoVFQ2A_9_0"/>
      <w:bookmarkStart w:id="592" w:name="Tc_7pUGSVBmj0mH-_EEfXvaeg_8_6"/>
      <w:bookmarkStart w:id="593" w:name="Tc_uHaITQPclU-TdvgBVfPU5Q_8_0"/>
      <w:bookmarkStart w:id="594" w:name="Tc_nxQfPrC9IUG6CGWDajKS3A_7_0"/>
      <w:bookmarkStart w:id="595" w:name="Tc_Ce5w7gFqdUKJPiGILJfPPg_6_0"/>
      <w:bookmarkStart w:id="596" w:name="Tc_KKh5lirpBUGVS3anOJvpzA_5_0"/>
      <w:bookmarkStart w:id="597" w:name="Tc_j-l-PkcME0eSblm1VSkeXQ_4_5"/>
      <w:bookmarkStart w:id="598" w:name="Tc_5oNKCrgyxkOYmfEfiOzKiA_4_2"/>
      <w:bookmarkStart w:id="599" w:name="Tc_0PumVuHDIEq1_7TFApTpRA_4_0"/>
      <w:bookmarkStart w:id="600" w:name="Tc_5Lu6KE3FyEqxvRS2BazoOw_3_0"/>
      <w:bookmarkStart w:id="601" w:name="Tc_v0Bpz3SZgEGMEk_Cplng6w_2_5"/>
      <w:bookmarkStart w:id="602" w:name="Tc_FKDkz9C0-Ey8TF83EWM3pw_2_2"/>
      <w:bookmarkStart w:id="603" w:name="Tc__iuGxEe7TUK-R5lrg59Ofg_1_2"/>
      <w:bookmarkStart w:id="604" w:name="_75ea06c2_783f_429f_b903_71e05484714d"/>
      <w:bookmarkStart w:id="605" w:name="Tc_nRaf2tDtP0-rwIP_mil4ug_32_5"/>
      <w:bookmarkStart w:id="606" w:name="Tc_KjTrGNHzD0Cj9_BqHefsSw_32_2"/>
      <w:bookmarkStart w:id="607" w:name="Tc_sJiNrIeNm0iCDNGtYxlCPw_32_0"/>
      <w:bookmarkStart w:id="608" w:name="Tc_XfXiSOuH10mXyeQgnUTuIw_31_0"/>
      <w:bookmarkStart w:id="609" w:name="Tc_xowAn__Qk0iWDnnRQZHqUw_30_0"/>
      <w:bookmarkStart w:id="610" w:name="Tc_Q8fJx1VNp0SQucAXL2SlVQ_29_0"/>
      <w:bookmarkStart w:id="611" w:name="Tc_oU_TN99CnEK5a-oCzkx_yw_28_3"/>
      <w:bookmarkStart w:id="612" w:name="Tc_npnYZxxLMkOkn3kBiVinpg_28_0"/>
      <w:bookmarkStart w:id="613" w:name="Tc_jkXKJOr4o0CkCRGDswKO7g_27_0"/>
      <w:bookmarkStart w:id="614" w:name="Tc_MhVhcxug60-g7WEfD4xPEA_26_3"/>
      <w:bookmarkStart w:id="615" w:name="Tc_IxFY_ELf5kSB1wJj5j_dzg_26_0"/>
      <w:bookmarkStart w:id="616" w:name="Tc_e1U3Dj15jEu8wBAEbx4rAA_25_6"/>
      <w:bookmarkStart w:id="617" w:name="Tc_lYaXjldB_E-KGrGmkzX6_A_25_0"/>
      <w:bookmarkStart w:id="618" w:name="Tc_LHc1WrqdnEaJl4x31AdIHw_24_6"/>
      <w:bookmarkStart w:id="619" w:name="Tc_mqypINvA3EuLsJ76sCHBIg_24_0"/>
      <w:bookmarkStart w:id="620" w:name="Tc_kGhPPobBe0Kpmnkqa9kMrA_23_0"/>
      <w:bookmarkStart w:id="621" w:name="Tc_x-tMmBMk00O2HEw0Dm5ITg_22_6"/>
      <w:bookmarkStart w:id="622" w:name="Tc_Ys-rdSI3Tk63xCm3-usghA_22_0"/>
      <w:bookmarkStart w:id="623" w:name="Tc_pV8U5l36BUmaUwyNWLJucw_21_0"/>
      <w:bookmarkStart w:id="624" w:name="Tc_jgENSTpf1kK6lhdUAyJ-Ag_20_0"/>
      <w:bookmarkStart w:id="625" w:name="Tc_FBwChzgS3UWlsdpiROITkA_19_6"/>
      <w:bookmarkStart w:id="626" w:name="Tc_HSx7NW4wuE6T1O9Cm0SGtQ_19_0"/>
      <w:bookmarkStart w:id="627" w:name="Tc_yfVViYXox0SZmXJw1wzeEg_18_0"/>
      <w:bookmarkStart w:id="628" w:name="Tc_h79Xj4KP90Sgy5sfsMl6Rg_17_0"/>
      <w:bookmarkStart w:id="629" w:name="Tc_AGE7lsyC6UqESAJHJrUlig_16_0"/>
      <w:bookmarkStart w:id="630" w:name="Tc_cnVB2aJi2kyu7B5wnBNLqA_15_0"/>
      <w:bookmarkStart w:id="631" w:name="Tc_SvAW7xxA-0qS0ThZeO2_fg_14_0"/>
      <w:bookmarkStart w:id="632" w:name="Tc_tjRn6gvTQk2jNTFbr5SQlA_13_0"/>
      <w:bookmarkStart w:id="633" w:name="Tc_Pros9vfgrkKNPwK8jeX-ow_12_0"/>
      <w:bookmarkStart w:id="634" w:name="Tc_E4umCpzbN06sBYWupnXdlQ_11_0"/>
      <w:bookmarkStart w:id="635" w:name="Tc_klkUO-sqikK3-Bq_TYPgcw_10_0"/>
      <w:bookmarkStart w:id="636" w:name="Tc_M3x2GISDZkiyXOgJS8dGEQ_9_6"/>
      <w:bookmarkStart w:id="637" w:name="Tc_Dx1NY1g9JUSXxw7BoVFQ2A_9_0"/>
      <w:bookmarkStart w:id="638" w:name="Tc_7pUGSVBmj0mH-_EEfXvaeg_8_6"/>
      <w:bookmarkStart w:id="639" w:name="Tc_uHaITQPclU-TdvgBVfPU5Q_8_0"/>
      <w:bookmarkStart w:id="640" w:name="Tc_nxQfPrC9IUG6CGWDajKS3A_7_0"/>
      <w:bookmarkStart w:id="641" w:name="Tc_Ce5w7gFqdUKJPiGILJfPPg_6_0"/>
      <w:bookmarkStart w:id="642" w:name="Tc_KKh5lirpBUGVS3anOJvpzA_5_0"/>
      <w:bookmarkStart w:id="643" w:name="Tc_j-l-PkcME0eSblm1VSkeXQ_4_5"/>
      <w:bookmarkStart w:id="644" w:name="Tc_5oNKCrgyxkOYmfEfiOzKiA_4_2"/>
      <w:bookmarkStart w:id="645" w:name="Tc_0PumVuHDIEq1_7TFApTpRA_4_0"/>
      <w:bookmarkStart w:id="646" w:name="Tc_5Lu6KE3FyEqxvRS2BazoOw_3_0"/>
      <w:bookmarkStart w:id="647" w:name="Tc_v0Bpz3SZgEGMEk_Cplng6w_2_5"/>
      <w:bookmarkStart w:id="648" w:name="Tc_FKDkz9C0-Ey8TF83EWM3pw_2_2"/>
      <w:bookmarkStart w:id="649" w:name="Tc__iuGxEe7TUK-R5lrg59Ofg_1_2"/>
      <w:bookmarkStart w:id="650" w:name="_75ea06c2_783f_429f_b903_71e05484714d"/>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tbl>
      <w:tblPr>
        <w:tblW w:w="8892" w:type="dxa"/>
        <w:jc w:val="left"/>
        <w:tblInd w:w="0" w:type="dxa"/>
        <w:tblLayout w:type="fixed"/>
        <w:tblCellMar>
          <w:top w:w="0" w:type="dxa"/>
          <w:left w:w="0" w:type="dxa"/>
          <w:bottom w:w="0" w:type="dxa"/>
          <w:right w:w="0" w:type="dxa"/>
        </w:tblCellMar>
      </w:tblPr>
      <w:tblGrid>
        <w:gridCol w:w="6031"/>
        <w:gridCol w:w="326"/>
        <w:gridCol w:w="211"/>
        <w:gridCol w:w="901"/>
        <w:gridCol w:w="326"/>
        <w:gridCol w:w="211"/>
        <w:gridCol w:w="886"/>
      </w:tblGrid>
      <w:tr>
        <w:trPr/>
        <w:tc>
          <w:tcPr>
            <w:tcW w:w="6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3829685" cy="175260"/>
                      <wp:effectExtent l="0" t="0" r="0" b="0"/>
                      <wp:wrapNone/>
                      <wp:docPr id="63" name="Frame63"/>
                      <a:graphic xmlns:a="http://schemas.openxmlformats.org/drawingml/2006/main">
                        <a:graphicData uri="http://schemas.microsoft.com/office/word/2010/wordprocessingShape">
                          <wps:wsp>
                            <wps:cNvSpPr txBox="1"/>
                            <wps:spPr>
                              <a:xfrm>
                                <a:off x="0" y="0"/>
                                <a:ext cx="3829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3985" cy="175260"/>
                      <wp:effectExtent l="0" t="0" r="0" b="0"/>
                      <wp:wrapNone/>
                      <wp:docPr id="65" name="Frame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72135" cy="175260"/>
                      <wp:effectExtent l="0" t="0" r="0" b="0"/>
                      <wp:wrapNone/>
                      <wp:docPr id="66" name="Frame6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3985" cy="175260"/>
                      <wp:effectExtent l="0" t="0" r="0" b="0"/>
                      <wp:wrapNone/>
                      <wp:docPr id="68" name="Frame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62610" cy="175260"/>
                      <wp:effectExtent l="0" t="0" r="0" b="0"/>
                      <wp:wrapNone/>
                      <wp:docPr id="69" name="Frame6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0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Six Months Ended June 30, </w:t>
            </w:r>
          </w:p>
        </w:tc>
      </w:tr>
      <w:tr>
        <w:trPr/>
        <w:tc>
          <w:tcPr>
            <w:tcW w:w="60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2025</w:t>
            </w:r>
          </w:p>
        </w:tc>
        <w:tc>
          <w:tcPr>
            <w:tcW w:w="326" w:type="dxa"/>
            <w:tcBorders/>
            <w:vAlign w:val="center"/>
          </w:tcPr>
          <w:p>
            <w:pPr>
              <w:pStyle w:val="TableContents"/>
              <w:bidi w:val="0"/>
              <w:spacing w:before="0" w:after="1"/>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2024</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loss</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(19,044)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(39,877)</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Adjustments to reconcile net loss to net cash used in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Stock-based compensation</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4,142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8,699</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Depreciation and amortization</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12,835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8,728</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Change in fair value of derivative instruments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(652)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Tax credit generation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(21,494)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non-cash income</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1,274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1,276</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Changes in operating assets and liabilities, net of effects of acquisition:</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Accounts receivable</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(3,634)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341</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Inventories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(788)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243</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Prepaid expenses and other current assets, deposits and other assets</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(9,504)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(5,941)</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Accounts payable, accrued expenses and non-current liabilities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10,295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(989)</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Net cash used in operating activities</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(26,570)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(27,520)</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Investing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Acquisitions of property, plant and equipment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(11,077)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(26,708)</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Acquisition of Red Trail Energy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(198,461)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Net cash used in investing activities</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(209,538)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(26,708)</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Financing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Loan proceeds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105,000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Payment of debt issuance costs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(5,480)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(1,665)</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Non-controlling interest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5,000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Proceeds from the exercise of stock options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182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Payment of loans payable</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(65)</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Payment of finance lease liabilities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(255)</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Repurchases of common stock</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(4,064)</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Net cash provided by (used in) financing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103,976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(6,049)</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decrease in cash and cash equivalents</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(132,132)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(60,277)</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Cash, cash equivalents and restricted cash at beginning of period</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259,033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375,597</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Cash, cash equivalents and restricted cash at end of period</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126,901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9"/>
              </w:rPr>
            </w:pPr>
            <w:r>
              <w:rPr>
                <w:rFonts w:ascii="Times New Roman;Times;serif" w:hAnsi="Times New Roman;Times;serif"/>
                <w:sz w:val="19"/>
              </w:rPr>
              <w:t>315,320</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651" w:name="Tc_cLTTX9iIVUGf6qwUoftfRw_6_5"/>
      <w:bookmarkStart w:id="652" w:name="Tc_tmoIFa_xLU-HPqoQ0oYYOA_6_2"/>
      <w:bookmarkStart w:id="653" w:name="Tc_ckk_QIbCakmHmwIz4FEuKA_6_0"/>
      <w:bookmarkStart w:id="654" w:name="Tc_vwsLr3VX00WzCxI5uuk4rA_5_3"/>
      <w:bookmarkStart w:id="655" w:name="Tc_kujJ12Phi0uy_xSHTJyidg_5_0"/>
      <w:bookmarkStart w:id="656" w:name="Tc_jkLsPDUeq06n-KaRpVLzQA_4_0"/>
      <w:bookmarkStart w:id="657" w:name="Tc_C25_elFrVkGrCutijyzjfQ_3_5"/>
      <w:bookmarkStart w:id="658" w:name="Tc_RIlvDQ-KvU-FOzR8LARzfA_3_2"/>
      <w:bookmarkStart w:id="659" w:name="Tc_2yJW5QA4_0Ge-xPizK5U1A_3_0"/>
      <w:bookmarkStart w:id="660" w:name="Tc_rixaRSZhtEeK7DNfl6s-zQ_2_5"/>
      <w:bookmarkStart w:id="661" w:name="Tc_HUXqb1bbPkujd_qpBJNNgA_2_2"/>
      <w:bookmarkStart w:id="662" w:name="Tc_3fSuYSFUvkamhTrkUK2iwA_2_0"/>
      <w:bookmarkStart w:id="663" w:name="Tc_ZIa_bISgl0a7E66RqxZl_w_1_2"/>
      <w:bookmarkStart w:id="664" w:name="_a9c348a3_a5d0_4d9f_8481_89902312bf21"/>
      <w:bookmarkStart w:id="665" w:name="Tc_cLTTX9iIVUGf6qwUoftfRw_6_5"/>
      <w:bookmarkStart w:id="666" w:name="Tc_tmoIFa_xLU-HPqoQ0oYYOA_6_2"/>
      <w:bookmarkStart w:id="667" w:name="Tc_ckk_QIbCakmHmwIz4FEuKA_6_0"/>
      <w:bookmarkStart w:id="668" w:name="Tc_vwsLr3VX00WzCxI5uuk4rA_5_3"/>
      <w:bookmarkStart w:id="669" w:name="Tc_kujJ12Phi0uy_xSHTJyidg_5_0"/>
      <w:bookmarkStart w:id="670" w:name="Tc_jkLsPDUeq06n-KaRpVLzQA_4_0"/>
      <w:bookmarkStart w:id="671" w:name="Tc_C25_elFrVkGrCutijyzjfQ_3_5"/>
      <w:bookmarkStart w:id="672" w:name="Tc_RIlvDQ-KvU-FOzR8LARzfA_3_2"/>
      <w:bookmarkStart w:id="673" w:name="Tc_2yJW5QA4_0Ge-xPizK5U1A_3_0"/>
      <w:bookmarkStart w:id="674" w:name="Tc_rixaRSZhtEeK7DNfl6s-zQ_2_5"/>
      <w:bookmarkStart w:id="675" w:name="Tc_HUXqb1bbPkujd_qpBJNNgA_2_2"/>
      <w:bookmarkStart w:id="676" w:name="Tc_3fSuYSFUvkamhTrkUK2iwA_2_0"/>
      <w:bookmarkStart w:id="677" w:name="Tc_ZIa_bISgl0a7E66RqxZl_w_1_2"/>
      <w:bookmarkStart w:id="678" w:name="_a9c348a3_a5d0_4d9f_8481_89902312bf21"/>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p>
    <w:tbl>
      <w:tblPr>
        <w:tblW w:w="6852" w:type="dxa"/>
        <w:jc w:val="left"/>
        <w:tblInd w:w="0" w:type="dxa"/>
        <w:tblLayout w:type="fixed"/>
        <w:tblCellMar>
          <w:top w:w="0" w:type="dxa"/>
          <w:left w:w="0" w:type="dxa"/>
          <w:bottom w:w="0" w:type="dxa"/>
          <w:right w:w="0" w:type="dxa"/>
        </w:tblCellMar>
      </w:tblPr>
      <w:tblGrid>
        <w:gridCol w:w="4111"/>
        <w:gridCol w:w="326"/>
        <w:gridCol w:w="211"/>
        <w:gridCol w:w="781"/>
        <w:gridCol w:w="326"/>
        <w:gridCol w:w="211"/>
        <w:gridCol w:w="886"/>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610485" cy="175260"/>
                      <wp:effectExtent l="0" t="0" r="0" b="0"/>
                      <wp:wrapNone/>
                      <wp:docPr id="70" name="Frame70"/>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2"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95935" cy="175260"/>
                      <wp:effectExtent l="0" t="0" r="0" b="0"/>
                      <wp:wrapNone/>
                      <wp:docPr id="73" name="Frame7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4"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62610" cy="175260"/>
                      <wp:effectExtent l="0" t="0" r="0" b="0"/>
                      <wp:wrapNone/>
                      <wp:docPr id="76" name="Frame7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4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Six Months Ended June 30, </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Schedule of cash, cash equivalents and restricted cash</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2025</w:t>
            </w:r>
          </w:p>
        </w:tc>
        <w:tc>
          <w:tcPr>
            <w:tcW w:w="326" w:type="dxa"/>
            <w:tcBorders/>
            <w:vAlign w:val="center"/>
          </w:tcPr>
          <w:p>
            <w:pPr>
              <w:pStyle w:val="TableContents"/>
              <w:bidi w:val="0"/>
              <w:spacing w:before="0" w:after="1"/>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2024</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57,257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245,676</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Restricted cash (current)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69,644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1,489</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Restricted cash (non-current)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68,155</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Total cash, cash equivalents and restricted cash</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126,901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9"/>
              </w:rPr>
            </w:pPr>
            <w:r>
              <w:rPr>
                <w:rFonts w:ascii="Times New Roman;Times;serif" w:hAnsi="Times New Roman;Times;serif"/>
                <w:sz w:val="19"/>
              </w:rPr>
              <w:t>315,320</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679" w:name="Tc_OXY6yOClbEOVDUF2IgMAeA_5_5"/>
      <w:bookmarkStart w:id="680" w:name="Tc_m_so8W7DH0K5Gkl7CJmI3Q_5_3"/>
      <w:bookmarkStart w:id="681" w:name="Tc_t_X1FaxUVECen-vHlUQUKg_5_2"/>
      <w:bookmarkStart w:id="682" w:name="Tc_Nu60EuXjWECsbdmBIcE9YQ_5_0"/>
      <w:bookmarkStart w:id="683" w:name="Tc_64hX2iiAMUCUTznyylXzBw_4_5"/>
      <w:bookmarkStart w:id="684" w:name="Tc_xaLLyOBbh0qKHynj816KBw_4_2"/>
      <w:bookmarkStart w:id="685" w:name="Tc_L3LBnBxMf02KuCJwcffJ3A_4_0"/>
      <w:bookmarkStart w:id="686" w:name="Tc_7QVLWZwdA0exv0FCdfsoPw_3_5"/>
      <w:bookmarkStart w:id="687" w:name="Tc_qeMm_4cMBEG64Hkaj0iG5A_3_2"/>
      <w:bookmarkStart w:id="688" w:name="Tc_1nq7W78jtUaiPYXPwvIAow_3_0"/>
      <w:bookmarkStart w:id="689" w:name="Tc_KGT0gi0E5kGSl6laMEyjTQ_2_5"/>
      <w:bookmarkStart w:id="690" w:name="Tc_KdEpmqmKl02B5nr8acuEbA_2_2"/>
      <w:bookmarkStart w:id="691" w:name="Tc_HOC8CJ9diESWcmT7062z9g_2_0"/>
      <w:bookmarkStart w:id="692" w:name="Tc_BIPFCg9J906IUKLxDR0j3g_1_2"/>
      <w:bookmarkStart w:id="693" w:name="_848ee656_dc8b_440b_bd65_52abb7af0673"/>
      <w:bookmarkStart w:id="694" w:name="Tc_OXY6yOClbEOVDUF2IgMAeA_5_5"/>
      <w:bookmarkStart w:id="695" w:name="Tc_m_so8W7DH0K5Gkl7CJmI3Q_5_3"/>
      <w:bookmarkStart w:id="696" w:name="Tc_t_X1FaxUVECen-vHlUQUKg_5_2"/>
      <w:bookmarkStart w:id="697" w:name="Tc_Nu60EuXjWECsbdmBIcE9YQ_5_0"/>
      <w:bookmarkStart w:id="698" w:name="Tc_64hX2iiAMUCUTznyylXzBw_4_5"/>
      <w:bookmarkStart w:id="699" w:name="Tc_xaLLyOBbh0qKHynj816KBw_4_2"/>
      <w:bookmarkStart w:id="700" w:name="Tc_L3LBnBxMf02KuCJwcffJ3A_4_0"/>
      <w:bookmarkStart w:id="701" w:name="Tc_7QVLWZwdA0exv0FCdfsoPw_3_5"/>
      <w:bookmarkStart w:id="702" w:name="Tc_qeMm_4cMBEG64Hkaj0iG5A_3_2"/>
      <w:bookmarkStart w:id="703" w:name="Tc_1nq7W78jtUaiPYXPwvIAow_3_0"/>
      <w:bookmarkStart w:id="704" w:name="Tc_KGT0gi0E5kGSl6laMEyjTQ_2_5"/>
      <w:bookmarkStart w:id="705" w:name="Tc_KdEpmqmKl02B5nr8acuEbA_2_2"/>
      <w:bookmarkStart w:id="706" w:name="Tc_HOC8CJ9diESWcmT7062z9g_2_0"/>
      <w:bookmarkStart w:id="707" w:name="Tc_BIPFCg9J906IUKLxDR0j3g_1_2"/>
      <w:bookmarkStart w:id="708" w:name="_848ee656_dc8b_440b_bd65_52abb7af067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p>
    <w:tbl>
      <w:tblPr>
        <w:tblW w:w="7959" w:type="dxa"/>
        <w:jc w:val="left"/>
        <w:tblInd w:w="0" w:type="dxa"/>
        <w:tblLayout w:type="fixed"/>
        <w:tblCellMar>
          <w:top w:w="0" w:type="dxa"/>
          <w:left w:w="0" w:type="dxa"/>
          <w:bottom w:w="0" w:type="dxa"/>
          <w:right w:w="0" w:type="dxa"/>
        </w:tblCellMar>
      </w:tblPr>
      <w:tblGrid>
        <w:gridCol w:w="5611"/>
        <w:gridCol w:w="326"/>
        <w:gridCol w:w="220"/>
        <w:gridCol w:w="597"/>
        <w:gridCol w:w="341"/>
        <w:gridCol w:w="220"/>
        <w:gridCol w:w="644"/>
      </w:tblGrid>
      <w:tr>
        <w:trPr/>
        <w:tc>
          <w:tcPr>
            <w:tcW w:w="5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562985" cy="175260"/>
                      <wp:effectExtent l="0" t="0" r="0" b="0"/>
                      <wp:wrapNone/>
                      <wp:docPr id="77" name="Frame77"/>
                      <a:graphic xmlns:a="http://schemas.openxmlformats.org/drawingml/2006/main">
                        <a:graphicData uri="http://schemas.microsoft.com/office/word/2010/wordprocessingShape">
                          <wps:wsp>
                            <wps:cNvSpPr txBox="1"/>
                            <wps:spPr>
                              <a:xfrm>
                                <a:off x="0" y="0"/>
                                <a:ext cx="3562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9700" cy="175260"/>
                      <wp:effectExtent l="0" t="0" r="0" b="0"/>
                      <wp:wrapNone/>
                      <wp:docPr id="79" name="Frame79"/>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379095" cy="175260"/>
                      <wp:effectExtent l="0" t="0" r="0" b="0"/>
                      <wp:wrapNone/>
                      <wp:docPr id="80" name="Frame80"/>
                      <a:graphic xmlns:a="http://schemas.openxmlformats.org/drawingml/2006/main">
                        <a:graphicData uri="http://schemas.microsoft.com/office/word/2010/wordprocessingShape">
                          <wps:wsp>
                            <wps:cNvSpPr txBox="1"/>
                            <wps:spPr>
                              <a:xfrm>
                                <a:off x="0" y="0"/>
                                <a:ext cx="379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6535" cy="175260"/>
                      <wp:effectExtent l="0" t="0" r="0" b="0"/>
                      <wp:wrapNone/>
                      <wp:docPr id="81" name="Frame81"/>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9700" cy="175260"/>
                      <wp:effectExtent l="0" t="0" r="0" b="0"/>
                      <wp:wrapNone/>
                      <wp:docPr id="82" name="Frame82"/>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08940" cy="175260"/>
                      <wp:effectExtent l="0" t="0" r="0" b="0"/>
                      <wp:wrapNone/>
                      <wp:docPr id="83" name="Frame83"/>
                      <a:graphic xmlns:a="http://schemas.openxmlformats.org/drawingml/2006/main">
                        <a:graphicData uri="http://schemas.microsoft.com/office/word/2010/wordprocessingShape">
                          <wps:wsp>
                            <wps:cNvSpPr txBox="1"/>
                            <wps:spPr>
                              <a:xfrm>
                                <a:off x="0" y="0"/>
                                <a:ext cx="408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6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02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Six Months Ended June 30, </w:t>
            </w:r>
          </w:p>
        </w:tc>
      </w:tr>
      <w:tr>
        <w:trPr/>
        <w:tc>
          <w:tcPr>
            <w:tcW w:w="5611"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Supplemental disclosures of cash and non-cash investing and financing transactions</w:t>
            </w:r>
          </w:p>
        </w:tc>
        <w:tc>
          <w:tcPr>
            <w:tcW w:w="326" w:type="dxa"/>
            <w:tcBorders/>
            <w:vAlign w:val="center"/>
          </w:tcPr>
          <w:p>
            <w:pPr>
              <w:pStyle w:val="TableContents"/>
              <w:bidi w:val="0"/>
              <w:spacing w:before="0" w:after="1"/>
              <w:ind w:left="0" w:right="0" w:hanging="0"/>
              <w:jc w:val="center"/>
              <w:rPr/>
            </w:pPr>
            <w:r>
              <w:rPr/>
              <w:t>​</w:t>
            </w:r>
          </w:p>
        </w:tc>
        <w:tc>
          <w:tcPr>
            <w:tcW w:w="8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2025</w:t>
            </w:r>
          </w:p>
        </w:tc>
        <w:tc>
          <w:tcPr>
            <w:tcW w:w="341" w:type="dxa"/>
            <w:tcBorders/>
            <w:vAlign w:val="center"/>
          </w:tcPr>
          <w:p>
            <w:pPr>
              <w:pStyle w:val="TableContents"/>
              <w:bidi w:val="0"/>
              <w:spacing w:before="0" w:after="1"/>
              <w:ind w:left="0" w:right="0" w:hanging="0"/>
              <w:jc w:val="center"/>
              <w:rPr/>
            </w:pPr>
            <w:r>
              <w:rPr/>
              <w:t>    </w:t>
            </w:r>
          </w:p>
        </w:tc>
        <w:tc>
          <w:tcPr>
            <w:tcW w:w="86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2024</w:t>
            </w:r>
          </w:p>
        </w:tc>
      </w:tr>
      <w:tr>
        <w:trPr/>
        <w:tc>
          <w:tcPr>
            <w:tcW w:w="56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Cash paid for interest</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597"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3,052</w:t>
            </w:r>
          </w:p>
        </w:tc>
        <w:tc>
          <w:tcPr>
            <w:tcW w:w="341"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1,464</w:t>
            </w:r>
          </w:p>
        </w:tc>
      </w:tr>
      <w:tr>
        <w:trPr/>
        <w:tc>
          <w:tcPr>
            <w:tcW w:w="56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Non-cash purchase of property, plant and equipment</w:t>
            </w:r>
          </w:p>
        </w:tc>
        <w:tc>
          <w:tcPr>
            <w:tcW w:w="32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597"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6,317</w:t>
            </w:r>
          </w:p>
        </w:tc>
        <w:tc>
          <w:tcPr>
            <w:tcW w:w="341"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9,855</w:t>
            </w:r>
          </w:p>
        </w:tc>
      </w:tr>
      <w:tr>
        <w:trPr/>
        <w:tc>
          <w:tcPr>
            <w:tcW w:w="56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Right-of-use asset purchased with operating lease</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597" w:type="dxa"/>
            <w:tcBorders/>
            <w:shd w:fill="CCEEFF" w:val="clear"/>
            <w:vAlign w:val="center"/>
          </w:tcPr>
          <w:p>
            <w:pPr>
              <w:pStyle w:val="TableContents"/>
              <w:bidi w:val="0"/>
              <w:spacing w:before="0" w:after="1"/>
              <w:ind w:left="0" w:right="0" w:hanging="0"/>
              <w:jc w:val="right"/>
              <w:rPr/>
            </w:pPr>
            <w:r>
              <w:rPr/>
              <w:t>—</w:t>
            </w:r>
          </w:p>
        </w:tc>
        <w:tc>
          <w:tcPr>
            <w:tcW w:w="341"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44" w:type="dxa"/>
            <w:tcBorders/>
            <w:shd w:fill="CCEEFF" w:val="clear"/>
            <w:vAlign w:val="center"/>
          </w:tcPr>
          <w:p>
            <w:pPr>
              <w:pStyle w:val="TableContents"/>
              <w:bidi w:val="0"/>
              <w:spacing w:before="0" w:after="1"/>
              <w:ind w:left="0" w:right="60" w:hanging="0"/>
              <w:jc w:val="right"/>
              <w:rPr>
                <w:rFonts w:ascii="Times New Roman;Times;serif" w:hAnsi="Times New Roman;Times;serif"/>
                <w:sz w:val="19"/>
              </w:rPr>
            </w:pPr>
            <w:r>
              <w:rPr>
                <w:rFonts w:ascii="Times New Roman;Times;serif" w:hAnsi="Times New Roman;Times;serif"/>
                <w:sz w:val="19"/>
              </w:rPr>
              <w:t>32</w:t>
            </w:r>
          </w:p>
        </w:tc>
      </w:tr>
    </w:tbl>
    <w:p>
      <w:pPr>
        <w:pStyle w:val="TextBody"/>
        <w:bidi w:val="0"/>
        <w:spacing w:before="0" w:after="240"/>
        <w:ind w:left="0" w:right="0" w:firstLine="360"/>
        <w:jc w:val="center"/>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the accompanying Notes to the Condensed Consolidated Financial Statements.</w:t>
      </w:r>
    </w:p>
    <w:p>
      <w:pPr>
        <w:pStyle w:val="TextBody"/>
        <w:bidi w:val="0"/>
        <w:spacing w:lineRule="atLeast" w:line="142"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ind w:left="0" w:right="0" w:hanging="0"/>
        <w:jc w:val="left"/>
        <w:rPr>
          <w:sz w:val="4"/>
          <w:szCs w:val="4"/>
        </w:rPr>
      </w:pPr>
      <w:r>
        <w:rPr>
          <w:sz w:val="4"/>
          <w:szCs w:val="4"/>
        </w:rPr>
      </w:r>
      <w:bookmarkStart w:id="709" w:name="a1NatureofBusinessFinancialConditionandB"/>
      <w:bookmarkStart w:id="710" w:name="a1NatureofBusinessFinancialConditionandB"/>
      <w:bookmarkEnd w:id="710"/>
    </w:p>
    <w:tbl>
      <w:tblPr>
        <w:tblW w:w="5942" w:type="dxa"/>
        <w:jc w:val="left"/>
        <w:tblInd w:w="0" w:type="dxa"/>
        <w:tblLayout w:type="fixed"/>
        <w:tblCellMar>
          <w:top w:w="0" w:type="dxa"/>
          <w:left w:w="0" w:type="dxa"/>
          <w:bottom w:w="0" w:type="dxa"/>
          <w:right w:w="0" w:type="dxa"/>
        </w:tblCellMar>
      </w:tblPr>
      <w:tblGrid>
        <w:gridCol w:w="271"/>
        <w:gridCol w:w="567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56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Nature of Business, Financial Condition and Basis of Presentation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Nature of business.</w:t>
      </w:r>
      <w:r>
        <w:rPr>
          <w:rFonts w:ascii="Times New Roman;Times;serif" w:hAnsi="Times New Roman;Times;serif"/>
          <w:sz w:val="20"/>
        </w:rPr>
        <w:t xml:space="preserv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Gevo, Inc. (Nasdaq: GEVO) (“Gevo”, “we”, “us”, “our”, or the “Company,” which, unless otherwise indicated, refers to Gevo, Inc. and its subsidiaries), a Delaware corporation founded in 2005, is a growth-oriented, carbon abatement company with the mission of solving greenhouse gas (“GHG”) emissions for those sectors of the transportation industry that are not amenable to electrification or hydrogen.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is focused on transforming renewable energy into energy-dense liquid drop-in hydrocarbons that can be used as renewable fuels, such as synthetic aviation fuel (“SAF”) and other fuels and chemicals, with the potential to create new energy production, new jobs, new agricultural uses, and result in significant economic benefits. Moreover, we have the potential to achieve a “net-zero” GHG, or even carbon negative footprint measured by the Argonne National Laboratory’s GREET (Greenhouse gases, Regulated Emissions, and Energy use in Transportation) model (the “GREET Model”) to measure, predict and verify GHG emissions across the life cycle. Our “net-zero” concept means production of drop-in hydrocarbon fuels by using sustainably grown feedstocks (e.g., low till and no-till corn cultivation) and renewable and substantially decarbonized energy sources, resulting in an expected net-zero carbon footprint from the full life cycle of the fuel measured from the capture of renewable carbon through the burning of the fuel.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Gevo’s primary market focus is on energy-dense liquid drop-in hydrocarbon products that are not only cost competitive but also play a crucial role in abating carbon emissions. At the forefront of this market, Gevo was the first company to produce SAF, capitalizing on current demand for liquid fuels and chemicals that are both economically viable and environmentally beneficial. In addition to its core renewable hydrocarbon products, the Company is capitalizing on emerging opportunities within the voluntary carbon market. Gevo is actively exploring avenues to generate and sell carbon credits, helping businesses offset their emissions. The Company believes that its carbohydrate-to-alcohol process is the most economically viable approach to meet this rising demand at a production cost that is relevant for the industry. The Company also has commercial opportunities for other renewable hydrocarbon products, such as (i) renewable natural gas, also known as biogas (“RNG”), (ii) hydrocarbons for gasoline in marine and racing blendstocks and diesel fuel, and (iii) ingredients for the chemical industry, such as ethylene and butenes for plastics and materials, and other chemicals. With the recent acquisition of the majority of the assets of Red Trail Energy, LLC (“Red Trail Energy”) (see Note 2, Business Combinations, for additional information), which specialized in the production of low-carbon ethanol and animal feed from corn and sequestering carbon through its carbon capture and sequestration asset, we are expanding our capabilities in the biofuels and carbon marketing sector. Red Trail Energy’s operations further enables our renewable fuels strategy and enhances our ability to provide cost-competitive sustainable fuel alternatives and carbon sequestration and supports our broader goal of diversifying renewable product portfolio. We are engaged in technology, process and intellectual property development targeted to large scale deployment of net-zero hydrocarbon fuels and chemicals. We are developing the marketplace and customers for SAF and other related products. We also are engaged as a developer and enabler/licensor for large scale commercial production, and we expect to be a co-investor on certain projects. Gevo’s business model is that of a developer of projects, licensor, process technology developer, and operator of certain assets in the future.</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Renewable Jet Fuel Platform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developed a business model for producing SAF with a low-carbon footprint using our Alcohol-to-Jet process from which carbon credits are generated and sold. The business system begins with feedstock and methods to quantify and verify its carbon footprint and proceeds through conversion to SAF using energy efficient designs powered by decarbonized energy and marketing of the SAF and carbon credits generated. The production process is expected to have cash cost of SAF production which makes the fuel competitive with incumbent fuels, while generating co-products including carbon credits which enable attractive financial returns for the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One of the key characteristics of our designs is the extent of modularization of the process, which helps to enable a duplicate and revise approach to serve the industry. In this approach, we will offer for sale the modularized processes, and encompassing business system, that are already designed in order to save potential customers time and money to enter the SAF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Gevo owns our Alcohol-to-Jet plant designs and the overall Gevo net zero process (i.e., the process to enable carbon-negative olefins, and hydrocarbon fuels with an anticipated net zero or better carbon footprint measured across the lifecycle of the whole processes). The proprietary Gevo Alcohol-to-Jet processes and plant designs are based upon the conversion of carbohydrates to alcohols, followed by the conversion of the alcohols to olefins (i.e., building blocks for chemicals, plastics, and fuels), and then the conversion of the olefins into fuels, all optimized and integrated to achieve a net zero carbon footprint. Our partners in developing and executing the Alcohol-to-Jet projects have included Fluid Quip Technologies, LLC, Axens North America, Inc. (“Axens”), PRAJ Industries Limited (“PRAJ”), Zero6 Clean Energy Assets, Inc. (“Zero6”), McDermott International Ltd., and Fagen, Inc. Gevo owns the overall proprietary plant designs, engineering details, integration technologies, and associated intellectual property, and we have filed patents on several process improvements.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ATJ-60 at Lake Preston, South Dakota. Our business system and engineering packages have been developed around our site in Lake Preston SD. The ATJ process is designed to produce 60 million gallons per year (“MMGPY”) SAF (“ATJ-60”) and 65 MMGPY total hydrocarbons. Along with the hydrocarbons, ATJ-60 is currently being designed to produce approximately 1.3 billion pounds per year of high-value protein products for use in the food chain and approximately 30 million pounds per year of corn oil. Our products will be produced in three steps: the first step is milling the corn and the production of protein, oil, and carbohydrates, the second step produces alcohols using fermentation, and the third step is the conversion of the alcohols into hydrocarbons.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ATJ-150 in Illinois. We have designed an Alcohol-to-Jet process which is approximately three times as large as the ATJ-60 process to give over 180 MMGPY hydrocarbons and 150 MMGPY SAF. This design was created to enable a ‘hub-and-spoke’ approach to production where alcohol is brought in from multiple production plants, the spokes, to feed a much larger operation than ATJ-60 to gain economies of scale. This design is ready to be advanced when the market is ready.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ATJ-30 at Gevo North Dakota.  We have used the ATJ-60 design to duplicate and revise into a 30 MMGPY SAF plant (“ATJ-30”) design, which we expect will be deployed for our North Dakota site and would upgrade the low-carbon ethanol already produced onsite to jet fuel.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also developing other commercial production projects for SAF at other locations in the United States, as well as in other parts for the world,  where we expect to use our proprietary business systems and Alcohol-to-Jet plant designs based on work done for ATJ-60 at Lake Preston. Gevo expects to be the project developer, plant designer, technology licensor, product marketer and potential investor. As such, based on traditional developer and technology provider business models, we would expect to obtain a partial ownership stake. We may also co-invest in projects to increase our equity ownership in those projects.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Verity</w:t>
      </w:r>
    </w:p>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sz w:val="20"/>
        </w:rPr>
        <w:t>Verity Holdings, LLC (“Verity”), a wholly owned subsidiary of Gevo, is developing a data and software platform designed to support traceability, compliance reporting, and the monetization of carbon intensity (“CI”) reductions across the renewable fuels supply chain. The Verity platform currently enables the collection and aggregation of data from agricultural and processing partners to support reporting under federal and state regulatory programs, including Section 45Z and the Low Carbon Fuel Standard (“LCFS”). In 2025, Verity began onboarding customers across multiple segments of the supply chain, including grain elevators, biofuel producers, and supply chain partners, with the goal of enabling full lifecycle CI tracking and audit support. While still in the early stages of commercialization, Verity is actively building capabilities to support measurement, reporting, and verification (“MRV”) of Scope 1 and Scope 3 carbon insets and other environmental attributes. The platform is intended to support Gevo’s Alcohol-to-Jet Projects and is expected to evolve into a core infrastructure asset for CI tracking and carbon monetization across the broader low-carbon fuels and agriculture ecosystem.</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Renewable Natural Gas Business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Gevo’s RNG facilities in Northwest Iowa (“NW Iowa RNG”), recorded in the Renewable Natural Gas segment, produce RNG captured from dairy cow manure supplied by three local dairies. Animal manure can be digested anaerobically to produce biogas, which is then upgraded to pipeline quality gas referred to as RNG. </w:t>
      </w:r>
      <w:r>
        <w:rPr>
          <w:rFonts w:ascii="Times New Roman;Times;serif" w:hAnsi="Times New Roman;Times;serif"/>
          <w:color w:val="212529"/>
          <w:sz w:val="20"/>
          <w:shd w:fill="FFFFFF" w:val="clear"/>
        </w:rPr>
        <w:t>In 2024 we completed an expansion to the RNG business to increase its annual expected output from</w:t>
      </w:r>
      <w:r>
        <w:rPr>
          <w:rFonts w:ascii="Times New Roman;Times;serif" w:hAnsi="Times New Roman;Times;serif"/>
          <w:sz w:val="20"/>
        </w:rPr>
        <w:t xml:space="preserve"> 355,000 million British thermal units (“MMBtu”) to 400,000 MMBtu. We sell our RNG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California market through an agreement with BP Canada Energy Marketing Corp. and BP Products North America Inc. (collectively, “BP”). In addition, we generate and sell LCFS credits, D3 Renewable Identification Numbers (“RINs”), and Clean Fuel Production Credits through the production of RNG (collectively, “environmental attributes”). Following the end of the second quarter, we refinanced $40 million of our tax exempt bonds on a non-recourse basis, resulting in the release of approximately $30 million of restricted cash on our balance sheet. See Note 24, Subsequent Events, for further information.</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Luverne Facility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May 2025, Gevo entered into a definitive agreement to sell Agri-Energy, LLC (“Agri”), a wholly owned subsidiary of Gevo, to A.E. Innovation, LLC (“A.E.”) for $7 million. The transaction includes Agri’s 18-million-gallon-per-year ethanol-production facility located in Luverne, Minnesota (the “Luverne Facility”) and is expected to close by the end of 2025, subject to the procurement of financing by A.E. and the satisfaction of other customary closing conditions. Gevo will retain the ownership of certain equipment at the facility, including isobutanol fermentation capacity and some of the vacant land. Gevo and A.E. expect to cooperate to produce isobutanol as needed at the facility following the closing of the sale. The Luverne Facility is currently being used for market development and customer education but is not currently operating as a production plant. The plant was originally constructed in 1998 and is located on approximately 55 acres of land, which contains approximately 50,000 square feet of building space.</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Red Trail Energy Asset Purchase Agreement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September 2024, Gevo and its subsidiaries entered into an Asset Purchase Agreement with Red Trail Energy to acquire substantially all of its assets and assume certain liabilities. The acquisition was completed on January 31, 2025, for a purchase price of $210 million, subject to customary adjustments, including a working capital adjustment. The acquired assets are now known as Gevo North Dakota (“GevoND”). The transaction was funded through a combination of Gevo equity capital, and a $105 million senior secured term loan facility and $5 million in equity from Orion Infrastructure Capital (“OIC”), a U.S.-based private investment firm. The acquired assets include the ethanol production plant, the carbon capture and storage well, and the pore space. The operational personnel of Red Trail Energy joined Gevo upon the closing of the acquisition. The acquired ethanol production facility converts corn into ethanol and produces distillers grains, a high-protein animal feed, and corn oil, which is used in biodiesel production and industrial applications. This acquisition also includes carbon capture and sequestration (“CCS”) assets that will support Gevo’s broader carbon abatement goals, particularly in relation to our Alcohol-to-Jet Projects. The acquisition of Red Trail Energy strengthens Gevo’s growth trajectory by adding ethanol production, distillers grains, corn oil, Carbon Dioxide Removal credit (“CDR”) and clean fuel production credits under Section 45Z of the Internal Revenue Code to our cash inflow stream, while also enhancing our capabilities in CCS and supporting our broader efforts in SAF production. See Note 2, Business Combinations, for additional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in accordance with U.S. generally accepted accounting principles (“GAAP”) along with the instructions to Form 10-Q and Article 10 of Regulation S-X. Accordingly, they do not include the information and footnotes required by GAAP for complete financial statements. These statements reflect all normal and recurring adjustments which, in the opinion of management, are necessary to present fairly the financial position, results of operations and cash flows of the Company as of, and for the six months ended June 30, 2025, and are not necessarily indicative of the results to be expected for the full year. These statements should be read in conjunction with the Company’s audited consolidated financial statements and notes thereto included under the heading “Financial Statements and Supplementary Data” in Part II, Item 8 of the Company’s Annual Report on Form 10-K for the year ended December 31, 2024</w:t>
      </w:r>
      <w:r>
        <w:rPr>
          <w:rFonts w:ascii="Times New Roman;Times;serif" w:hAnsi="Times New Roman;Times;serif"/>
          <w:i/>
          <w:sz w:val="20"/>
        </w:rPr>
        <w:t xml:space="preserve">. </w:t>
      </w:r>
      <w:r>
        <w:rPr>
          <w:rFonts w:ascii="Times New Roman;Times;serif" w:hAnsi="Times New Roman;Times;serif"/>
          <w:sz w:val="20"/>
        </w:rPr>
        <w:t>The financial statements at December 31, 2024, have been derived from the audited financial statements as of that date. For further information, refer to our audited financial statements and notes thereto included for the year ended December 31, 2024 (the “2024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Significant Accounting Policies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Use of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reported amounts of assets, liabilities, revenues, expenses, and related disclosures. These estimates and assumptions are inherently subject to uncertainty, and actual results could differ from these estimates. Significant areas requiring estimates and assumptions include, but are not limited to, the determination of useful lives of property, plant and equipment, inventory, asset retirement obligations, the recognition of revenue, the valuation of business combinations and the fair value of clean fuel production tax credits (“PTC”). Management regularly reviews our estimates based on the most current available information. Changes in facts and circumstances may result in revised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Business Combinations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accounts for its business combinations in accordance with the provisions of Accounting Standards Codification Topic 805-10, Business Combinations ("ASC 805-10"). ASC 805-10 mandates the use of the purchase method of accounting for all business combinations. Under this method, assets acquired and liabilities assumed are recorded at their respective fair values as of the acquisition date. For transactions meeting the definition of business combinations, the Company evaluates the recognition of goodwill. Goodwill represents the excess of the purchase price over the fair value of the identifiable tangible and intangible assets acquired, and liabilities assumed, in a business combination. ASC 805-10 further stipulates criteria that intangible assets acquired in a business combination must meet in order to be recognized and reported separately from goodwill. Acquisition-related costs, including transaction fees, are recognized separately from the business combination and expensed as incurred.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determination of the fair value of net assets acquired, including the allocation of fair value to identifiable assets and liabilities, is based on established valuation techniques. Fair value is defined as the price that would be received to sell an asset or paid to transfer a liability in an orderly transaction between market participants at the measurement date. In the context of purchase accounting, determining fair value often requires significant judgments and estimates by management, including the selection of appropriate valuation methodologies, estimates of future revenues, costs, cash flows, discount rates, and the identification of comparable companies. The estimated fair values of assets acquired and liabilities assumed are based on management's judgment, supplemented by the expertise of third-party valuation specialists engaged to assist in determining fair value. The allocation of fair value to the identifiable assets and liabilities is based on available information at the acquisition date and assumptions deemed reasonable by management. However, changes in facts and circumstances may result in adjustments to the initial fair value estimates during the measurement period, which may not exceed one year from the acquisition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Tax Credit Recognition and Sales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accounts for tax credits associated with the U.S. federal clean fuel production incentives under Section 45Z of the Internal Revenue Code in accordance with IAS 20 - Accounting for Government Grants and Disclosure of Government Assistance. These credits, as they are generated are recorded based on the eligible PTC rate per gallon, the emission factor based on the carbon intensity score and are adjusted to their estimated fair value. The credits are recognized as a nonmonetary asset in intangible assets and a reduction to cost of goods sold (COGS), reflecting their role in offsetting the production costs of low-carbon fuels.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Derivative Financial Instruments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After acquiring an ethanol operating facility in the first quarter of 2025, the Company integrated commodity-based derivative transactions, specifically corn futures contracts, into its hedging strategy to manage its exposure to commodity price fluctuations. This strategy aims to protect cash flows associated with the increased exposure to commodity price volatility arising from its GevoND operations, which include corn-based production and procurement activities. These derivative contracts are intended to economically hedge the Company’s cash flow exposure to changes in corn prices, which directly impact the cost of raw materials used in production.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does not apply hedge accounting to these instruments under FASB ASC 815, Derivatives and Hedging. As such, all derivative instruments are recorded at fair value on the consolidated balance sheet, and changes in the fair value of these instruments are recognized in earnings in the period in which they occur. Gains and losses resulting from changes in the fair value of corn derivative contracts are included in the cost of goods sold in the consolidated statements of operations, as they directly relate to the Company’s inventory procurement and production activities. The fair value of the derivative contracts are included in prepaid and other current assets on the consolidated balance sheets. These instruments may create volatility in earnings from period to period, as the timing of derivative gains or losses may not align with the recognition of the related exposure in the financial statements. The Company does not use derivative instruments for speculative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Asset Retirement Obligation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fair value of an asset retirement obligation (“ARO”) is recognized in the period in which it is incurred, provided that a reasonable estimate of fair value can be made. The Company’s ARO is primarily related to commitments to restore or decommission property subject to operating leases associated with its GevoND and RNG operations.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January 2025, Gevo completed the acquisition of Red Trail Energy. As part of the acquisition, management recorded the ARO related to the Broom Creek formation pore space, which includes plugging injection wells, sealing the site, and post-closure monitoring, as required by regulatory and environmental standards to ensure long-term CO₂ containment. These requirements are driven by both regulatory mandates and industry best practices to ensure long-term environmental safety and mitigate the risk of CO₂ leakage.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Additionally, during the first quarter of 2025, certain operating lease agreements were amended, resulting in changes to the terms of property restitution. As a result of these amendments, the Company recognized new AROs and corresponding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capitalized ARO costs included in property, plant, and equipment are depreciated over the shorter of the useful life of the related asset or the term of the associated lease. ARO liabilities are accreted over time using the credit-adjusted risk-free rate applied at initial recognition and recorded in operations expense on the Condensed</w:t>
      </w:r>
      <w:r>
        <w:rPr>
          <w:rFonts w:ascii="Times New Roman;Times;serif" w:hAnsi="Times New Roman;Times;serif"/>
          <w:sz w:val="20"/>
          <w:shd w:fill="FFFFFF" w:val="clear"/>
        </w:rPr>
        <w:t xml:space="preserve"> Consolidated Statement of Operations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Accounting for Redeemable Non-Controlling Interest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connection with the Company's acquisition of Red Trail Energy, Gevo Intermediate Holdco entered into a membership subscription agreement with OIC, pursuant to which OIC purchased equity units. The subscription agreement includes put and call options (the "Put/Call Option") related to the non-controlling interest. Specifically, the Company has the right to exercise a call option to purchase all outstanding units, and OIC holds a put option requiring the Company to purchase the outstanding units at fair value. These options are exercisable for a period of three years (the "Option Period") following the date on which all indebtedness under the related credit agreement with OIC has been paid.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applicable accounting guidance, an equity instrument that is redeemable for cash or other assets must be classified outside of permanent equity if it is redeemable (a) at a fixed or determinable price on a fixed or determinable date, (b) at the option of the holder, or (c) upon the occurrence of an event not solely within the control of the issuer. As a result of the Put/Call Option feature, the Company has classified the non-controlling interest as redeemable and reported it within temporary equity on the Condensed Consolidated Balance Sheets, initially at its fair value as of the acquisition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redeemable non-controlling interest is adjusted each reporting period to reflect income (or loss) attributable to the redeemable non-controlling interest, as well as any applicable distributions. A measurement period adjustment, if necessary, is made to adjust the redeemable non-controlling interest to the higher of its redemption value (fair value) or carrying value as of each reporting date. These fair value adjustments are recognized through equity and are not reflected in the Company's Condensed Consolidated Statements of Income.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earnings per share calculations, the Company adjusts net income attributable to the Company for the measurement period adjustment to the extent the redemption value exceeds the fair value of the redeemable non-controlling interest on a cumulative basis.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fair value of the redeemable non-controlling interest is determined using the income approach (specifically, a discounted cash flow analysis). As of June 30, 2025, the fair value of the redeemable non-controlling interest has been adjusted to its estimated redemption value with a related adjustment to accumulated deficit.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Recently Issued, Not Yet Adopted Accounting Pronouncements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Income Taxes.</w:t>
      </w:r>
      <w:r>
        <w:rPr>
          <w:rFonts w:ascii="Times New Roman;Times;serif" w:hAnsi="Times New Roman;Times;serif"/>
          <w:sz w:val="20"/>
        </w:rPr>
        <w:t xml:space="preserve"> In December 2023, the FASB issued ASU 2023-09, Income Taxes (Topic 740): Improvements to Income Tax Disclosures ("ASU 2023-09"). ASU 2023-09 is intended to enhance the transparency and decision usefulness of income tax disclosures. The amendments in ASU 2023-09 address investor requests for enhanced income tax information primarily through changes to the rate reconciliation and income taxes paid information. Early adoption is permitted. A public entity should apply the amendments in ASU 2023-09 prospectively to all annual periods beginning after December 15, 2024. The Company is currently evaluating the impact of this standard on our consolidated financial statements and related disclosures.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Income Statement Disclosures. </w:t>
      </w:r>
      <w:r>
        <w:rPr>
          <w:rFonts w:ascii="Times New Roman;Times;serif" w:hAnsi="Times New Roman;Times;serif"/>
          <w:sz w:val="20"/>
        </w:rPr>
        <w:t>In November 2024, the FASB issued ASU No. 2024-03, Income Statement—Reporting Comprehensive Income—Expense Disaggregation Disclosures (Subtopic 220-40) ("ASU 2024-03"). ASU 2024-03 will require companies to disaggregate, within the notes to the financial statements, certain expenses presented on the face of the financial statements to enhance transparency and help investors better understand an entity's performance. The amendment will specifically require that an entity disclose the amounts related to purchases of inventory, employee compensation, depreciation and intangible asset amortization. Entities will also be required to provide a qualitative description of the amounts remaining in relevant expense captions that are not separately disaggregated quantitatively, disclose the total amount of selling expenses and, in annual reporting periods, provide a definition of what constitutes selling expenses. The amendments in ASU 2024-03 are effective for fiscal years beginning after December 15, 2026, and interim periods within fiscal years beginning after December 15, 2027, with early adoption permitted. The Company is currently evaluating the impact of the adoption of ASU 2024-03 on the Company’s financial statement disclosures.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Recently Adopted Accounting Pronouncements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 xml:space="preserve">Segment Reporting. </w:t>
      </w:r>
      <w:r>
        <w:rPr>
          <w:rFonts w:ascii="Times New Roman;Times;serif" w:hAnsi="Times New Roman;Times;serif"/>
          <w:sz w:val="20"/>
        </w:rPr>
        <w:t xml:space="preserve">In November 2023, the FASB issued ASU 2023-07, Segment Reporting (Topic 280): Improvements to Reportable Segment Disclosures (“ASU 2023-07”). ASU 2023-07 would enhance disclosures for significant segment expenses for all public entities required to report segment information in accordance with ASC 280. ASC 280 requires a public entity to report for each reportable segment a measure of segment profit or loss that its chief operating decision maker (“CODM”) uses to assess segment performance and to make decisions about resource allocations. The amendments in ASU 2023-07 improve financial reporting by requiring disclosure of incremental segment information on an annual and interim basis for all public entities to enable investors to develop more useful financial analyses. Currently, Topic 280 requires that a public entity disclose certain information about its reportable segments. For example, a public entity is required to report a measure of segment profit or loss that the CODM uses to assess segment performance and make decisions about allocating resources. ASC 280 also requires other specified segment items and amounts such as depreciation, amortization and depletion expense to be disclosed under certain circumstances. The amendments in ASU 2023-07 do not change or remove those disclosure requirements. The amendments in ASU 2023-07 also do not change how a public entity identifies its operating segments, aggregates those operating segments, or applies the quantitative thresholds to determine its reportable segments. The amendments in ASU 2023-07 are effective for fiscal years beginning after December 15, 2023, and interim periods within fiscal years beginning after December 15, 2024. Early adoption is permitted. A public entity should apply the amendments in ASU 2023-07 retrospectively to all prior periods presented in the financial statements. The Company adopted this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guidance in the fourth quarter of 2024. The requirements of this ASU are disclosure-related and did not have an impact on the Company’s consolidated financial statements and results of operations. See Note 23, Segments, for the updated segment disclosures.</w:t>
      </w:r>
    </w:p>
    <w:tbl>
      <w:tblPr>
        <w:tblW w:w="2372" w:type="dxa"/>
        <w:jc w:val="left"/>
        <w:tblInd w:w="0" w:type="dxa"/>
        <w:tblLayout w:type="fixed"/>
        <w:tblCellMar>
          <w:top w:w="0" w:type="dxa"/>
          <w:left w:w="0" w:type="dxa"/>
          <w:bottom w:w="0" w:type="dxa"/>
          <w:right w:w="0" w:type="dxa"/>
        </w:tblCellMar>
      </w:tblPr>
      <w:tblGrid>
        <w:gridCol w:w="271"/>
        <w:gridCol w:w="210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210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Business Combinations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Red Trail Energy Asset Purchase Agreement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September 10, 2024, Gevo and its subsidiaries entered into an Asset Purchase Agreement (the “Red Trail Purchase Agreement”) with Red Trail Energy to acquire substantially all of its assets and assume certain liabilities. The acquisition was completed on January 31, 2025 (the “Closing Date”). Gevo’s acquisition of Red Trail Energy was a strategic move aimed at accelerating its production of renewable fuels, particularly SAF, while also enabling additional co-located projects. This acquisition aligns with Gevo’s broader goal of reducing carbon emissions and promoting sustainability in the energy and transportation sectors. Furthermore, the acquisition grants access to critical CCS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transaction met the requirements to be considered a business combination under FASB ASC 805: Business Combinations (“ASC 805”). The assets and liabilities acquired from the Seller, affected for preliminary adjustments to reflect the fair market values assigned to assets purchased and liabilities assumed, and results of operations, are included in the Company’s consolidated financial statements from the Closing Date. The Company has allocated the purchase price to the tangible and identifiable intangible assets and liabilities assumed based on their estimated fair market values at the Closing Date as required under ASC 805.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Red Trail Purchase Agreement was accounted for using the acquisition method of accounting. The purchase price per the Red Trail Purchase Agreement was $210 million and was adjusted to $208.4 million at the Closing Date, based on minor adjustments to the purchase price and an estimated working capital adjustment (the “Purchase Price”). The Purchase Price was adjusted further during the three months ended June 30, 2025, based on the final net working capital amount of $1.9 million. The purchase price as of June 30, 2025 is $210.3 million. The Purchase Price was funded through a combination of $103.9 million in cash, of which $10.0 million was paid in escrow in 2024, $99.5 million senior secured term loan facility, net of discount and financing costs, and $5.0 million in equity from OIC.</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incurred approximately $4.4 million of direct acquisition-related expenditures for the six months ended June 30, 2025, which are recognized in General and administrative expense in the Condensed Consolidated Statements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711" w:name="Tc_E3IP3_epOE6Mj_A7FfTbeA_5_2"/>
      <w:bookmarkStart w:id="712" w:name="Tc_wvnun2XwWUOOWqO0q6DJJQ_5_0"/>
      <w:bookmarkStart w:id="713" w:name="Tc_mqSDlHQ_I0aXH-cD21Yt-w_4_2"/>
      <w:bookmarkStart w:id="714" w:name="Tc_Txgo2TstoUSHAF96udXz1A_4_0"/>
      <w:bookmarkStart w:id="715" w:name="Tc_V2Nxb0SdxEuSIGIUNSJ7Jw_3_5"/>
      <w:bookmarkStart w:id="716" w:name="Tc_rqIqn9NEK0S2z2svRFs0Og_3_2"/>
      <w:bookmarkStart w:id="717" w:name="Tc_6_5RhEmZFEi7RS-OD5oGeQ_2_5"/>
      <w:bookmarkStart w:id="718" w:name="Tc_5VRB_QG0A0OrzXZnIS07FQ_2_2"/>
      <w:bookmarkStart w:id="719" w:name="Tc_GdbRLbou4ECcGBZku8Lnvw_1_5"/>
      <w:bookmarkStart w:id="720" w:name="Tc_1NZcjVc1V0Kk51hBZ-rlEA_1_2"/>
      <w:bookmarkStart w:id="721" w:name="_4aea3de5_cb89_4b6f_9ae1_e93462d9fed8"/>
      <w:bookmarkStart w:id="722" w:name="Tc_Ql9eXWJ9NkOAhDALjViCJA_23_2"/>
      <w:bookmarkStart w:id="723" w:name="Tc_vrZv7P9OpUChUDzuqanWmA_23_0"/>
      <w:bookmarkStart w:id="724" w:name="Tc_1rrUQHG8Nkm5TCpbofKTDg_22_0"/>
      <w:bookmarkStart w:id="725" w:name="Tc_mqksR_qVYEi-tj8o5MxP3A_21_0"/>
      <w:bookmarkStart w:id="726" w:name="Tc_xscGH1stbEKUDWZDkm3qUA_20_0"/>
      <w:bookmarkStart w:id="727" w:name="Tc_JLyYQmMsOUqmnSpflEd4NA_19_0"/>
      <w:bookmarkStart w:id="728" w:name="Tc_4wPFWl8TXEWPPNOsQ9CwTw_18_0"/>
      <w:bookmarkStart w:id="729" w:name="Tc_xqiGP6CTqEaT3_BUhV97Gw_17_0"/>
      <w:bookmarkStart w:id="730" w:name="Tc_hZ7z47iM8UW_Rsxq257RIQ_16_0"/>
      <w:bookmarkStart w:id="731" w:name="Tc_lJ86kFTHyk2NseEZzcXzFg_15_0"/>
      <w:bookmarkStart w:id="732" w:name="Tc_VNOb45aWfEKkpmpLFjMOZQ_14_0"/>
      <w:bookmarkStart w:id="733" w:name="Tc_VN4hQPq5MkWiCTP8hTqyTg_13_0"/>
      <w:bookmarkStart w:id="734" w:name="Tc_nkkVSNHZLUOIxZ8JSsBz2A_12_0"/>
      <w:bookmarkStart w:id="735" w:name="Tc_PW6hsJmAUECsy51XTBZ0xQ_11_0"/>
      <w:bookmarkStart w:id="736" w:name="Tc_njYT0VF3QEaYDlZZb_BS6Q_10_0"/>
      <w:bookmarkStart w:id="737" w:name="Tc_54gj_Gk-u0qPNbglaO5V7Q_9_0"/>
      <w:bookmarkStart w:id="738" w:name="Tc_L1a2YrOjxEy1in3u2mzJmA_8_0"/>
      <w:bookmarkStart w:id="739" w:name="Tc_5zxlRPFGdEmNtOzWl8lpmQ_7_0"/>
      <w:bookmarkStart w:id="740" w:name="Tc_KHl1ZG3op0-eaibD04eYDQ_6_0"/>
      <w:bookmarkStart w:id="741" w:name="Tc_QKTGTRifmUCHUnbvCuejWA_5_2"/>
      <w:bookmarkStart w:id="742" w:name="Tc_-H91BKlTTkmA8l0X24IXcg_5_0"/>
      <w:bookmarkStart w:id="743" w:name="Tc_JsI8S_R4MUmo19fXVnlcXA_4_0"/>
      <w:bookmarkStart w:id="744" w:name="Tc_dyG8SxB7MUiu98Pr6jOu_A_3_2"/>
      <w:bookmarkStart w:id="745" w:name="Tc_6K2Y_Y86qEeGFOlrKXGW4A_2_2"/>
      <w:bookmarkStart w:id="746" w:name="Tc_rcWQ2YiON0KWoiGM0yUTWQ_1_2"/>
      <w:bookmarkStart w:id="747" w:name="_1fd4a941_bd52_4d76_83bf_32230f775db3"/>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r>
        <w:rPr>
          <w:rFonts w:ascii="Times New Roman;Times;serif" w:hAnsi="Times New Roman;Times;serif"/>
          <w:sz w:val="20"/>
        </w:rPr>
        <w:t>The following table sets forth the fair values of the assets acquired and liabilities assumed in connection with the Red Trail Purchase Agreement (in thousands):</w:t>
      </w:r>
    </w:p>
    <w:tbl>
      <w:tblPr>
        <w:tblW w:w="5480" w:type="dxa"/>
        <w:jc w:val="left"/>
        <w:tblInd w:w="0" w:type="dxa"/>
        <w:tblLayout w:type="fixed"/>
        <w:tblCellMar>
          <w:top w:w="0" w:type="dxa"/>
          <w:left w:w="0" w:type="dxa"/>
          <w:bottom w:w="0" w:type="dxa"/>
          <w:right w:w="0" w:type="dxa"/>
        </w:tblCellMar>
      </w:tblPr>
      <w:tblGrid>
        <w:gridCol w:w="3721"/>
        <w:gridCol w:w="109"/>
        <w:gridCol w:w="317"/>
        <w:gridCol w:w="1333"/>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362835" cy="175260"/>
                      <wp:effectExtent l="0" t="0" r="0" b="0"/>
                      <wp:wrapNone/>
                      <wp:docPr id="84" name="Frame84"/>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9215" cy="175260"/>
                      <wp:effectExtent l="0" t="0" r="0" b="0"/>
                      <wp:wrapNone/>
                      <wp:docPr id="85" name="Frame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1295" cy="175260"/>
                      <wp:effectExtent l="0" t="0" r="0" b="0"/>
                      <wp:wrapNone/>
                      <wp:docPr id="86" name="Frame86"/>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846455" cy="175260"/>
                      <wp:effectExtent l="0" t="0" r="0" b="0"/>
                      <wp:wrapNone/>
                      <wp:docPr id="87" name="Frame87"/>
                      <a:graphic xmlns:a="http://schemas.openxmlformats.org/drawingml/2006/main">
                        <a:graphicData uri="http://schemas.microsoft.com/office/word/2010/wordprocessingShape">
                          <wps:wsp>
                            <wps:cNvSpPr txBox="1"/>
                            <wps:spPr>
                              <a:xfrm>
                                <a:off x="0" y="0"/>
                                <a:ext cx="846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5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Red Trail</w:t>
            </w:r>
          </w:p>
        </w:tc>
      </w:tr>
      <w:tr>
        <w:trPr/>
        <w:tc>
          <w:tcPr>
            <w:tcW w:w="37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5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Purchase Agreement</w:t>
            </w:r>
          </w:p>
        </w:tc>
      </w:tr>
      <w:tr>
        <w:trPr/>
        <w:tc>
          <w:tcPr>
            <w:tcW w:w="37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pPr>
            <w:r>
              <w:rPr/>
              <w:t>​</w:t>
            </w:r>
          </w:p>
        </w:tc>
        <w:tc>
          <w:tcPr>
            <w:tcW w:w="1333" w:type="dxa"/>
            <w:tcBorders/>
            <w:shd w:fill="CCEEFF" w:val="clear"/>
            <w:vAlign w:val="center"/>
          </w:tcPr>
          <w:p>
            <w:pPr>
              <w:pStyle w:val="TableContents"/>
              <w:bidi w:val="0"/>
              <w:spacing w:before="0" w:after="1"/>
              <w:ind w:left="0" w:right="0" w:hanging="0"/>
              <w:jc w:val="left"/>
              <w:rPr/>
            </w:pPr>
            <w:r>
              <w:rPr/>
              <w:t>​</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accounts receivable</w:t>
            </w:r>
          </w:p>
        </w:tc>
        <w:tc>
          <w:tcPr>
            <w:tcW w:w="109"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4,970</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pPr>
            <w:r>
              <w:rPr/>
              <w:t>​</w:t>
            </w:r>
          </w:p>
        </w:tc>
        <w:tc>
          <w:tcPr>
            <w:tcW w:w="13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11,558</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109" w:type="dxa"/>
            <w:tcBorders/>
            <w:vAlign w:val="center"/>
          </w:tcPr>
          <w:p>
            <w:pPr>
              <w:pStyle w:val="TableContents"/>
              <w:bidi w:val="0"/>
              <w:spacing w:before="0" w:after="1"/>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pPr>
            <w:r>
              <w:rPr/>
              <w:t>​</w:t>
            </w:r>
          </w:p>
        </w:tc>
        <w:tc>
          <w:tcPr>
            <w:tcW w:w="13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16,740</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plant and equipment</w:t>
            </w:r>
          </w:p>
        </w:tc>
        <w:tc>
          <w:tcPr>
            <w:tcW w:w="109"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w:t>
            </w:r>
          </w:p>
        </w:tc>
        <w:tc>
          <w:tcPr>
            <w:tcW w:w="13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110,841</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pPr>
            <w:r>
              <w:rPr/>
              <w:t>​</w:t>
            </w:r>
          </w:p>
        </w:tc>
        <w:tc>
          <w:tcPr>
            <w:tcW w:w="13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46,300</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109"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w:t>
            </w:r>
          </w:p>
        </w:tc>
        <w:tc>
          <w:tcPr>
            <w:tcW w:w="13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39,767</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 use assets (operating and finance)</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pPr>
            <w:r>
              <w:rPr/>
              <w:t>​</w:t>
            </w:r>
          </w:p>
        </w:tc>
        <w:tc>
          <w:tcPr>
            <w:tcW w:w="13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1,359</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09" w:type="dxa"/>
            <w:tcBorders/>
            <w:vAlign w:val="center"/>
          </w:tcPr>
          <w:p>
            <w:pPr>
              <w:pStyle w:val="TableContents"/>
              <w:bidi w:val="0"/>
              <w:spacing w:before="0" w:after="1"/>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 acquired</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215,047</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109"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w:t>
            </w:r>
          </w:p>
        </w:tc>
        <w:tc>
          <w:tcPr>
            <w:tcW w:w="1333" w:type="dxa"/>
            <w:tcBorders/>
            <w:vAlign w:val="center"/>
          </w:tcPr>
          <w:p>
            <w:pPr>
              <w:pStyle w:val="TableContents"/>
              <w:bidi w:val="0"/>
              <w:spacing w:before="0" w:after="1"/>
              <w:ind w:left="0" w:right="0" w:hanging="0"/>
              <w:jc w:val="left"/>
              <w:rPr/>
            </w:pPr>
            <w:r>
              <w:rPr/>
              <w:t>​</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pPr>
            <w:r>
              <w:rPr/>
              <w:t>​</w:t>
            </w:r>
          </w:p>
        </w:tc>
        <w:tc>
          <w:tcPr>
            <w:tcW w:w="13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1,678</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liabilities (operating and finance)</w:t>
            </w:r>
          </w:p>
        </w:tc>
        <w:tc>
          <w:tcPr>
            <w:tcW w:w="109"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w:t>
            </w:r>
          </w:p>
        </w:tc>
        <w:tc>
          <w:tcPr>
            <w:tcW w:w="13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668</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109"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w:t>
            </w:r>
          </w:p>
        </w:tc>
        <w:tc>
          <w:tcPr>
            <w:tcW w:w="13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2,661</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liabilities (operating and finance)</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pPr>
            <w:r>
              <w:rPr/>
              <w:t>​</w:t>
            </w:r>
          </w:p>
        </w:tc>
        <w:tc>
          <w:tcPr>
            <w:tcW w:w="13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1,044</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 retirement obligation</w:t>
            </w:r>
          </w:p>
        </w:tc>
        <w:tc>
          <w:tcPr>
            <w:tcW w:w="109" w:type="dxa"/>
            <w:tcBorders/>
            <w:vAlign w:val="center"/>
          </w:tcPr>
          <w:p>
            <w:pPr>
              <w:pStyle w:val="TableContents"/>
              <w:bidi w:val="0"/>
              <w:spacing w:before="0" w:after="1"/>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1,018</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assumed</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4,723</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 acquired and liabilities assumed</w:t>
            </w:r>
          </w:p>
        </w:tc>
        <w:tc>
          <w:tcPr>
            <w:tcW w:w="109" w:type="dxa"/>
            <w:tcBorders/>
            <w:vAlign w:val="center"/>
          </w:tcPr>
          <w:p>
            <w:pPr>
              <w:pStyle w:val="TableContents"/>
              <w:bidi w:val="0"/>
              <w:spacing w:before="0" w:after="1"/>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33"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210,324</w:t>
            </w:r>
          </w:p>
        </w:tc>
      </w:tr>
    </w:tbl>
    <w:p>
      <w:pPr>
        <w:pStyle w:val="TextBody"/>
        <w:bidi w:val="0"/>
        <w:spacing w:before="0" w:after="0"/>
        <w:ind w:left="0" w:right="0" w:hanging="0"/>
        <w:jc w:val="left"/>
        <w:rPr/>
      </w:pPr>
      <w:r>
        <w:rPr/>
        <w:t>​</w:t>
      </w:r>
    </w:p>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sz w:val="20"/>
        </w:rPr>
        <w:t xml:space="preserve">The purchase price allocation is preliminary and subject to change during the measurement period, which is not to exceed one year from the Closing Date. When the valuation is final, changes to the valuation of acquired assets and liabilities could result in adjustments to identified intangibles and goodwill. </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Fair Value of Net Assets Acquired and Intangibles</w:t>
      </w:r>
    </w:p>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sz w:val="20"/>
        </w:rPr>
        <w:t>The assets and liabilities were recorded at their respective fair values as of the Closing Date. The Company marked the inventory to fair value based on the market prices adjusted for various factors. The property, plant and equipment assets were valued using the cost and market approaches as of the acquisition date. The Company developed the fair value of the customer-related intangible assets using the multi-period excess earnings method. For all other major assets and liabilities acquired, the Company determined that book value approximated fair value. Goodwill represents the future economic benefits that the Company expects to achieve as a result of the acquisition of the human capital and assets acquired. The goodwill resulting from this acquisition is expected to be deductible for tax purposes. The fair value of net assets acquired, intangibles, and goodwill, were assigned to the Company’s GevoND segment.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intangible assets acquired in the Red Trail Purchase Agreement (in thousands):</w:t>
      </w:r>
    </w:p>
    <w:tbl>
      <w:tblPr>
        <w:tblW w:w="5095" w:type="dxa"/>
        <w:jc w:val="left"/>
        <w:tblInd w:w="0" w:type="dxa"/>
        <w:tblLayout w:type="fixed"/>
        <w:tblCellMar>
          <w:top w:w="0" w:type="dxa"/>
          <w:left w:w="0" w:type="dxa"/>
          <w:bottom w:w="0" w:type="dxa"/>
          <w:right w:w="0" w:type="dxa"/>
        </w:tblCellMar>
      </w:tblPr>
      <w:tblGrid>
        <w:gridCol w:w="2401"/>
        <w:gridCol w:w="109"/>
        <w:gridCol w:w="381"/>
        <w:gridCol w:w="1224"/>
        <w:gridCol w:w="109"/>
        <w:gridCol w:w="871"/>
      </w:tblGrid>
      <w:tr>
        <w:trPr/>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524635" cy="175260"/>
                      <wp:effectExtent l="0" t="0" r="0" b="0"/>
                      <wp:wrapNone/>
                      <wp:docPr id="88" name="Frame88"/>
                      <a:graphic xmlns:a="http://schemas.openxmlformats.org/drawingml/2006/main">
                        <a:graphicData uri="http://schemas.microsoft.com/office/word/2010/wordprocessingShape">
                          <wps:wsp>
                            <wps:cNvSpPr txBox="1"/>
                            <wps:spPr>
                              <a:xfrm>
                                <a:off x="0" y="0"/>
                                <a:ext cx="1524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9215" cy="175260"/>
                      <wp:effectExtent l="0" t="0" r="0" b="0"/>
                      <wp:wrapNone/>
                      <wp:docPr id="89" name="Frame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41935" cy="175260"/>
                      <wp:effectExtent l="0" t="0" r="0" b="0"/>
                      <wp:wrapNone/>
                      <wp:docPr id="90" name="Frame90"/>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777240" cy="175260"/>
                      <wp:effectExtent l="0" t="0" r="0" b="0"/>
                      <wp:wrapNone/>
                      <wp:docPr id="91" name="Frame91"/>
                      <a:graphic xmlns:a="http://schemas.openxmlformats.org/drawingml/2006/main">
                        <a:graphicData uri="http://schemas.microsoft.com/office/word/2010/wordprocessingShape">
                          <wps:wsp>
                            <wps:cNvSpPr txBox="1"/>
                            <wps:spPr>
                              <a:xfrm>
                                <a:off x="0" y="0"/>
                                <a:ext cx="777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9215" cy="175260"/>
                      <wp:effectExtent l="0" t="0" r="0" b="0"/>
                      <wp:wrapNone/>
                      <wp:docPr id="92" name="Frame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53085" cy="175260"/>
                      <wp:effectExtent l="0" t="0" r="0" b="0"/>
                      <wp:wrapNone/>
                      <wp:docPr id="93" name="Frame93"/>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Red Trail</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24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Purchase Agreement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w:t>
            </w:r>
          </w:p>
        </w:tc>
      </w:tr>
      <w:tr>
        <w:trPr/>
        <w:tc>
          <w:tcPr>
            <w:tcW w:w="24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09"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24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Customer-related intangible</w:t>
            </w:r>
          </w:p>
        </w:tc>
        <w:tc>
          <w:tcPr>
            <w:tcW w:w="109" w:type="dxa"/>
            <w:tcBorders/>
            <w:shd w:fill="CCEEFF" w:val="clear"/>
            <w:vAlign w:val="center"/>
          </w:tcPr>
          <w:p>
            <w:pPr>
              <w:pStyle w:val="TableContents"/>
              <w:bidi w:val="0"/>
              <w:spacing w:before="0" w:after="1"/>
              <w:ind w:left="0" w:right="0" w:hanging="0"/>
              <w:jc w:val="left"/>
              <w:rPr/>
            </w:pPr>
            <w:r>
              <w:rPr/>
              <w:t>​</w:t>
            </w:r>
          </w:p>
        </w:tc>
        <w:tc>
          <w:tcPr>
            <w:tcW w:w="3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46,300</w:t>
            </w:r>
          </w:p>
        </w:tc>
        <w:tc>
          <w:tcPr>
            <w:tcW w:w="109"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24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intangible assets</w:t>
            </w:r>
          </w:p>
        </w:tc>
        <w:tc>
          <w:tcPr>
            <w:tcW w:w="109" w:type="dxa"/>
            <w:tcBorders/>
            <w:vAlign w:val="center"/>
          </w:tcPr>
          <w:p>
            <w:pPr>
              <w:pStyle w:val="TableContents"/>
              <w:bidi w:val="0"/>
              <w:spacing w:before="0" w:after="1"/>
              <w:ind w:left="0" w:right="0" w:hanging="0"/>
              <w:jc w:val="left"/>
              <w:rPr/>
            </w:pPr>
            <w:r>
              <w:rPr/>
              <w:t>​</w:t>
            </w:r>
          </w:p>
        </w:tc>
        <w:tc>
          <w:tcPr>
            <w:tcW w:w="3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46,300</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both"/>
        <w:rPr>
          <w:rFonts w:ascii="Times New Roman;Times;serif" w:hAnsi="Times New Roman;Times;serif"/>
          <w:i/>
          <w:sz w:val="20"/>
        </w:rPr>
      </w:pPr>
      <w:bookmarkStart w:id="748" w:name="Tc_5Q0_ReX740WWnUgoWZdMyw_4_0"/>
      <w:bookmarkStart w:id="749" w:name="Tc_FLZIk-5goU-eQXqGVAcERg_3_11"/>
      <w:bookmarkStart w:id="750" w:name="Tc_9upNCB8YYU6yYIrXsp6yMQ_3_8"/>
      <w:bookmarkStart w:id="751" w:name="Tc_cXiXlSh4Y0WzU5CrLUW_cQ_3_5"/>
      <w:bookmarkStart w:id="752" w:name="Tc_jPZnRGrPR0WPMTZPsNc0Zw_3_2"/>
      <w:bookmarkStart w:id="753" w:name="Tc_U9n3ktZTh0uYzT3P1S2dvA_3_0"/>
      <w:bookmarkStart w:id="754" w:name="Tc_AYu-qxdnIEecudkuvBOrOQ_2_11"/>
      <w:bookmarkStart w:id="755" w:name="Tc_7UNzzKMRe0WqlsLPHfR4Yw_2_8"/>
      <w:bookmarkStart w:id="756" w:name="Tc_i7lf-S-0eUCAOHU0eRoL3A_2_5"/>
      <w:bookmarkStart w:id="757" w:name="Tc_MV5JeRr0_U-dqYhrT9sbvA_2_2"/>
      <w:bookmarkStart w:id="758" w:name="Tc_A_yAkAYx3Eu6ktq5SaWT9g_1_8"/>
      <w:bookmarkStart w:id="759" w:name="Tc_tMdEMFWiAk6SKmuQn3ZYcg_1_2"/>
      <w:bookmarkEnd w:id="748"/>
      <w:bookmarkEnd w:id="749"/>
      <w:bookmarkEnd w:id="750"/>
      <w:bookmarkEnd w:id="751"/>
      <w:bookmarkEnd w:id="752"/>
      <w:bookmarkEnd w:id="753"/>
      <w:bookmarkEnd w:id="754"/>
      <w:bookmarkEnd w:id="755"/>
      <w:bookmarkEnd w:id="756"/>
      <w:bookmarkEnd w:id="757"/>
      <w:bookmarkEnd w:id="758"/>
      <w:bookmarkEnd w:id="759"/>
      <w:r>
        <w:rPr>
          <w:rFonts w:ascii="Times New Roman;Times;serif" w:hAnsi="Times New Roman;Times;serif"/>
          <w:i/>
          <w:sz w:val="20"/>
        </w:rPr>
        <w:t>Pro Forma Financial Information</w:t>
      </w:r>
    </w:p>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sz w:val="20"/>
        </w:rPr>
        <w:t>The pro forma financial information (in thousands) presented in the following table was computed by combining the historical financial information of Gevo along with the effects from business combination accounting and the associated debt resulting from this acquisition as if the companies were combined on January 1, 2024. This information is presented for informational purposes only and is not necessarily indicative of the operating results that would have occurred if the acquisition had been consummated as of that date. This information should not be used as a predictive measure of our future financial position, results of operations, or liquidity.</w:t>
      </w:r>
    </w:p>
    <w:p>
      <w:pPr>
        <w:pStyle w:val="TextBody"/>
        <w:bidi w:val="0"/>
        <w:spacing w:before="0" w:after="0"/>
        <w:ind w:left="0" w:right="0" w:hanging="0"/>
        <w:jc w:val="left"/>
        <w:rPr/>
      </w:pPr>
      <w:r>
        <w:rPr/>
        <w:t>​</w:t>
      </w:r>
    </w:p>
    <w:tbl>
      <w:tblPr>
        <w:tblW w:w="7274" w:type="dxa"/>
        <w:jc w:val="left"/>
        <w:tblInd w:w="0" w:type="dxa"/>
        <w:tblLayout w:type="fixed"/>
        <w:tblCellMar>
          <w:top w:w="0" w:type="dxa"/>
          <w:left w:w="0" w:type="dxa"/>
          <w:bottom w:w="0" w:type="dxa"/>
          <w:right w:w="0" w:type="dxa"/>
        </w:tblCellMar>
      </w:tblPr>
      <w:tblGrid>
        <w:gridCol w:w="2146"/>
        <w:gridCol w:w="326"/>
        <w:gridCol w:w="219"/>
        <w:gridCol w:w="703"/>
        <w:gridCol w:w="339"/>
        <w:gridCol w:w="219"/>
        <w:gridCol w:w="828"/>
        <w:gridCol w:w="326"/>
        <w:gridCol w:w="211"/>
        <w:gridCol w:w="796"/>
        <w:gridCol w:w="109"/>
        <w:gridCol w:w="211"/>
        <w:gridCol w:w="841"/>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62710" cy="175260"/>
                      <wp:effectExtent l="0" t="0" r="0" b="0"/>
                      <wp:wrapNone/>
                      <wp:docPr id="94" name="Frame94"/>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9065" cy="175260"/>
                      <wp:effectExtent l="0" t="0" r="0" b="0"/>
                      <wp:wrapNone/>
                      <wp:docPr id="96" name="Frame96"/>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446405" cy="175260"/>
                      <wp:effectExtent l="0" t="0" r="0" b="0"/>
                      <wp:wrapNone/>
                      <wp:docPr id="97" name="Frame97"/>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5265" cy="175260"/>
                      <wp:effectExtent l="0" t="0" r="0" b="0"/>
                      <wp:wrapNone/>
                      <wp:docPr id="98" name="Frame98"/>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9065" cy="175260"/>
                      <wp:effectExtent l="0" t="0" r="0" b="0"/>
                      <wp:wrapNone/>
                      <wp:docPr id="99" name="Frame99"/>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25780" cy="175260"/>
                      <wp:effectExtent l="0" t="0" r="0" b="0"/>
                      <wp:wrapNone/>
                      <wp:docPr id="100" name="Frame100"/>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505460" cy="175260"/>
                      <wp:effectExtent l="0" t="0" r="0" b="0"/>
                      <wp:wrapNone/>
                      <wp:docPr id="103" name="Frame10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9215" cy="175260"/>
                      <wp:effectExtent l="0" t="0" r="0" b="0"/>
                      <wp:wrapNone/>
                      <wp:docPr id="104" name="Frame1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3985" cy="175260"/>
                      <wp:effectExtent l="0" t="0" r="0" b="0"/>
                      <wp:wrapNone/>
                      <wp:docPr id="105" name="Frame1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34035" cy="175260"/>
                      <wp:effectExtent l="0" t="0" r="0" b="0"/>
                      <wp:wrapNone/>
                      <wp:docPr id="106" name="Frame10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30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1"/>
              <w:ind w:left="0" w:right="0" w:hanging="0"/>
              <w:jc w:val="center"/>
              <w:rPr/>
            </w:pPr>
            <w:r>
              <w:rPr/>
              <w:t>    </w:t>
            </w:r>
          </w:p>
        </w:tc>
        <w:tc>
          <w:tcPr>
            <w:tcW w:w="216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14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39" w:type="dxa"/>
            <w:tcBorders/>
            <w:vAlign w:val="center"/>
          </w:tcPr>
          <w:p>
            <w:pPr>
              <w:pStyle w:val="TableContents"/>
              <w:bidi w:val="0"/>
              <w:spacing w:before="0" w:after="1"/>
              <w:ind w:left="0" w:right="0" w:hanging="0"/>
              <w:jc w:val="center"/>
              <w:rPr/>
            </w:pPr>
            <w:r>
              <w:rPr/>
              <w:t>    </w:t>
            </w:r>
          </w:p>
        </w:tc>
        <w:tc>
          <w:tcPr>
            <w:tcW w:w="10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43,413</w:t>
            </w:r>
          </w:p>
        </w:tc>
        <w:tc>
          <w:tcPr>
            <w:tcW w:w="339"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39,838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87,061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77,863</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7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2,729</w:t>
            </w:r>
          </w:p>
        </w:tc>
        <w:tc>
          <w:tcPr>
            <w:tcW w:w="339"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(17,197)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(13,407)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(42,030)</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tbl>
      <w:tblPr>
        <w:tblW w:w="3257" w:type="dxa"/>
        <w:jc w:val="left"/>
        <w:tblInd w:w="0" w:type="dxa"/>
        <w:tblLayout w:type="fixed"/>
        <w:tblCellMar>
          <w:top w:w="0" w:type="dxa"/>
          <w:left w:w="0" w:type="dxa"/>
          <w:bottom w:w="0" w:type="dxa"/>
          <w:right w:w="0" w:type="dxa"/>
        </w:tblCellMar>
      </w:tblPr>
      <w:tblGrid>
        <w:gridCol w:w="271"/>
        <w:gridCol w:w="2986"/>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298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Tax Credit Recognition and Sales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U.S. federal government has introduced tax incentives to promote the production of low-carbon fuels and reduce greenhouse gas (GHG) emissions, enhance energy security, and support the rural agricultural economy. Effective January 1, 2025, the Inflation Reduction Act of 2022 (IRA) replaces Section 6426 with Section 45Z of the Internal Revenue Code, providing a clean fuel production credit for the years 2025 through 2027. This was further updated and extended on July 4, 2025, under the "One Big Beautiful Bill Act," (“OBBBA”) extending the credit through 2029. Producers of liquid transportation fuels, including SAF, are eligible to qualify for up to $1 per gallon, while producers of RNG could claim an amount exceeding $1 per gallon for significant CI reductions, with the credit amount indexed annually for inflation.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recognizes tax credits associated with the U.S. federal clean fuel production incentives under Section 45Z of the Internal Revenue Code in accordance with IAS 20 - Accounting for Government Grants and Disclosure of Government Assistance. In accordance with IAS 20, the tax incentive is recognized when it is probable that the Company will comply with the provisions of the incentive and that the incentive will be earned. These credits are recognized in “Intangible assets, net” on the Company’s Condensed Consolidated Balance Sheets and as a reduction to cost of goods sold (“COGS”) in the Condensed Consolidated Statements of Operations, reflecting their role in offsetting the production costs of low-carbon fuels.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GevoND and RNG production facilities are eligible for these federal tax credits, which became probable of being earned during the six months ended June 30, 2025. For the six months ended June 30, 2025, the Company recognized $21.5 million on Section 45Z tax credits, which were recorded as a reduction to COGS and a nonmonetary asset recorded within intangible assets. The Company intends to monetize these tax credits through sale of such credits to third parties.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June 30, 2025, Gevo Intermediate HoldCo, LLC (“HoldCo”), a wholly owned subsidiary of Gevo, entered into a Tax Credit Transfer Agreement (the “Transfer Agreement”) with a transferee bank, under which HoldCo agreed to supply Clean Fuel Production Credits to the bank from the production of ethanol between January 31, 2025, and December 31, 2025, from its GevoND operation. Under the Transfer Agreement, HoldCo expects to deliver $21.5 million worth of credits to the bank between June 30, 2025, and December 10, 2025, upon satisfaction of certain conditions precedent on each Transfer Date, as defined in the Transfer Agreement, with an initial $4.7 million worth of credits transferred at the time of execution of the Transfer Agreement. The initial $4.7 million of credits are recorded in Prepaid expenses and other current assets and Other long-term liabilities on the Condensed Consolidated Balance Sheets at June 30, 2025. The bank was granted two additional rights: (i) a right of first offer for up to $20 million of additional credits for the 2025 production year, and (ii) a right of first refusal to purchase all 2026 credits at the same price and on substantially the same terms as those set forth in the Transfer Agreement. Under the agreement, if the Company fails to transfer at least 90% of the credits on any Transfer Date, the Company must pay an under-delivery fee to the bank calculated as $0.05 per PTC for the difference between 90% of the max credits and the actual number of tax credits transferred.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ind w:left="0" w:right="0" w:hanging="0"/>
        <w:jc w:val="left"/>
        <w:rPr>
          <w:sz w:val="4"/>
          <w:szCs w:val="4"/>
        </w:rPr>
      </w:pPr>
      <w:r>
        <w:rPr>
          <w:sz w:val="4"/>
          <w:szCs w:val="4"/>
        </w:rPr>
      </w:r>
      <w:bookmarkStart w:id="760" w:name="Tc_cUmigIFUdEyCWj4hZaZt5w_9_11"/>
      <w:bookmarkStart w:id="761" w:name="Tc_xxnBTjq0mUinYo5yQxKajA_9_8"/>
      <w:bookmarkStart w:id="762" w:name="Tc_wpO1Qkrdp0ax4RPkagZDFg_9_5"/>
      <w:bookmarkStart w:id="763" w:name="Tc_Bz35KSmMvki9r-ctJFlY-g_9_2"/>
      <w:bookmarkStart w:id="764" w:name="Tc_9AutkA0RiUCPxf85tfBz9w_9_0"/>
      <w:bookmarkStart w:id="765" w:name="Tc_CBJp87VOOkyjm4VJdPLmtw_8_0"/>
      <w:bookmarkStart w:id="766" w:name="Tc_xOi2JnzHCkeBz8kKSv-1Cw_7_0"/>
      <w:bookmarkStart w:id="767" w:name="Tc_LoK8g0k2I0KHKG-7IPUVwQ_6_0"/>
      <w:bookmarkStart w:id="768" w:name="Tc_pOWywhoft0uuez9Ksmy6cw_5_0"/>
      <w:bookmarkStart w:id="769" w:name="Tc_hjm6fJzeSEKC-q-dX-k9mQ_4_12"/>
      <w:bookmarkStart w:id="770" w:name="Tc_41UgQ2cTREmrPFK4t1Oiyw_4_6"/>
      <w:bookmarkStart w:id="771" w:name="Tc_PhOdbqsYUEC0fLkqz43pHw_4_0"/>
      <w:bookmarkStart w:id="772" w:name="Tc_1zXKRQ6tKk6a9YPr6NXcGQ_3_12"/>
      <w:bookmarkStart w:id="773" w:name="Tc_OYwN5KvirECGBjaHYmmg7g_3_11"/>
      <w:bookmarkStart w:id="774" w:name="Tc_jl9oi_XLR0-pL48idtL4AA_3_8"/>
      <w:bookmarkStart w:id="775" w:name="Tc_u0DT1Hd0aECwuusY05Q9zA_3_6"/>
      <w:bookmarkStart w:id="776" w:name="Tc_ZeG2U6v7F0SUj3hUzqqBcA_3_5"/>
      <w:bookmarkStart w:id="777" w:name="Tc_xH7NsfagFkeJDXaqh9IvPw_3_2"/>
      <w:bookmarkStart w:id="778" w:name="Tc_1myc2JF7sUGZrhslMTuAMw_3_0"/>
      <w:bookmarkStart w:id="779" w:name="Tc_Dogvt5P2tE6o_gwLU4PhYA_2_11"/>
      <w:bookmarkStart w:id="780" w:name="Tc_5-Jn55YKCUyuFkpV8eQQJg_2_8"/>
      <w:bookmarkStart w:id="781" w:name="Tc_dt7B3JaOUkm-U5B0dECcug_2_5"/>
      <w:bookmarkStart w:id="782" w:name="Tc_XhLwZrr1qUSwZpA2T45_qg_2_2"/>
      <w:bookmarkStart w:id="783" w:name="Tc_XKmO-ZnXjkK4F6XBILbDrA_2_0"/>
      <w:bookmarkStart w:id="784" w:name="Tc_NaLq1TVEg0uzPwyCB71Jrw_1_8"/>
      <w:bookmarkStart w:id="785" w:name="Tc_RqyXcFTJ7kCJko7XvE-_6g_1_2"/>
      <w:bookmarkStart w:id="786" w:name="_14deeea8_748c_4709_bb39_2e84d7f8d00f"/>
      <w:bookmarkStart w:id="787" w:name="Tc_cUmigIFUdEyCWj4hZaZt5w_9_11"/>
      <w:bookmarkStart w:id="788" w:name="Tc_xxnBTjq0mUinYo5yQxKajA_9_8"/>
      <w:bookmarkStart w:id="789" w:name="Tc_wpO1Qkrdp0ax4RPkagZDFg_9_5"/>
      <w:bookmarkStart w:id="790" w:name="Tc_Bz35KSmMvki9r-ctJFlY-g_9_2"/>
      <w:bookmarkStart w:id="791" w:name="Tc_9AutkA0RiUCPxf85tfBz9w_9_0"/>
      <w:bookmarkStart w:id="792" w:name="Tc_CBJp87VOOkyjm4VJdPLmtw_8_0"/>
      <w:bookmarkStart w:id="793" w:name="Tc_xOi2JnzHCkeBz8kKSv-1Cw_7_0"/>
      <w:bookmarkStart w:id="794" w:name="Tc_LoK8g0k2I0KHKG-7IPUVwQ_6_0"/>
      <w:bookmarkStart w:id="795" w:name="Tc_pOWywhoft0uuez9Ksmy6cw_5_0"/>
      <w:bookmarkStart w:id="796" w:name="Tc_hjm6fJzeSEKC-q-dX-k9mQ_4_12"/>
      <w:bookmarkStart w:id="797" w:name="Tc_41UgQ2cTREmrPFK4t1Oiyw_4_6"/>
      <w:bookmarkStart w:id="798" w:name="Tc_PhOdbqsYUEC0fLkqz43pHw_4_0"/>
      <w:bookmarkStart w:id="799" w:name="Tc_1zXKRQ6tKk6a9YPr6NXcGQ_3_12"/>
      <w:bookmarkStart w:id="800" w:name="Tc_OYwN5KvirECGBjaHYmmg7g_3_11"/>
      <w:bookmarkStart w:id="801" w:name="Tc_jl9oi_XLR0-pL48idtL4AA_3_8"/>
      <w:bookmarkStart w:id="802" w:name="Tc_u0DT1Hd0aECwuusY05Q9zA_3_6"/>
      <w:bookmarkStart w:id="803" w:name="Tc_ZeG2U6v7F0SUj3hUzqqBcA_3_5"/>
      <w:bookmarkStart w:id="804" w:name="Tc_xH7NsfagFkeJDXaqh9IvPw_3_2"/>
      <w:bookmarkStart w:id="805" w:name="Tc_1myc2JF7sUGZrhslMTuAMw_3_0"/>
      <w:bookmarkStart w:id="806" w:name="Tc_Dogvt5P2tE6o_gwLU4PhYA_2_11"/>
      <w:bookmarkStart w:id="807" w:name="Tc_5-Jn55YKCUyuFkpV8eQQJg_2_8"/>
      <w:bookmarkStart w:id="808" w:name="Tc_dt7B3JaOUkm-U5B0dECcug_2_5"/>
      <w:bookmarkStart w:id="809" w:name="Tc_XhLwZrr1qUSwZpA2T45_qg_2_2"/>
      <w:bookmarkStart w:id="810" w:name="Tc_XKmO-ZnXjkK4F6XBILbDrA_2_0"/>
      <w:bookmarkStart w:id="811" w:name="Tc_NaLq1TVEg0uzPwyCB71Jrw_1_8"/>
      <w:bookmarkStart w:id="812" w:name="Tc_RqyXcFTJ7kCJko7XvE-_6g_1_2"/>
      <w:bookmarkStart w:id="813" w:name="_14deeea8_748c_4709_bb39_2e84d7f8d00f"/>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p>
    <w:tbl>
      <w:tblPr>
        <w:tblW w:w="5567" w:type="dxa"/>
        <w:jc w:val="left"/>
        <w:tblInd w:w="0" w:type="dxa"/>
        <w:tblLayout w:type="fixed"/>
        <w:tblCellMar>
          <w:top w:w="0" w:type="dxa"/>
          <w:left w:w="0" w:type="dxa"/>
          <w:bottom w:w="0" w:type="dxa"/>
          <w:right w:w="0" w:type="dxa"/>
        </w:tblCellMar>
      </w:tblPr>
      <w:tblGrid>
        <w:gridCol w:w="271"/>
        <w:gridCol w:w="5296"/>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4.</w:t>
            </w:r>
          </w:p>
        </w:tc>
        <w:tc>
          <w:tcPr>
            <w:tcW w:w="529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Revenues from Contracts with Customers and Other Revenue</w:t>
            </w:r>
          </w:p>
        </w:tc>
      </w:tr>
    </w:tbl>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Ethanol and Related Products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recognizes revenue from sales of ethanol and co-products at the point in time when the performance obligations in the Company's contracts with customers are met, which is when the customer obtains control of such products and typically occurs upon shipment (depending on the terms of the underlying contracts). Revenue is measured as the amount of consideration expected to be received in exchange for transferring goods or providing services. In some instances, the Company enters into contracts with customers that contain multiple performance obligations to deliver specified volumes of co-products over a contractual period of less than 12 months. In such instances, the Company allocates the transaction price to each performance obligation identified in the contract based on relative standalone selling prices and recognizes the related revenue when control of each individual product is transferred to the customer in satisfaction of the corresponding performance obligation.</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RNG and Environmental Attribute 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Company’s recognized revenue from the sale of RNG and related environmental attributes are produced at the NW Iowa RNG facility under long-term contracts with customers. Revenue is recognized at a point in time when the Company transfers the product to its customer. The customer obtains control of the product upon RNG delivery into the gas pipeline system, whereas the title and control for the environmental attributes are transferred to the customer subsequent to the issuance of such attributes by the relevant regulatory agency. The Company generally has multiple performance obligations in our arrangements with customers. The Company’s performance obligation related to the sales of RNG and related environmental attributes are satisfied at a point in time upon delivery to the customer. Revenue is measured as the amount of consideration the Company expects to receive in exchange for transferring its products. There is no variable consideration present in the Company’s performance obligations. Consideration for each transaction is based upon quoted market prices at the time of delivery. </w:t>
      </w:r>
      <w:r>
        <w:rPr>
          <w:rFonts w:ascii="Times New Roman;Times;serif" w:hAnsi="Times New Roman;Times;serif"/>
          <w:sz w:val="20"/>
          <w:shd w:fill="FFFFFF" w:val="clear"/>
        </w:rPr>
        <w:t>All material contracts have payment terms of between one to three months and there are no return or refund rights.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Other 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recorded limited revenues from </w:t>
      </w:r>
      <w:r>
        <w:rPr>
          <w:rFonts w:ascii="Times New Roman;Times;serif" w:hAnsi="Times New Roman;Times;serif"/>
          <w:sz w:val="20"/>
          <w:shd w:fill="FFFFFF" w:val="clear"/>
        </w:rPr>
        <w:t xml:space="preserve">the sale of isooctane and software services </w:t>
      </w:r>
      <w:r>
        <w:rPr>
          <w:rFonts w:ascii="Times New Roman;Times;serif" w:hAnsi="Times New Roman;Times;serif"/>
          <w:sz w:val="20"/>
        </w:rPr>
        <w:t xml:space="preserve">during the three and six months ended June 30, 2025 and 2024. </w:t>
      </w:r>
      <w:r>
        <w:rPr>
          <w:rFonts w:ascii="Times New Roman;Times;serif" w:hAnsi="Times New Roman;Times;serif"/>
          <w:sz w:val="20"/>
          <w:shd w:fill="FFFFFF" w:val="clear"/>
        </w:rPr>
        <w:t>The isooctane was sold on a free-on-board shipping point basis (recognized at a point in time), were independent transactions, did not provide post-sale support or promises to deliver future goods, and were single performance obligations</w:t>
      </w:r>
      <w:r>
        <w:rPr>
          <w:rFonts w:ascii="Times New Roman;Times;serif" w:hAnsi="Times New Roman;Times;serif"/>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displays the Company’s revenue by major source based on product type (in thousands):</w:t>
      </w:r>
    </w:p>
    <w:tbl>
      <w:tblPr>
        <w:tblW w:w="7979" w:type="dxa"/>
        <w:jc w:val="left"/>
        <w:tblInd w:w="0" w:type="dxa"/>
        <w:tblLayout w:type="fixed"/>
        <w:tblCellMar>
          <w:top w:w="0" w:type="dxa"/>
          <w:left w:w="0" w:type="dxa"/>
          <w:bottom w:w="0" w:type="dxa"/>
          <w:right w:w="0" w:type="dxa"/>
        </w:tblCellMar>
      </w:tblPr>
      <w:tblGrid>
        <w:gridCol w:w="3076"/>
        <w:gridCol w:w="326"/>
        <w:gridCol w:w="244"/>
        <w:gridCol w:w="783"/>
        <w:gridCol w:w="377"/>
        <w:gridCol w:w="244"/>
        <w:gridCol w:w="661"/>
        <w:gridCol w:w="109"/>
        <w:gridCol w:w="217"/>
        <w:gridCol w:w="695"/>
        <w:gridCol w:w="335"/>
        <w:gridCol w:w="217"/>
        <w:gridCol w:w="695"/>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953260" cy="175260"/>
                      <wp:effectExtent l="0" t="0" r="0" b="0"/>
                      <wp:wrapNone/>
                      <wp:docPr id="107" name="Frame107"/>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54940" cy="175260"/>
                      <wp:effectExtent l="0" t="0" r="0" b="0"/>
                      <wp:wrapNone/>
                      <wp:docPr id="109" name="Frame109"/>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97205" cy="175260"/>
                      <wp:effectExtent l="0" t="0" r="0" b="0"/>
                      <wp:wrapNone/>
                      <wp:docPr id="110" name="Frame110"/>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39395" cy="175260"/>
                      <wp:effectExtent l="0" t="0" r="0" b="0"/>
                      <wp:wrapNone/>
                      <wp:docPr id="111" name="Frame111"/>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54940" cy="175260"/>
                      <wp:effectExtent l="0" t="0" r="0" b="0"/>
                      <wp:wrapNone/>
                      <wp:docPr id="112" name="Frame112"/>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19735" cy="175260"/>
                      <wp:effectExtent l="0" t="0" r="0" b="0"/>
                      <wp:wrapNone/>
                      <wp:docPr id="113" name="Frame113"/>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9215" cy="175260"/>
                      <wp:effectExtent l="0" t="0" r="0" b="0"/>
                      <wp:wrapNone/>
                      <wp:docPr id="114" name="Frame1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7795" cy="175260"/>
                      <wp:effectExtent l="0" t="0" r="0" b="0"/>
                      <wp:wrapNone/>
                      <wp:docPr id="115" name="Frame115"/>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41325" cy="175260"/>
                      <wp:effectExtent l="0" t="0" r="0" b="0"/>
                      <wp:wrapNone/>
                      <wp:docPr id="116" name="Frame116"/>
                      <a:graphic xmlns:a="http://schemas.openxmlformats.org/drawingml/2006/main">
                        <a:graphicData uri="http://schemas.microsoft.com/office/word/2010/wordprocessingShape">
                          <wps:wsp>
                            <wps:cNvSpPr txBox="1"/>
                            <wps:spPr>
                              <a:xfrm>
                                <a:off x="0" y="0"/>
                                <a:ext cx="441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2725" cy="175260"/>
                      <wp:effectExtent l="0" t="0" r="0" b="0"/>
                      <wp:wrapNone/>
                      <wp:docPr id="117" name="Frame117"/>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7795" cy="175260"/>
                      <wp:effectExtent l="0" t="0" r="0" b="0"/>
                      <wp:wrapNone/>
                      <wp:docPr id="118" name="Frame118"/>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441325" cy="175260"/>
                      <wp:effectExtent l="0" t="0" r="0" b="0"/>
                      <wp:wrapNone/>
                      <wp:docPr id="119" name="Frame119"/>
                      <a:graphic xmlns:a="http://schemas.openxmlformats.org/drawingml/2006/main">
                        <a:graphicData uri="http://schemas.microsoft.com/office/word/2010/wordprocessingShape">
                          <wps:wsp>
                            <wps:cNvSpPr txBox="1"/>
                            <wps:spPr>
                              <a:xfrm>
                                <a:off x="0" y="0"/>
                                <a:ext cx="441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30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1"/>
              <w:ind w:left="0" w:right="0" w:hanging="0"/>
              <w:jc w:val="center"/>
              <w:rPr/>
            </w:pPr>
            <w:r>
              <w:rPr/>
              <w:t>​</w:t>
            </w:r>
          </w:p>
        </w:tc>
        <w:tc>
          <w:tcPr>
            <w:tcW w:w="215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0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Major Goods/Service Line</w:t>
            </w:r>
          </w:p>
        </w:tc>
        <w:tc>
          <w:tcPr>
            <w:tcW w:w="326" w:type="dxa"/>
            <w:tcBorders/>
            <w:vAlign w:val="center"/>
          </w:tcPr>
          <w:p>
            <w:pPr>
              <w:pStyle w:val="TableContents"/>
              <w:bidi w:val="0"/>
              <w:spacing w:before="0" w:after="1"/>
              <w:ind w:left="0" w:right="0" w:hanging="0"/>
              <w:jc w:val="center"/>
              <w:rPr/>
            </w:pPr>
            <w:r>
              <w:rPr/>
              <w:t>​</w:t>
            </w:r>
          </w:p>
        </w:tc>
        <w:tc>
          <w:tcPr>
            <w:tcW w:w="10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77" w:type="dxa"/>
            <w:tcBorders/>
            <w:vAlign w:val="center"/>
          </w:tcPr>
          <w:p>
            <w:pPr>
              <w:pStyle w:val="TableContents"/>
              <w:bidi w:val="0"/>
              <w:spacing w:before="0" w:after="1"/>
              <w:ind w:left="0" w:right="0" w:hanging="0"/>
              <w:jc w:val="center"/>
              <w:rPr/>
            </w:pPr>
            <w:r>
              <w:rPr/>
              <w:t>    </w:t>
            </w:r>
          </w:p>
        </w:tc>
        <w:tc>
          <w:tcPr>
            <w:tcW w:w="9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center"/>
              <w:rPr/>
            </w:pPr>
            <w:r>
              <w:rPr/>
              <w:t>​</w:t>
            </w:r>
          </w:p>
        </w:tc>
        <w:tc>
          <w:tcPr>
            <w:tcW w:w="9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35" w:type="dxa"/>
            <w:tcBorders/>
            <w:vAlign w:val="center"/>
          </w:tcPr>
          <w:p>
            <w:pPr>
              <w:pStyle w:val="TableContents"/>
              <w:bidi w:val="0"/>
              <w:spacing w:before="0" w:after="1"/>
              <w:ind w:left="0" w:right="0" w:hanging="0"/>
              <w:jc w:val="center"/>
              <w:rPr/>
            </w:pPr>
            <w:r>
              <w:rPr/>
              <w:t>    </w:t>
            </w:r>
          </w:p>
        </w:tc>
        <w:tc>
          <w:tcPr>
            <w:tcW w:w="9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Ethanol</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28,508</w:t>
            </w:r>
          </w:p>
        </w:tc>
        <w:tc>
          <w:tcPr>
            <w:tcW w:w="377"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45,753</w:t>
            </w:r>
          </w:p>
        </w:tc>
        <w:tc>
          <w:tcPr>
            <w:tcW w:w="335"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1"/>
              <w:ind w:left="0" w:right="0" w:hanging="0"/>
              <w:jc w:val="right"/>
              <w:rPr/>
            </w:pPr>
            <w:r>
              <w:rPr/>
              <w:t>—</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Ethanol related products</w:t>
            </w:r>
          </w:p>
        </w:tc>
        <w:tc>
          <w:tcPr>
            <w:tcW w:w="32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8,672</w:t>
            </w:r>
          </w:p>
        </w:tc>
        <w:tc>
          <w:tcPr>
            <w:tcW w:w="377"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6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14,241</w:t>
            </w:r>
          </w:p>
        </w:tc>
        <w:tc>
          <w:tcPr>
            <w:tcW w:w="335"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695" w:type="dxa"/>
            <w:tcBorders/>
            <w:vAlign w:val="center"/>
          </w:tcPr>
          <w:p>
            <w:pPr>
              <w:pStyle w:val="TableContents"/>
              <w:bidi w:val="0"/>
              <w:spacing w:before="0" w:after="1"/>
              <w:ind w:left="0" w:right="0" w:hanging="0"/>
              <w:jc w:val="right"/>
              <w:rPr/>
            </w:pPr>
            <w:r>
              <w:rPr/>
              <w:t>—</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Environmental attributes</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4,058</w:t>
            </w:r>
          </w:p>
        </w:tc>
        <w:tc>
          <w:tcPr>
            <w:tcW w:w="377"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4,182</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6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9,431</w:t>
            </w:r>
          </w:p>
        </w:tc>
        <w:tc>
          <w:tcPr>
            <w:tcW w:w="335"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6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7,953</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Renewable natural gas</w:t>
            </w:r>
          </w:p>
        </w:tc>
        <w:tc>
          <w:tcPr>
            <w:tcW w:w="32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w:t>
            </w:r>
          </w:p>
        </w:tc>
        <w:tc>
          <w:tcPr>
            <w:tcW w:w="377"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6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523</w:t>
            </w:r>
          </w:p>
        </w:tc>
        <w:tc>
          <w:tcPr>
            <w:tcW w:w="335"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6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Licensing and development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w:t>
            </w:r>
          </w:p>
        </w:tc>
        <w:tc>
          <w:tcPr>
            <w:tcW w:w="377"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6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w:t>
            </w:r>
          </w:p>
        </w:tc>
        <w:tc>
          <w:tcPr>
            <w:tcW w:w="335"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6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326" w:type="dxa"/>
            <w:tcBorders/>
            <w:vAlign w:val="center"/>
          </w:tcPr>
          <w:p>
            <w:pPr>
              <w:pStyle w:val="TableContents"/>
              <w:bidi w:val="0"/>
              <w:spacing w:before="0" w:after="1"/>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1,550</w:t>
            </w:r>
          </w:p>
        </w:tc>
        <w:tc>
          <w:tcPr>
            <w:tcW w:w="377" w:type="dxa"/>
            <w:tcBorders/>
            <w:vAlign w:val="center"/>
          </w:tcPr>
          <w:p>
            <w:pPr>
              <w:pStyle w:val="TableContents"/>
              <w:bidi w:val="0"/>
              <w:spacing w:before="0" w:after="1"/>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w:t>
            </w:r>
          </w:p>
        </w:tc>
        <w:tc>
          <w:tcPr>
            <w:tcW w:w="109"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2,174</w:t>
            </w:r>
          </w:p>
        </w:tc>
        <w:tc>
          <w:tcPr>
            <w:tcW w:w="335"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43,413</w:t>
            </w:r>
          </w:p>
        </w:tc>
        <w:tc>
          <w:tcPr>
            <w:tcW w:w="377" w:type="dxa"/>
            <w:tcBorders/>
            <w:shd w:fill="CCEEFF" w:val="clear"/>
            <w:vAlign w:val="center"/>
          </w:tcPr>
          <w:p>
            <w:pPr>
              <w:pStyle w:val="TableContents"/>
              <w:bidi w:val="0"/>
              <w:spacing w:before="0" w:after="1"/>
              <w:ind w:left="0" w:right="0" w:hanging="0"/>
              <w:jc w:val="left"/>
              <w:rPr/>
            </w:pPr>
            <w:r>
              <w:rPr/>
              <w:t>​</w:t>
            </w:r>
          </w:p>
        </w:tc>
        <w:tc>
          <w:tcPr>
            <w:tcW w:w="24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5,260</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72,522</w:t>
            </w:r>
          </w:p>
        </w:tc>
        <w:tc>
          <w:tcPr>
            <w:tcW w:w="335"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9,250</w:t>
            </w:r>
          </w:p>
        </w:tc>
      </w:tr>
    </w:tbl>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 xml:space="preserve">Contract Assets, Current Liabilities, and Trade Receivables. </w:t>
      </w:r>
      <w:r>
        <w:rPr>
          <w:rFonts w:ascii="Times New Roman;Times;serif" w:hAnsi="Times New Roman;Times;serif"/>
          <w:sz w:val="20"/>
        </w:rPr>
        <w:t>During the three and six months ended June 30, 2025 and 2024, there were no contract assets or liabilities as all customer amounts owed to the Company are unconditional and the Company does not receive payment in advance for its products. Accordingly, amounts owed by customers are included in “Trade accounts receivable, net” on the Company’s Condensed Consolidated Balance Sheets. In addition, due to the nature of the Company’s contracts, there are no costs incurred or to be paid in the future that qualify for asset recognition as a cost to fulfill or obtain a contract. No allowance for credit losses was recorded for each of the three and six months ended June 30, 2025 and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814" w:name="Tc_X6DwSW_PP0qaaR8W2gSTGQ_6_3"/>
      <w:bookmarkStart w:id="815" w:name="Tc_RxlaczZ4I0Onr0_-PcwU8Q_6_0"/>
      <w:bookmarkStart w:id="816" w:name="Tc_DDjTeOcuqUShYjxfFpm4TA_5_3"/>
      <w:bookmarkStart w:id="817" w:name="Tc_kT7F0FQoX0iRAiy4Gzwogg_5_0"/>
      <w:bookmarkStart w:id="818" w:name="Tc_IXb1hM1pDki5jFafjGkzSQ_4_12"/>
      <w:bookmarkStart w:id="819" w:name="Tc_3imbT48cj02xvwkT0-Rsmw_4_6"/>
      <w:bookmarkStart w:id="820" w:name="Tc_GOS3cjwFBEmZuf-jyTYI7A_4_3"/>
      <w:bookmarkStart w:id="821" w:name="Tc_TvhLSY5hYUOoMLG9QXL6cw_4_0"/>
      <w:bookmarkStart w:id="822" w:name="Tc_AhEJrZ_e30-19idtMO1NvA_3_3"/>
      <w:bookmarkStart w:id="823" w:name="Tc__-zT2vW3ykqHq8VG_1xPmQ_3_0"/>
      <w:bookmarkStart w:id="824" w:name="Tc_IzoRPRkwkEOlQYwwb83fZw_2_11"/>
      <w:bookmarkStart w:id="825" w:name="Tc_VRI1HUs2FkaJLsOxqZVOmA_2_8"/>
      <w:bookmarkStart w:id="826" w:name="Tc_c9TDjkB4XU6DEwRD7UghZQ_2_5"/>
      <w:bookmarkStart w:id="827" w:name="Tc_bz7YPVG0JkapppArv9FsKQ_2_2"/>
      <w:bookmarkStart w:id="828" w:name="Tc_7fNz2BaLk0WJ6Pg4KVFOtQ_1_8"/>
      <w:bookmarkStart w:id="829" w:name="Tc_-KTngURSwU24rPwgHTYs2Q_1_2"/>
      <w:bookmarkStart w:id="830" w:name="Tc_bdpcrA3iFE27D66_KO-Edg_8_11"/>
      <w:bookmarkStart w:id="831" w:name="Tc_L1xFD054BEqb_RCbumV9bw_8_8"/>
      <w:bookmarkStart w:id="832" w:name="Tc_kLOlHmBXTkeCag9PB5_0ZA_8_5"/>
      <w:bookmarkStart w:id="833" w:name="Tc_P-H_ffOIy0SJnPGSRGgClQ_8_2"/>
      <w:bookmarkStart w:id="834" w:name="Tc_057HgpTO3kG2I1-upAzGmw_8_0"/>
      <w:bookmarkStart w:id="835" w:name="Tc_cMQNcvfWGEmd_vjeq9nj7g_7_11"/>
      <w:bookmarkStart w:id="836" w:name="Tc_EmSj5fUJAUC0V5L-72XNSQ_7_8"/>
      <w:bookmarkStart w:id="837" w:name="Tc_9VQc-f46ME-dWyWi8M3HCg_7_5"/>
      <w:bookmarkStart w:id="838" w:name="Tc_1veHWh8UDEiXcHlJ6MPAmg_7_2"/>
      <w:bookmarkStart w:id="839" w:name="Tc_3u7EuIzFXkCLjf5rBPCXig_7_0"/>
      <w:bookmarkStart w:id="840" w:name="Tc__1Cy21rC7kWRtOw8Py9CMg_6_0"/>
      <w:bookmarkStart w:id="841" w:name="Tc_B9jDOF7dAkKePWpQ9Q8bfQ_5_12"/>
      <w:bookmarkStart w:id="842" w:name="Tc_6PwrEsmcvEWMC5zVU3g_sA_5_9"/>
      <w:bookmarkStart w:id="843" w:name="Tc_9W0IGabHO0iwo_sfOxiPuQ_5_6"/>
      <w:bookmarkStart w:id="844" w:name="Tc_HCjRw_zkPk2o2cs3Tz8l4Q_5_0"/>
      <w:bookmarkStart w:id="845" w:name="Tc_bVjR8CHtJ0i-3lyaKyDI4A_4_0"/>
      <w:bookmarkStart w:id="846" w:name="Tc_qeFMyi8v40qPhmqoC1QCsQ_3_11"/>
      <w:bookmarkStart w:id="847" w:name="Tc_5TU0sKVPdkeyVTVF8Tu6og_3_8"/>
      <w:bookmarkStart w:id="848" w:name="Tc_Ji9qLMImfkmMkGkY3-nDgw_3_5"/>
      <w:bookmarkStart w:id="849" w:name="Tc_cNzO8c5NNkWfvjytcm_w5A_3_2"/>
      <w:bookmarkStart w:id="850" w:name="Tc_ZbsxWspIz0K2QPXYysrF7Q_3_0"/>
      <w:bookmarkStart w:id="851" w:name="Tc_ADjGFWY720OImtH9GpEK1A_2_11"/>
      <w:bookmarkStart w:id="852" w:name="Tc_CTVXhsSzw0-JDXpWRtvZWQ_2_8"/>
      <w:bookmarkStart w:id="853" w:name="Tc_JbwJrA2XhUitXjHst8WEaA_2_5"/>
      <w:bookmarkStart w:id="854" w:name="Tc_hcWCrS12kE607e3q_9YItw_2_2"/>
      <w:bookmarkStart w:id="855" w:name="Tc_dO_wOpxtxk-AI-IrTp_LjQ_1_8"/>
      <w:bookmarkStart w:id="856" w:name="Tc_BVxCY4I370mQlGE0axq6JA_1_2"/>
      <w:bookmarkStart w:id="857" w:name="_a9338548_b010_4c5c_ba08_4c4c7ea6eeed"/>
      <w:bookmarkStart w:id="858" w:name="Tc_X6DwSW_PP0qaaR8W2gSTGQ_6_3"/>
      <w:bookmarkStart w:id="859" w:name="Tc_RxlaczZ4I0Onr0_-PcwU8Q_6_0"/>
      <w:bookmarkStart w:id="860" w:name="Tc_DDjTeOcuqUShYjxfFpm4TA_5_3"/>
      <w:bookmarkStart w:id="861" w:name="Tc_kT7F0FQoX0iRAiy4Gzwogg_5_0"/>
      <w:bookmarkStart w:id="862" w:name="Tc_IXb1hM1pDki5jFafjGkzSQ_4_12"/>
      <w:bookmarkStart w:id="863" w:name="Tc_3imbT48cj02xvwkT0-Rsmw_4_6"/>
      <w:bookmarkStart w:id="864" w:name="Tc_GOS3cjwFBEmZuf-jyTYI7A_4_3"/>
      <w:bookmarkStart w:id="865" w:name="Tc_TvhLSY5hYUOoMLG9QXL6cw_4_0"/>
      <w:bookmarkStart w:id="866" w:name="Tc_AhEJrZ_e30-19idtMO1NvA_3_3"/>
      <w:bookmarkStart w:id="867" w:name="Tc__-zT2vW3ykqHq8VG_1xPmQ_3_0"/>
      <w:bookmarkStart w:id="868" w:name="Tc_IzoRPRkwkEOlQYwwb83fZw_2_11"/>
      <w:bookmarkStart w:id="869" w:name="Tc_VRI1HUs2FkaJLsOxqZVOmA_2_8"/>
      <w:bookmarkStart w:id="870" w:name="Tc_c9TDjkB4XU6DEwRD7UghZQ_2_5"/>
      <w:bookmarkStart w:id="871" w:name="Tc_bz7YPVG0JkapppArv9FsKQ_2_2"/>
      <w:bookmarkStart w:id="872" w:name="Tc_7fNz2BaLk0WJ6Pg4KVFOtQ_1_8"/>
      <w:bookmarkStart w:id="873" w:name="Tc_-KTngURSwU24rPwgHTYs2Q_1_2"/>
      <w:bookmarkStart w:id="874" w:name="Tc_bdpcrA3iFE27D66_KO-Edg_8_11"/>
      <w:bookmarkStart w:id="875" w:name="Tc_L1xFD054BEqb_RCbumV9bw_8_8"/>
      <w:bookmarkStart w:id="876" w:name="Tc_kLOlHmBXTkeCag9PB5_0ZA_8_5"/>
      <w:bookmarkStart w:id="877" w:name="Tc_P-H_ffOIy0SJnPGSRGgClQ_8_2"/>
      <w:bookmarkStart w:id="878" w:name="Tc_057HgpTO3kG2I1-upAzGmw_8_0"/>
      <w:bookmarkStart w:id="879" w:name="Tc_cMQNcvfWGEmd_vjeq9nj7g_7_11"/>
      <w:bookmarkStart w:id="880" w:name="Tc_EmSj5fUJAUC0V5L-72XNSQ_7_8"/>
      <w:bookmarkStart w:id="881" w:name="Tc_9VQc-f46ME-dWyWi8M3HCg_7_5"/>
      <w:bookmarkStart w:id="882" w:name="Tc_1veHWh8UDEiXcHlJ6MPAmg_7_2"/>
      <w:bookmarkStart w:id="883" w:name="Tc_3u7EuIzFXkCLjf5rBPCXig_7_0"/>
      <w:bookmarkStart w:id="884" w:name="Tc__1Cy21rC7kWRtOw8Py9CMg_6_0"/>
      <w:bookmarkStart w:id="885" w:name="Tc_B9jDOF7dAkKePWpQ9Q8bfQ_5_12"/>
      <w:bookmarkStart w:id="886" w:name="Tc_6PwrEsmcvEWMC5zVU3g_sA_5_9"/>
      <w:bookmarkStart w:id="887" w:name="Tc_9W0IGabHO0iwo_sfOxiPuQ_5_6"/>
      <w:bookmarkStart w:id="888" w:name="Tc_HCjRw_zkPk2o2cs3Tz8l4Q_5_0"/>
      <w:bookmarkStart w:id="889" w:name="Tc_bVjR8CHtJ0i-3lyaKyDI4A_4_0"/>
      <w:bookmarkStart w:id="890" w:name="Tc_qeFMyi8v40qPhmqoC1QCsQ_3_11"/>
      <w:bookmarkStart w:id="891" w:name="Tc_5TU0sKVPdkeyVTVF8Tu6og_3_8"/>
      <w:bookmarkStart w:id="892" w:name="Tc_Ji9qLMImfkmMkGkY3-nDgw_3_5"/>
      <w:bookmarkStart w:id="893" w:name="Tc_cNzO8c5NNkWfvjytcm_w5A_3_2"/>
      <w:bookmarkStart w:id="894" w:name="Tc_ZbsxWspIz0K2QPXYysrF7Q_3_0"/>
      <w:bookmarkStart w:id="895" w:name="Tc_ADjGFWY720OImtH9GpEK1A_2_11"/>
      <w:bookmarkStart w:id="896" w:name="Tc_CTVXhsSzw0-JDXpWRtvZWQ_2_8"/>
      <w:bookmarkStart w:id="897" w:name="Tc_JbwJrA2XhUitXjHst8WEaA_2_5"/>
      <w:bookmarkStart w:id="898" w:name="Tc_hcWCrS12kE607e3q_9YItw_2_2"/>
      <w:bookmarkStart w:id="899" w:name="Tc_dO_wOpxtxk-AI-IrTp_LjQ_1_8"/>
      <w:bookmarkStart w:id="900" w:name="Tc_BVxCY4I370mQlGE0axq6JA_1_2"/>
      <w:bookmarkStart w:id="901" w:name="_a9338548_b010_4c5c_ba08_4c4c7ea6eeed"/>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p>
    <w:tbl>
      <w:tblPr>
        <w:tblW w:w="2807" w:type="dxa"/>
        <w:jc w:val="left"/>
        <w:tblInd w:w="0" w:type="dxa"/>
        <w:tblLayout w:type="fixed"/>
        <w:tblCellMar>
          <w:top w:w="0" w:type="dxa"/>
          <w:left w:w="0" w:type="dxa"/>
          <w:bottom w:w="0" w:type="dxa"/>
          <w:right w:w="0" w:type="dxa"/>
        </w:tblCellMar>
      </w:tblPr>
      <w:tblGrid>
        <w:gridCol w:w="271"/>
        <w:gridCol w:w="2536"/>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5.</w:t>
            </w:r>
          </w:p>
        </w:tc>
        <w:tc>
          <w:tcPr>
            <w:tcW w:w="25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Net Income (Loss) per Share</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Basic net income (loss) per share is calculated by dividing income (loss) by the weighted average number of common shares outstanding for the respective periods. Diluted income (loss) per share is calculated using the diluted weighted average number of common shares outstanding, which includes the effect of potentially dilutive securities. These potentially dilutive securities for this calculation consist of unexercised warrants, stock options and unvested restricted stock awards, all of which are measured using the treasury stock method. Potentially dilutive securities are not considered to be dilutive in periods in which a net loss is reported. See Note 17, Stock-Based Compensation, for discussion of our stock options and restricted stock awards and Note 21, Stockholders’ Equity, for discussion of our warrants.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Basic and diluted net income (loss) per share is calculated as follows (net income (loss) in thousands):</w:t>
      </w:r>
    </w:p>
    <w:tbl>
      <w:tblPr>
        <w:tblW w:w="10205" w:type="dxa"/>
        <w:jc w:val="left"/>
        <w:tblInd w:w="0" w:type="dxa"/>
        <w:tblLayout w:type="fixed"/>
        <w:tblCellMar>
          <w:top w:w="0" w:type="dxa"/>
          <w:left w:w="0" w:type="dxa"/>
          <w:bottom w:w="0" w:type="dxa"/>
          <w:right w:w="0" w:type="dxa"/>
        </w:tblCellMar>
      </w:tblPr>
      <w:tblGrid>
        <w:gridCol w:w="3665"/>
        <w:gridCol w:w="326"/>
        <w:gridCol w:w="211"/>
        <w:gridCol w:w="1141"/>
        <w:gridCol w:w="326"/>
        <w:gridCol w:w="211"/>
        <w:gridCol w:w="1141"/>
        <w:gridCol w:w="109"/>
        <w:gridCol w:w="211"/>
        <w:gridCol w:w="1141"/>
        <w:gridCol w:w="326"/>
        <w:gridCol w:w="211"/>
        <w:gridCol w:w="1186"/>
      </w:tblGrid>
      <w:tr>
        <w:trPr/>
        <w:tc>
          <w:tcPr>
            <w:tcW w:w="36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327275" cy="175260"/>
                      <wp:effectExtent l="0" t="0" r="0" b="0"/>
                      <wp:wrapNone/>
                      <wp:docPr id="120" name="Frame120"/>
                      <a:graphic xmlns:a="http://schemas.openxmlformats.org/drawingml/2006/main">
                        <a:graphicData uri="http://schemas.microsoft.com/office/word/2010/wordprocessingShape">
                          <wps:wsp>
                            <wps:cNvSpPr txBox="1"/>
                            <wps:spPr>
                              <a:xfrm>
                                <a:off x="0" y="0"/>
                                <a:ext cx="2327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724535" cy="175260"/>
                      <wp:effectExtent l="0" t="0" r="0" b="0"/>
                      <wp:wrapNone/>
                      <wp:docPr id="123" name="Frame12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4"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3985" cy="175260"/>
                      <wp:effectExtent l="0" t="0" r="0" b="0"/>
                      <wp:wrapNone/>
                      <wp:docPr id="125" name="Frame1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724535" cy="175260"/>
                      <wp:effectExtent l="0" t="0" r="0" b="0"/>
                      <wp:wrapNone/>
                      <wp:docPr id="126" name="Frame12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9215" cy="175260"/>
                      <wp:effectExtent l="0" t="0" r="0" b="0"/>
                      <wp:wrapNone/>
                      <wp:docPr id="127" name="Frame1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8"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724535" cy="175260"/>
                      <wp:effectExtent l="0" t="0" r="0" b="0"/>
                      <wp:wrapNone/>
                      <wp:docPr id="129" name="Frame12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30"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3985" cy="175260"/>
                      <wp:effectExtent l="0" t="0" r="0" b="0"/>
                      <wp:wrapNone/>
                      <wp:docPr id="131" name="Frame1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753110" cy="175260"/>
                      <wp:effectExtent l="0" t="0" r="0" b="0"/>
                      <wp:wrapNone/>
                      <wp:docPr id="132" name="Frame132"/>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6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30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1"/>
              <w:ind w:left="0" w:right="0" w:hanging="0"/>
              <w:jc w:val="center"/>
              <w:rPr/>
            </w:pPr>
            <w:r>
              <w:rPr/>
              <w:t>​</w:t>
            </w:r>
          </w:p>
        </w:tc>
        <w:tc>
          <w:tcPr>
            <w:tcW w:w="307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66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center"/>
              <w:rPr/>
            </w:pPr>
            <w:r>
              <w:rPr/>
              <w:t>​</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13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6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(21,002)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(19,584)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(39,877)</w:t>
            </w:r>
          </w:p>
        </w:tc>
      </w:tr>
      <w:tr>
        <w:trPr/>
        <w:tc>
          <w:tcPr>
            <w:tcW w:w="36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weighted-average shares outstanding</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232,945,048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239,014,435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232,490,122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239,929,385</w:t>
            </w:r>
          </w:p>
        </w:tc>
      </w:tr>
      <w:tr>
        <w:trPr/>
        <w:tc>
          <w:tcPr>
            <w:tcW w:w="36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Dilutive effect of RSAs, stock options and unexercised warrants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3,894,069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6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weighted-average shares outstanding</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236,839,117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239,014,435</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232,490,122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239,929,385</w:t>
            </w:r>
          </w:p>
        </w:tc>
      </w:tr>
      <w:tr>
        <w:trPr/>
        <w:tc>
          <w:tcPr>
            <w:tcW w:w="36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per share - basic</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(0.17)</w:t>
            </w:r>
          </w:p>
        </w:tc>
      </w:tr>
      <w:tr>
        <w:trPr/>
        <w:tc>
          <w:tcPr>
            <w:tcW w:w="36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per share - diluted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(0.17)</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three and six months ended June 30, 2025 and 2024, potentially dilutive securities excluded from the calculation of diluted weighted average shares outstanding because they were anti-dilutive are as follows:</w:t>
      </w:r>
    </w:p>
    <w:p>
      <w:pPr>
        <w:pStyle w:val="TextBody"/>
        <w:bidi w:val="0"/>
        <w:spacing w:before="0" w:after="0"/>
        <w:ind w:left="0" w:right="0" w:hanging="0"/>
        <w:jc w:val="left"/>
        <w:rPr/>
      </w:pPr>
      <w:r>
        <w:rPr/>
        <w:t>​</w:t>
      </w:r>
    </w:p>
    <w:tbl>
      <w:tblPr>
        <w:tblW w:w="7865" w:type="dxa"/>
        <w:jc w:val="left"/>
        <w:tblInd w:w="0" w:type="dxa"/>
        <w:tblLayout w:type="fixed"/>
        <w:tblCellMar>
          <w:top w:w="0" w:type="dxa"/>
          <w:left w:w="0" w:type="dxa"/>
          <w:bottom w:w="0" w:type="dxa"/>
          <w:right w:w="0" w:type="dxa"/>
        </w:tblCellMar>
      </w:tblPr>
      <w:tblGrid>
        <w:gridCol w:w="2761"/>
        <w:gridCol w:w="326"/>
        <w:gridCol w:w="150"/>
        <w:gridCol w:w="478"/>
        <w:gridCol w:w="450"/>
        <w:gridCol w:w="150"/>
        <w:gridCol w:w="1080"/>
        <w:gridCol w:w="109"/>
        <w:gridCol w:w="109"/>
        <w:gridCol w:w="931"/>
        <w:gridCol w:w="326"/>
        <w:gridCol w:w="109"/>
        <w:gridCol w:w="886"/>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753235" cy="175260"/>
                      <wp:effectExtent l="0" t="0" r="0" b="0"/>
                      <wp:wrapNone/>
                      <wp:docPr id="133" name="Frame133"/>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4"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95250" cy="175260"/>
                      <wp:effectExtent l="0" t="0" r="0" b="0"/>
                      <wp:wrapNone/>
                      <wp:docPr id="135" name="Frame135"/>
                      <a:graphic xmlns:a="http://schemas.openxmlformats.org/drawingml/2006/main">
                        <a:graphicData uri="http://schemas.microsoft.com/office/word/2010/wordprocessingShape">
                          <wps:wsp>
                            <wps:cNvSpPr txBox="1"/>
                            <wps:spPr>
                              <a:xfrm>
                                <a:off x="0" y="0"/>
                                <a:ext cx="95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303530" cy="175260"/>
                      <wp:effectExtent l="0" t="0" r="0" b="0"/>
                      <wp:wrapNone/>
                      <wp:docPr id="136" name="Frame136"/>
                      <a:graphic xmlns:a="http://schemas.openxmlformats.org/drawingml/2006/main">
                        <a:graphicData uri="http://schemas.microsoft.com/office/word/2010/wordprocessingShape">
                          <wps:wsp>
                            <wps:cNvSpPr txBox="1"/>
                            <wps:spPr>
                              <a:xfrm>
                                <a:off x="0" y="0"/>
                                <a:ext cx="303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85750" cy="175260"/>
                      <wp:effectExtent l="0" t="0" r="0" b="0"/>
                      <wp:wrapNone/>
                      <wp:docPr id="137" name="Frame137"/>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95250" cy="175260"/>
                      <wp:effectExtent l="0" t="0" r="0" b="0"/>
                      <wp:wrapNone/>
                      <wp:docPr id="138" name="Frame138"/>
                      <a:graphic xmlns:a="http://schemas.openxmlformats.org/drawingml/2006/main">
                        <a:graphicData uri="http://schemas.microsoft.com/office/word/2010/wordprocessingShape">
                          <wps:wsp>
                            <wps:cNvSpPr txBox="1"/>
                            <wps:spPr>
                              <a:xfrm>
                                <a:off x="0" y="0"/>
                                <a:ext cx="95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85800" cy="175260"/>
                      <wp:effectExtent l="0" t="0" r="0" b="0"/>
                      <wp:wrapNone/>
                      <wp:docPr id="139" name="Frame139"/>
                      <a:graphic xmlns:a="http://schemas.openxmlformats.org/drawingml/2006/main">
                        <a:graphicData uri="http://schemas.microsoft.com/office/word/2010/wordprocessingShape">
                          <wps:wsp>
                            <wps:cNvSpPr txBox="1"/>
                            <wps:spPr>
                              <a:xfrm>
                                <a:off x="0" y="0"/>
                                <a:ext cx="685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9215" cy="175260"/>
                      <wp:effectExtent l="0" t="0" r="0" b="0"/>
                      <wp:wrapNone/>
                      <wp:docPr id="140" name="Frame1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9215" cy="175260"/>
                      <wp:effectExtent l="0" t="0" r="0" b="0"/>
                      <wp:wrapNone/>
                      <wp:docPr id="141" name="Frame1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591185" cy="175260"/>
                      <wp:effectExtent l="0" t="0" r="0" b="0"/>
                      <wp:wrapNone/>
                      <wp:docPr id="142" name="Frame14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9215" cy="175260"/>
                      <wp:effectExtent l="0" t="0" r="0" b="0"/>
                      <wp:wrapNone/>
                      <wp:docPr id="144" name="Frame1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562610" cy="175260"/>
                      <wp:effectExtent l="0" t="0" r="0" b="0"/>
                      <wp:wrapNone/>
                      <wp:docPr id="145" name="Frame14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30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1"/>
              <w:ind w:left="0" w:right="0" w:hanging="0"/>
              <w:jc w:val="center"/>
              <w:rPr/>
            </w:pPr>
            <w:r>
              <w:rPr/>
              <w:t>​</w:t>
            </w:r>
          </w:p>
        </w:tc>
        <w:tc>
          <w:tcPr>
            <w:tcW w:w="236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7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62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50" w:type="dxa"/>
            <w:tcBorders/>
            <w:vAlign w:val="center"/>
          </w:tcPr>
          <w:p>
            <w:pPr>
              <w:pStyle w:val="TableContents"/>
              <w:bidi w:val="0"/>
              <w:spacing w:before="0" w:after="1"/>
              <w:ind w:left="0" w:right="0" w:hanging="0"/>
              <w:jc w:val="center"/>
              <w:rPr/>
            </w:pPr>
            <w:r>
              <w:rPr/>
              <w:t>    </w:t>
            </w:r>
          </w:p>
        </w:tc>
        <w:tc>
          <w:tcPr>
            <w:tcW w:w="12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center"/>
              <w:rPr/>
            </w:pPr>
            <w:r>
              <w:rPr/>
              <w:t>​</w:t>
            </w:r>
          </w:p>
        </w:tc>
        <w:tc>
          <w:tcPr>
            <w:tcW w:w="10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9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w:t>
            </w:r>
          </w:p>
        </w:tc>
        <w:tc>
          <w:tcPr>
            <w:tcW w:w="326" w:type="dxa"/>
            <w:tcBorders/>
            <w:shd w:fill="CCEEFF" w:val="clear"/>
            <w:vAlign w:val="center"/>
          </w:tcPr>
          <w:p>
            <w:pPr>
              <w:pStyle w:val="TableContents"/>
              <w:bidi w:val="0"/>
              <w:spacing w:before="0" w:after="1"/>
              <w:ind w:left="0" w:right="0" w:hanging="0"/>
              <w:jc w:val="left"/>
              <w:rPr/>
            </w:pPr>
            <w:r>
              <w:rPr/>
              <w:t>​</w:t>
            </w:r>
          </w:p>
        </w:tc>
        <w:tc>
          <w:tcPr>
            <w:tcW w:w="150" w:type="dxa"/>
            <w:tcBorders/>
            <w:shd w:fill="CCEEFF" w:val="clear"/>
            <w:vAlign w:val="center"/>
          </w:tcPr>
          <w:p>
            <w:pPr>
              <w:pStyle w:val="TableContents"/>
              <w:bidi w:val="0"/>
              <w:spacing w:before="0" w:after="1"/>
              <w:ind w:left="0" w:right="0" w:hanging="0"/>
              <w:jc w:val="left"/>
              <w:rPr/>
            </w:pPr>
            <w:r>
              <w:rPr/>
              <w:t>​</w:t>
            </w:r>
          </w:p>
        </w:tc>
        <w:tc>
          <w:tcPr>
            <w:tcW w:w="478" w:type="dxa"/>
            <w:tcBorders/>
            <w:shd w:fill="CCEEFF" w:val="clear"/>
            <w:vAlign w:val="center"/>
          </w:tcPr>
          <w:p>
            <w:pPr>
              <w:pStyle w:val="TableContents"/>
              <w:bidi w:val="0"/>
              <w:spacing w:before="0" w:after="1"/>
              <w:ind w:left="0" w:right="0" w:hanging="0"/>
              <w:jc w:val="right"/>
              <w:rPr/>
            </w:pPr>
            <w:r>
              <w:rPr/>
              <w:t>—</w:t>
            </w:r>
          </w:p>
        </w:tc>
        <w:tc>
          <w:tcPr>
            <w:tcW w:w="450" w:type="dxa"/>
            <w:tcBorders/>
            <w:shd w:fill="CCEEFF" w:val="clear"/>
            <w:vAlign w:val="center"/>
          </w:tcPr>
          <w:p>
            <w:pPr>
              <w:pStyle w:val="TableContents"/>
              <w:bidi w:val="0"/>
              <w:spacing w:before="0" w:after="1"/>
              <w:ind w:left="0" w:right="0" w:hanging="0"/>
              <w:jc w:val="left"/>
              <w:rPr/>
            </w:pPr>
            <w:r>
              <w:rPr/>
              <w:t>​</w:t>
            </w:r>
          </w:p>
        </w:tc>
        <w:tc>
          <w:tcPr>
            <w:tcW w:w="150" w:type="dxa"/>
            <w:tcBorders/>
            <w:shd w:fill="CCEEFF" w:val="clear"/>
            <w:vAlign w:val="center"/>
          </w:tcPr>
          <w:p>
            <w:pPr>
              <w:pStyle w:val="TableContents"/>
              <w:bidi w:val="0"/>
              <w:spacing w:before="0" w:after="1"/>
              <w:ind w:left="0" w:right="0" w:hanging="0"/>
              <w:jc w:val="left"/>
              <w:rPr/>
            </w:pPr>
            <w:r>
              <w:rPr/>
              <w:t>​</w:t>
            </w:r>
          </w:p>
        </w:tc>
        <w:tc>
          <w:tcPr>
            <w:tcW w:w="10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8,978</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2,387</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18,972</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26" w:type="dxa"/>
            <w:tcBorders/>
            <w:vAlign w:val="center"/>
          </w:tcPr>
          <w:p>
            <w:pPr>
              <w:pStyle w:val="TableContents"/>
              <w:bidi w:val="0"/>
              <w:spacing w:before="0" w:after="1"/>
              <w:ind w:left="0" w:right="0" w:hanging="0"/>
              <w:jc w:val="left"/>
              <w:rPr/>
            </w:pPr>
            <w:r>
              <w:rPr/>
              <w:t>​</w:t>
            </w:r>
          </w:p>
        </w:tc>
        <w:tc>
          <w:tcPr>
            <w:tcW w:w="150" w:type="dxa"/>
            <w:tcBorders/>
            <w:vAlign w:val="center"/>
          </w:tcPr>
          <w:p>
            <w:pPr>
              <w:pStyle w:val="TableContents"/>
              <w:bidi w:val="0"/>
              <w:spacing w:before="0" w:after="1"/>
              <w:ind w:left="0" w:right="0" w:hanging="0"/>
              <w:jc w:val="left"/>
              <w:rPr/>
            </w:pPr>
            <w:r>
              <w:rPr/>
              <w:t>​</w:t>
            </w:r>
          </w:p>
        </w:tc>
        <w:tc>
          <w:tcPr>
            <w:tcW w:w="478" w:type="dxa"/>
            <w:tcBorders/>
            <w:vAlign w:val="center"/>
          </w:tcPr>
          <w:p>
            <w:pPr>
              <w:pStyle w:val="TableContents"/>
              <w:bidi w:val="0"/>
              <w:spacing w:before="0" w:after="1"/>
              <w:ind w:left="0" w:right="0" w:hanging="0"/>
              <w:jc w:val="right"/>
              <w:rPr/>
            </w:pPr>
            <w:r>
              <w:rPr/>
              <w:t>—</w:t>
            </w:r>
          </w:p>
        </w:tc>
        <w:tc>
          <w:tcPr>
            <w:tcW w:w="450" w:type="dxa"/>
            <w:tcBorders/>
            <w:vAlign w:val="center"/>
          </w:tcPr>
          <w:p>
            <w:pPr>
              <w:pStyle w:val="TableContents"/>
              <w:bidi w:val="0"/>
              <w:spacing w:before="0" w:after="1"/>
              <w:ind w:left="0" w:right="0" w:hanging="0"/>
              <w:jc w:val="left"/>
              <w:rPr/>
            </w:pPr>
            <w:r>
              <w:rPr/>
              <w:t>​</w:t>
            </w:r>
          </w:p>
        </w:tc>
        <w:tc>
          <w:tcPr>
            <w:tcW w:w="150" w:type="dxa"/>
            <w:tcBorders/>
            <w:vAlign w:val="center"/>
          </w:tcPr>
          <w:p>
            <w:pPr>
              <w:pStyle w:val="TableContents"/>
              <w:bidi w:val="0"/>
              <w:spacing w:before="0" w:after="1"/>
              <w:ind w:left="0" w:right="0" w:hanging="0"/>
              <w:jc w:val="left"/>
              <w:rPr/>
            </w:pPr>
            <w:r>
              <w:rPr/>
              <w:t>​</w:t>
            </w:r>
          </w:p>
        </w:tc>
        <w:tc>
          <w:tcPr>
            <w:tcW w:w="108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1,530,010</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restricted stock awards</w:t>
            </w:r>
          </w:p>
        </w:tc>
        <w:tc>
          <w:tcPr>
            <w:tcW w:w="326" w:type="dxa"/>
            <w:tcBorders/>
            <w:shd w:fill="CCEEFF" w:val="clear"/>
            <w:vAlign w:val="center"/>
          </w:tcPr>
          <w:p>
            <w:pPr>
              <w:pStyle w:val="TableContents"/>
              <w:bidi w:val="0"/>
              <w:spacing w:before="0" w:after="1"/>
              <w:ind w:left="0" w:right="0" w:hanging="0"/>
              <w:jc w:val="left"/>
              <w:rPr/>
            </w:pPr>
            <w:r>
              <w:rPr/>
              <w:t>​</w:t>
            </w:r>
          </w:p>
        </w:tc>
        <w:tc>
          <w:tcPr>
            <w:tcW w:w="1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50" w:type="dxa"/>
            <w:tcBorders/>
            <w:shd w:fill="CCEEFF" w:val="clear"/>
            <w:vAlign w:val="center"/>
          </w:tcPr>
          <w:p>
            <w:pPr>
              <w:pStyle w:val="TableContents"/>
              <w:bidi w:val="0"/>
              <w:spacing w:before="0" w:after="1"/>
              <w:ind w:left="0" w:right="0" w:hanging="0"/>
              <w:jc w:val="left"/>
              <w:rPr/>
            </w:pPr>
            <w:r>
              <w:rPr/>
              <w:t>​</w:t>
            </w:r>
          </w:p>
        </w:tc>
        <w:tc>
          <w:tcPr>
            <w:tcW w:w="1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292,923</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3,726,353</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448,891</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w:t>
            </w:r>
          </w:p>
        </w:tc>
        <w:tc>
          <w:tcPr>
            <w:tcW w:w="150"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478"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450" w:type="dxa"/>
            <w:tcBorders/>
            <w:vAlign w:val="center"/>
          </w:tcPr>
          <w:p>
            <w:pPr>
              <w:pStyle w:val="TableContents"/>
              <w:bidi w:val="0"/>
              <w:spacing w:before="0" w:after="1"/>
              <w:ind w:left="0" w:right="0" w:hanging="0"/>
              <w:jc w:val="left"/>
              <w:rPr/>
            </w:pPr>
            <w:r>
              <w:rPr/>
              <w:t>​</w:t>
            </w:r>
          </w:p>
        </w:tc>
        <w:tc>
          <w:tcPr>
            <w:tcW w:w="150"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08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301,901</w:t>
            </w:r>
          </w:p>
        </w:tc>
        <w:tc>
          <w:tcPr>
            <w:tcW w:w="109" w:type="dxa"/>
            <w:tcBorders/>
            <w:vAlign w:val="center"/>
          </w:tcPr>
          <w:p>
            <w:pPr>
              <w:pStyle w:val="TableContents"/>
              <w:bidi w:val="0"/>
              <w:spacing w:before="0" w:after="1"/>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5,258,750</w:t>
            </w:r>
          </w:p>
        </w:tc>
        <w:tc>
          <w:tcPr>
            <w:tcW w:w="326" w:type="dxa"/>
            <w:tcBorders/>
            <w:vAlign w:val="center"/>
          </w:tcPr>
          <w:p>
            <w:pPr>
              <w:pStyle w:val="TableContents"/>
              <w:bidi w:val="0"/>
              <w:spacing w:before="0" w:after="1"/>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467,863</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tbl>
      <w:tblPr>
        <w:tblW w:w="1742" w:type="dxa"/>
        <w:jc w:val="left"/>
        <w:tblInd w:w="0" w:type="dxa"/>
        <w:tblLayout w:type="fixed"/>
        <w:tblCellMar>
          <w:top w:w="0" w:type="dxa"/>
          <w:left w:w="0" w:type="dxa"/>
          <w:bottom w:w="0" w:type="dxa"/>
          <w:right w:w="0" w:type="dxa"/>
        </w:tblCellMar>
      </w:tblPr>
      <w:tblGrid>
        <w:gridCol w:w="271"/>
        <w:gridCol w:w="147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6.</w:t>
            </w:r>
          </w:p>
        </w:tc>
        <w:tc>
          <w:tcPr>
            <w:tcW w:w="14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Restricted Cash</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June 30, 2025, the Company has restricted cash balances of $69.6 million, all of which is included in current assets on the Condensed Consolidated Balance Sheet. The restricted cash consists of amounts held as collateral for a letter of credit to provide financing support for the Company’s Remarketed Bonds, which support the development and construction of NW Iowa RNG (see Note 16, Debt). The letter of credit has a fee of 0.75% annually and expires April 6, 2026, unless terminated earlier. As of June 30, 2025, no amounts have been drawn under the Bond Letter of Credit.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three and six months ended June 30, 2025 and 2024, the Company recorded interest income on the restricted cash balances of $1.4 million and $1.4 million and $0.9 million and $1.8 million, respectively. The interest income is included in “Other (expense) income, net” in the Condensed Consolidated Statements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ind w:left="0" w:right="0" w:hanging="0"/>
        <w:jc w:val="left"/>
        <w:rPr>
          <w:sz w:val="4"/>
          <w:szCs w:val="4"/>
        </w:rPr>
      </w:pPr>
      <w:r>
        <w:rPr>
          <w:sz w:val="4"/>
          <w:szCs w:val="4"/>
        </w:rPr>
      </w:r>
      <w:bookmarkStart w:id="902" w:name="Tc_m2Py6MmOUEObDceoiffREQ_9_5"/>
      <w:bookmarkStart w:id="903" w:name="Tc_SSpM9QhvYkqwmwXXj2KKvQ_9_2"/>
      <w:bookmarkStart w:id="904" w:name="Tc_rN-8dL2e1kqCb0tIRsyb-g_9_0"/>
      <w:bookmarkStart w:id="905" w:name="Tc_whjkCgOBSUiqXwMKtJtviA_8_0"/>
      <w:bookmarkStart w:id="906" w:name="Tc_KHc_t3BankWPCoCTQaQl4w_7_6"/>
      <w:bookmarkStart w:id="907" w:name="Tc_mL-gVrHM4E6eLP85Iwn9rg_7_0"/>
      <w:bookmarkStart w:id="908" w:name="Tc_LXieSi4sO0GOP8rBLXecvQ_6_0"/>
      <w:bookmarkStart w:id="909" w:name="Tc_ExLnW7mBxE-08OxwCVXIqg_5_0"/>
      <w:bookmarkStart w:id="910" w:name="Tc_Jl-CEbcZk0mDwYQFlEuvmQ_4_6"/>
      <w:bookmarkStart w:id="911" w:name="Tc_B4gghLLOFUOARCuOpI8zMA_4_0"/>
      <w:bookmarkStart w:id="912" w:name="Tc_ap1nL3hW2EuMCd-dZcJn8A_3_5"/>
      <w:bookmarkStart w:id="913" w:name="Tc_MD8Cjt5pgUCU18DJbbOeNw_3_2"/>
      <w:bookmarkStart w:id="914" w:name="Tc_f_yh_Mc8kU2MboO0fGjWnA_3_0"/>
      <w:bookmarkStart w:id="915" w:name="Tc_6PacND7dSku8dOeqqVjXhA_2_5"/>
      <w:bookmarkStart w:id="916" w:name="Tc_S590w8aCJU2q-EHKJTlbMQ_2_2"/>
      <w:bookmarkStart w:id="917" w:name="_6fb8556f_31c7_4c47_b4ca_86220d3ecdf7"/>
      <w:bookmarkStart w:id="918" w:name="Tc_m2Py6MmOUEObDceoiffREQ_9_5"/>
      <w:bookmarkStart w:id="919" w:name="Tc_SSpM9QhvYkqwmwXXj2KKvQ_9_2"/>
      <w:bookmarkStart w:id="920" w:name="Tc_rN-8dL2e1kqCb0tIRsyb-g_9_0"/>
      <w:bookmarkStart w:id="921" w:name="Tc_whjkCgOBSUiqXwMKtJtviA_8_0"/>
      <w:bookmarkStart w:id="922" w:name="Tc_KHc_t3BankWPCoCTQaQl4w_7_6"/>
      <w:bookmarkStart w:id="923" w:name="Tc_mL-gVrHM4E6eLP85Iwn9rg_7_0"/>
      <w:bookmarkStart w:id="924" w:name="Tc_LXieSi4sO0GOP8rBLXecvQ_6_0"/>
      <w:bookmarkStart w:id="925" w:name="Tc_ExLnW7mBxE-08OxwCVXIqg_5_0"/>
      <w:bookmarkStart w:id="926" w:name="Tc_Jl-CEbcZk0mDwYQFlEuvmQ_4_6"/>
      <w:bookmarkStart w:id="927" w:name="Tc_B4gghLLOFUOARCuOpI8zMA_4_0"/>
      <w:bookmarkStart w:id="928" w:name="Tc_ap1nL3hW2EuMCd-dZcJn8A_3_5"/>
      <w:bookmarkStart w:id="929" w:name="Tc_MD8Cjt5pgUCU18DJbbOeNw_3_2"/>
      <w:bookmarkStart w:id="930" w:name="Tc_f_yh_Mc8kU2MboO0fGjWnA_3_0"/>
      <w:bookmarkStart w:id="931" w:name="Tc_6PacND7dSku8dOeqqVjXhA_2_5"/>
      <w:bookmarkStart w:id="932" w:name="Tc_S590w8aCJU2q-EHKJTlbMQ_2_2"/>
      <w:bookmarkStart w:id="933" w:name="_6fb8556f_31c7_4c47_b4ca_86220d3ecdf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p>
    <w:tbl>
      <w:tblPr>
        <w:tblW w:w="4097" w:type="dxa"/>
        <w:jc w:val="left"/>
        <w:tblInd w:w="0" w:type="dxa"/>
        <w:tblLayout w:type="fixed"/>
        <w:tblCellMar>
          <w:top w:w="0" w:type="dxa"/>
          <w:left w:w="0" w:type="dxa"/>
          <w:bottom w:w="0" w:type="dxa"/>
          <w:right w:w="0" w:type="dxa"/>
        </w:tblCellMar>
      </w:tblPr>
      <w:tblGrid>
        <w:gridCol w:w="271"/>
        <w:gridCol w:w="3826"/>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7.</w:t>
            </w:r>
          </w:p>
        </w:tc>
        <w:tc>
          <w:tcPr>
            <w:tcW w:w="38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Prepaid Expenses and Other Current Assets</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components of the Company’s prepaid and other current assets (in thousands) as of:</w:t>
      </w:r>
    </w:p>
    <w:tbl>
      <w:tblPr>
        <w:tblW w:w="7255" w:type="dxa"/>
        <w:jc w:val="left"/>
        <w:tblInd w:w="0" w:type="dxa"/>
        <w:tblLayout w:type="fixed"/>
        <w:tblCellMar>
          <w:top w:w="0" w:type="dxa"/>
          <w:left w:w="0" w:type="dxa"/>
          <w:bottom w:w="0" w:type="dxa"/>
          <w:right w:w="0" w:type="dxa"/>
        </w:tblCellMar>
      </w:tblPr>
      <w:tblGrid>
        <w:gridCol w:w="3931"/>
        <w:gridCol w:w="326"/>
        <w:gridCol w:w="267"/>
        <w:gridCol w:w="859"/>
        <w:gridCol w:w="326"/>
        <w:gridCol w:w="367"/>
        <w:gridCol w:w="1179"/>
      </w:tblGrid>
      <w:tr>
        <w:trPr/>
        <w:tc>
          <w:tcPr>
            <w:tcW w:w="3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496185" cy="175260"/>
                      <wp:effectExtent l="0" t="0" r="0" b="0"/>
                      <wp:wrapNone/>
                      <wp:docPr id="146" name="Frame146"/>
                      <a:graphic xmlns:a="http://schemas.openxmlformats.org/drawingml/2006/main">
                        <a:graphicData uri="http://schemas.microsoft.com/office/word/2010/wordprocessingShape">
                          <wps:wsp>
                            <wps:cNvSpPr txBox="1"/>
                            <wps:spPr>
                              <a:xfrm>
                                <a:off x="0" y="0"/>
                                <a:ext cx="2496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69545" cy="175260"/>
                      <wp:effectExtent l="0" t="0" r="0" b="0"/>
                      <wp:wrapNone/>
                      <wp:docPr id="148" name="Frame148"/>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545465" cy="175260"/>
                      <wp:effectExtent l="0" t="0" r="0" b="0"/>
                      <wp:wrapNone/>
                      <wp:docPr id="149" name="Frame149"/>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33045" cy="175260"/>
                      <wp:effectExtent l="0" t="0" r="0" b="0"/>
                      <wp:wrapNone/>
                      <wp:docPr id="151" name="Frame151"/>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748665" cy="175260"/>
                      <wp:effectExtent l="0" t="0" r="0" b="0"/>
                      <wp:wrapNone/>
                      <wp:docPr id="152" name="Frame152"/>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67"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left"/>
              <w:rPr/>
            </w:pPr>
            <w:r>
              <w:rPr/>
              <w:t>​</w:t>
            </w:r>
          </w:p>
        </w:tc>
      </w:tr>
      <w:tr>
        <w:trPr/>
        <w:tc>
          <w:tcPr>
            <w:tcW w:w="3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insurance</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2,562</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1,520</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Corn derivative contracts</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652</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right"/>
              <w:rPr/>
            </w:pPr>
            <w:r>
              <w:rPr/>
              <w:t>—</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receivable</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feedstock</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1,097</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credit sale - receivable</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4,675</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right"/>
              <w:rPr/>
            </w:pPr>
            <w:r>
              <w:rPr/>
              <w:t>—</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2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7,008</w:t>
            </w:r>
          </w:p>
        </w:tc>
        <w:tc>
          <w:tcPr>
            <w:tcW w:w="326" w:type="dxa"/>
            <w:tcBorders/>
            <w:vAlign w:val="center"/>
          </w:tcPr>
          <w:p>
            <w:pPr>
              <w:pStyle w:val="TableContents"/>
              <w:bidi w:val="0"/>
              <w:spacing w:before="0" w:after="1"/>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2,573</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prepaid expenses and 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15,576</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5,920</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tbl>
      <w:tblPr>
        <w:tblW w:w="4652" w:type="dxa"/>
        <w:jc w:val="left"/>
        <w:tblInd w:w="0" w:type="dxa"/>
        <w:tblLayout w:type="fixed"/>
        <w:tblCellMar>
          <w:top w:w="0" w:type="dxa"/>
          <w:left w:w="0" w:type="dxa"/>
          <w:bottom w:w="0" w:type="dxa"/>
          <w:right w:w="0" w:type="dxa"/>
        </w:tblCellMar>
      </w:tblPr>
      <w:tblGrid>
        <w:gridCol w:w="271"/>
        <w:gridCol w:w="438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8.</w:t>
            </w:r>
          </w:p>
        </w:tc>
        <w:tc>
          <w:tcPr>
            <w:tcW w:w="43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Leases, Right-of-Use Assets and Related Liabilities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is party to an operating lease for the Company’s office and research facility in Englewood, Colorado, which expires in January 2029, and an operating lease for additional office space in Albuquerque, New Mexico, which expires in 2026. The Company’s office facility lease contains an option to extend the lease which is not included in the length of the term as management does not reasonably expect to exercise. The additional office space lease does not contain an option to extend.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four finance leases for land, one for a processing facility, and one for a piece of operating equipment. The land leases are for NW Iowa RNG. The Company leases land from dairy farmers on which it has built three anaerobic digesters, and a gas upgrade facility to condition raw biogas from cow manure provided by the farmers. These leases expire at various dates between 2031 and 2050</w:t>
      </w:r>
      <w:r>
        <w:rPr>
          <w:rFonts w:ascii="Times New Roman;Times;serif" w:hAnsi="Times New Roman;Times;serif"/>
          <w:i/>
          <w:sz w:val="20"/>
        </w:rPr>
        <w:t>.</w:t>
      </w:r>
      <w:r>
        <w:rPr>
          <w:rFonts w:ascii="Times New Roman;Times;serif" w:hAnsi="Times New Roman;Times;serif"/>
          <w:sz w:val="20"/>
        </w:rPr>
        <w:t xml:space="preserve"> The Company accounts for lease components separately from non-lease components for the Company’s dairy lease asset class. The total consideration in the lease agreement is allocated to the lease and non-lease components based on their relative standalone selling prices. These leases contain options to extend the leases, which management reasonably expects to exercise and are included in the length of the terms. The lease of operating equipment is to be used at NW Iowa RNG, and expires in the second half of 2025. The lease does not contain an option to extend, and contains a purchase option upon termination that the Company expects to exercise.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August 2024, the Company entered into an amendment that extended the term of an existing agreement to use a third-party processing facility beyond the previous 12 month term, which resulted in the agreement being recorded as a lease. The agreement for the leased facility expires in the second half of 2025, with no option to extend the lease term. Lease amortization for the third-party processing facility was recorded as a component of Project development costs on the Condensed Consolidated Statement of Operations prior to the signing of a customer offtake agreement in August 2024, and after which it is included as a component of work-in-progress inventory, to be expended as a component of Cost of production as sales are made in future periods.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connection with the Company’s acquisition of Red Trail Energy, the Company assumed rail car lease agreements used to transport dried distillers grains, all of which are classified as operating leases. As these agreements did not specify an implicit interest rate, the Company utilized its estimated incremental borrowing rate to calculate the present value of future minimum lease payments in accordance with purchase accounting requirements as of the acquisition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934" w:name="Tc_ZZrZK_F_GEmimS1s8i8Z3w_12_5"/>
      <w:bookmarkStart w:id="935" w:name="Tc_b6PkMvC2gE-RgCef0DEYBQ_12_2"/>
      <w:bookmarkStart w:id="936" w:name="Tc_VvEjp1Yaq0K0_16E8zF2ZA_12_0"/>
      <w:bookmarkStart w:id="937" w:name="Tc_QTj3MjmkQUOPJoXGPzz_DA_11_0"/>
      <w:bookmarkStart w:id="938" w:name="Tc_mGZ5n5DqCEqvqdkZzS22pw_10_0"/>
      <w:bookmarkStart w:id="939" w:name="Tc_-YIdu-bxPk6o_eC5SNFSwg_9_0"/>
      <w:bookmarkStart w:id="940" w:name="Tc_AwyXmIuLgkuHAS0_NyeIvA_8_0"/>
      <w:bookmarkStart w:id="941" w:name="Tc_nQ3JXwLldE263_h-BAw75Q_7_0"/>
      <w:bookmarkStart w:id="942" w:name="Tc_m_PxDkmX80KOIaEDenMtyA_6_0"/>
      <w:bookmarkStart w:id="943" w:name="Tc_Hj1yFTBSR0GmcMuyMLxVPw_5_0"/>
      <w:bookmarkStart w:id="944" w:name="Tc_QM4IV6bnhUGWMEbjG20rPQ_4_0"/>
      <w:bookmarkStart w:id="945" w:name="Tc_PAZiErRGnEqEptW_j9kA5g_3_0"/>
      <w:bookmarkStart w:id="946" w:name="Tc_sn69mu-GMkW1SkQb4fOBQQ_2_5"/>
      <w:bookmarkStart w:id="947" w:name="Tc__9h-qtTUMEyi1lDw1E79Gg_2_2"/>
      <w:bookmarkStart w:id="948" w:name="Tc_iKNG-it-BEKVpMaDWMEg3g_2_0"/>
      <w:bookmarkStart w:id="949" w:name="Tc_-olmvVCqiE6LmyLRcgKMTg_1_5"/>
      <w:bookmarkStart w:id="950" w:name="Tc_YWyNa10wc02NHjxqkOxqlA_1_2"/>
      <w:bookmarkStart w:id="951" w:name="Tc_ib5T7eJ04UKN98hs4MFmWA_13_7"/>
      <w:bookmarkStart w:id="952" w:name="Tc_ifD9nzRVl0OlioNYZcjWTw_13_4"/>
      <w:bookmarkStart w:id="953" w:name="Tc_kVkMb5BDo0yqwkbL-pOL0Q_13_0"/>
      <w:bookmarkStart w:id="954" w:name="Tc_rEIG-eVa_kmyNnfPk5DqXg_12_7"/>
      <w:bookmarkStart w:id="955" w:name="Tc_yE7RXaQnZUSTcnrFpnD22w_12_4"/>
      <w:bookmarkStart w:id="956" w:name="Tc_USwuK2BaqE2p0GGvdiy0XA_12_0"/>
      <w:bookmarkStart w:id="957" w:name="Tc_xrOFTfM5PUSx-XOvIYCyYw_11_0"/>
      <w:bookmarkStart w:id="958" w:name="Tc_9_9hgxx1cUWGtVkCuaPayw_10_0"/>
      <w:bookmarkStart w:id="959" w:name="Tc_gtjjc8PWKEGppKoAdwIbtw_9_5"/>
      <w:bookmarkStart w:id="960" w:name="Tc_uq2P_YjGGEKJxnWAS4zgKA_9_2"/>
      <w:bookmarkStart w:id="961" w:name="Tc_vpoBO4k7Gka8Hd30hLRNDg_9_0"/>
      <w:bookmarkStart w:id="962" w:name="Tc_30DBrkUee0amLbjB_m9odg_8_5"/>
      <w:bookmarkStart w:id="963" w:name="Tc_QyL6f0xIvEeXsenLVkq7gQ_8_2"/>
      <w:bookmarkStart w:id="964" w:name="Tc_lciRlE0GXUihZq32nQV3GQ_8_0"/>
      <w:bookmarkStart w:id="965" w:name="Tc_y8uMR-DXOUuf7GXogWl6Uw_7_5"/>
      <w:bookmarkStart w:id="966" w:name="Tc_JUEyrhmZIEiWIIUbwsOmgw_7_2"/>
      <w:bookmarkStart w:id="967" w:name="Tc_UhHRTmhmikyoCnmGV-Wkxw_7_0"/>
      <w:bookmarkStart w:id="968" w:name="Tc_Oq-zJ4ViYEKxjPwsyXnhAg_6_5"/>
      <w:bookmarkStart w:id="969" w:name="Tc_VmpslPuGeEq-xxQKZ-SDPA_6_2"/>
      <w:bookmarkStart w:id="970" w:name="Tc_c0herkJ2MEevc6rtuHEtYw_6_0"/>
      <w:bookmarkStart w:id="971" w:name="Tc_tfy9LJMsSk2LSU8B6H5SDA_5_5"/>
      <w:bookmarkStart w:id="972" w:name="Tc_DI4UO812s0mCcpsa1n7WfA_5_2"/>
      <w:bookmarkStart w:id="973" w:name="Tc_dfRVA7q7Akq29E1qAI8NSg_5_0"/>
      <w:bookmarkStart w:id="974" w:name="Tc_uXB9LZBXrU69TSO-9je1IA_4_0"/>
      <w:bookmarkStart w:id="975" w:name="Tc_eYwGHU8Evk2MyUad8eb_KA_3_0"/>
      <w:bookmarkStart w:id="976" w:name="Tc_3Fqr3rFk2EyvVI-8v2HKcg_2_5"/>
      <w:bookmarkStart w:id="977" w:name="Tc_pbnzJV7F30mKe_PLM89onA_2_2"/>
      <w:bookmarkStart w:id="978" w:name="Tc_ddUoSq0YP0-fwOQAh0CwvA_1_2"/>
      <w:bookmarkStart w:id="979" w:name="_fafa6307_760a_4868_a239_e430cb9c5c58"/>
      <w:bookmarkStart w:id="980" w:name="Tc_rCJ6rzLDWUy7B2RbyzzuCg_7_5"/>
      <w:bookmarkStart w:id="981" w:name="Tc_4M0APTaAfkii-4TrdnKyVw_7_2"/>
      <w:bookmarkStart w:id="982" w:name="Tc_lQ8FrTh9Hkmlrt7WC6nrGQ_7_0"/>
      <w:bookmarkStart w:id="983" w:name="Tc_t1Ik8Sxq_0O5Xijhl-MIXg_6_0"/>
      <w:bookmarkStart w:id="984" w:name="Tc_Kb9foteaskqvBzx136TSgg_5_0"/>
      <w:bookmarkStart w:id="985" w:name="Tc_iVKSqfKOP0mmf--B-0bhgg_4_0"/>
      <w:bookmarkStart w:id="986" w:name="Tc_5ocnc0GhYUq5x-rfWKoEjw_3_5"/>
      <w:bookmarkStart w:id="987" w:name="Tc_DIFe-O1NOUW40T6k0xHUzg_3_2"/>
      <w:bookmarkStart w:id="988" w:name="Tc_UxrAb17qP0GHmnTcrzbQdg_3_0"/>
      <w:bookmarkStart w:id="989" w:name="Tc_vufx_aCswkO0m-14UVK0aQ_2_5"/>
      <w:bookmarkStart w:id="990" w:name="Tc_o7-vnSlDWkGardywA4VlUQ_2_2"/>
      <w:bookmarkStart w:id="991" w:name="Tc_aY6FHpbF0kSyOC-VyXsuaA_1_2"/>
      <w:bookmarkStart w:id="992" w:name="_b9751d0d_3bb8_4873_abc4_dc23b335bd2f"/>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r>
        <w:rPr>
          <w:rFonts w:ascii="Times New Roman;Times;serif" w:hAnsi="Times New Roman;Times;serif"/>
          <w:sz w:val="20"/>
        </w:rPr>
        <w:t>The following tables present the (i) costs by lease category, (ii) other quantitative information, and (iii) future minimum payments under non-cancelable financing and operating leases as they relate to the Company’s leases (in thousands, except for weighted averages):</w:t>
      </w:r>
    </w:p>
    <w:tbl>
      <w:tblPr>
        <w:tblW w:w="4889" w:type="dxa"/>
        <w:jc w:val="left"/>
        <w:tblInd w:w="0" w:type="dxa"/>
        <w:tblLayout w:type="fixed"/>
        <w:tblCellMar>
          <w:top w:w="0" w:type="dxa"/>
          <w:left w:w="0" w:type="dxa"/>
          <w:bottom w:w="0" w:type="dxa"/>
          <w:right w:w="0" w:type="dxa"/>
        </w:tblCellMar>
      </w:tblPr>
      <w:tblGrid>
        <w:gridCol w:w="2476"/>
        <w:gridCol w:w="109"/>
        <w:gridCol w:w="256"/>
        <w:gridCol w:w="694"/>
        <w:gridCol w:w="396"/>
        <w:gridCol w:w="256"/>
        <w:gridCol w:w="511"/>
        <w:gridCol w:w="191"/>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572260" cy="175260"/>
                      <wp:effectExtent l="0" t="0" r="0" b="0"/>
                      <wp:wrapNone/>
                      <wp:docPr id="153" name="Frame153"/>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9215" cy="175260"/>
                      <wp:effectExtent l="0" t="0" r="0" b="0"/>
                      <wp:wrapNone/>
                      <wp:docPr id="154" name="Frame1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62560" cy="175260"/>
                      <wp:effectExtent l="0" t="0" r="0" b="0"/>
                      <wp:wrapNone/>
                      <wp:docPr id="155" name="Frame155"/>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440690" cy="175260"/>
                      <wp:effectExtent l="0" t="0" r="0" b="0"/>
                      <wp:wrapNone/>
                      <wp:docPr id="156" name="Frame156"/>
                      <a:graphic xmlns:a="http://schemas.openxmlformats.org/drawingml/2006/main">
                        <a:graphicData uri="http://schemas.microsoft.com/office/word/2010/wordprocessingShape">
                          <wps:wsp>
                            <wps:cNvSpPr txBox="1"/>
                            <wps:spPr>
                              <a:xfrm>
                                <a:off x="0" y="0"/>
                                <a:ext cx="440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51460" cy="175260"/>
                      <wp:effectExtent l="0" t="0" r="0" b="0"/>
                      <wp:wrapNone/>
                      <wp:docPr id="157" name="Frame157"/>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62560" cy="175260"/>
                      <wp:effectExtent l="0" t="0" r="0" b="0"/>
                      <wp:wrapNone/>
                      <wp:docPr id="158" name="Frame158"/>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324485" cy="175260"/>
                      <wp:effectExtent l="0" t="0" r="0" b="0"/>
                      <wp:wrapNone/>
                      <wp:docPr id="159" name="Frame15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21285" cy="175260"/>
                      <wp:effectExtent l="0" t="0" r="0" b="0"/>
                      <wp:wrapNone/>
                      <wp:docPr id="160" name="Frame16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191" w:type="dxa"/>
            <w:tcBorders/>
            <w:vAlign w:val="center"/>
          </w:tcPr>
          <w:p>
            <w:pPr>
              <w:pStyle w:val="TableContents"/>
              <w:bidi w:val="0"/>
              <w:spacing w:before="0" w:after="1"/>
              <w:ind w:left="0" w:right="0" w:hanging="0"/>
              <w:jc w:val="center"/>
              <w:rPr/>
            </w:pPr>
            <w:r>
              <w:rPr/>
              <w:t> </w:t>
            </w:r>
          </w:p>
        </w:tc>
      </w:tr>
      <w:tr>
        <w:trPr/>
        <w:tc>
          <w:tcPr>
            <w:tcW w:w="24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6" w:type="dxa"/>
            <w:tcBorders/>
            <w:vAlign w:val="center"/>
          </w:tcPr>
          <w:p>
            <w:pPr>
              <w:pStyle w:val="TableContents"/>
              <w:bidi w:val="0"/>
              <w:spacing w:before="0" w:after="1"/>
              <w:ind w:left="0" w:right="0" w:hanging="0"/>
              <w:jc w:val="left"/>
              <w:rPr/>
            </w:pPr>
            <w:r>
              <w:rPr/>
              <w:t>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91" w:type="dxa"/>
            <w:tcBorders/>
            <w:vAlign w:val="center"/>
          </w:tcPr>
          <w:p>
            <w:pPr>
              <w:pStyle w:val="TableContents"/>
              <w:bidi w:val="0"/>
              <w:spacing w:before="0" w:after="1"/>
              <w:ind w:left="0" w:right="0" w:hanging="0"/>
              <w:jc w:val="center"/>
              <w:rPr/>
            </w:pPr>
            <w:r>
              <w:rPr/>
              <w:t> </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w:t>
            </w:r>
          </w:p>
        </w:tc>
        <w:tc>
          <w:tcPr>
            <w:tcW w:w="39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24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 expense:</w:t>
            </w:r>
          </w:p>
        </w:tc>
        <w:tc>
          <w:tcPr>
            <w:tcW w:w="109"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694" w:type="dxa"/>
            <w:tcBorders/>
            <w:vAlign w:val="center"/>
          </w:tcPr>
          <w:p>
            <w:pPr>
              <w:pStyle w:val="TableContents"/>
              <w:bidi w:val="0"/>
              <w:spacing w:before="0" w:after="1"/>
              <w:ind w:left="0" w:right="0" w:hanging="0"/>
              <w:jc w:val="left"/>
              <w:rPr/>
            </w:pPr>
            <w:r>
              <w:rPr/>
              <w:t>​</w:t>
            </w:r>
          </w:p>
        </w:tc>
        <w:tc>
          <w:tcPr>
            <w:tcW w:w="39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191" w:type="dxa"/>
            <w:tcBorders/>
            <w:vAlign w:val="center"/>
          </w:tcPr>
          <w:p>
            <w:pPr>
              <w:pStyle w:val="TableContents"/>
              <w:bidi w:val="0"/>
              <w:spacing w:before="0" w:after="1"/>
              <w:ind w:left="0" w:right="0" w:hanging="0"/>
              <w:jc w:val="left"/>
              <w:rPr/>
            </w:pPr>
            <w:r>
              <w:rPr/>
              <w:t>​</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leased assets</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6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720</w:t>
            </w:r>
          </w:p>
        </w:tc>
        <w:tc>
          <w:tcPr>
            <w:tcW w:w="39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24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on lease liabilities</w:t>
            </w:r>
          </w:p>
        </w:tc>
        <w:tc>
          <w:tcPr>
            <w:tcW w:w="109" w:type="dxa"/>
            <w:tcBorders/>
            <w:vAlign w:val="center"/>
          </w:tcPr>
          <w:p>
            <w:pPr>
              <w:pStyle w:val="TableContents"/>
              <w:bidi w:val="0"/>
              <w:spacing w:before="0" w:after="1"/>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w:t>
            </w:r>
          </w:p>
        </w:tc>
        <w:tc>
          <w:tcPr>
            <w:tcW w:w="396" w:type="dxa"/>
            <w:tcBorders/>
            <w:vAlign w:val="center"/>
          </w:tcPr>
          <w:p>
            <w:pPr>
              <w:pStyle w:val="TableContents"/>
              <w:bidi w:val="0"/>
              <w:spacing w:before="0" w:after="1"/>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w:t>
            </w:r>
          </w:p>
        </w:tc>
        <w:tc>
          <w:tcPr>
            <w:tcW w:w="191" w:type="dxa"/>
            <w:tcBorders/>
            <w:vAlign w:val="center"/>
          </w:tcPr>
          <w:p>
            <w:pPr>
              <w:pStyle w:val="TableContents"/>
              <w:bidi w:val="0"/>
              <w:spacing w:before="0" w:after="1"/>
              <w:ind w:left="0" w:right="0" w:hanging="0"/>
              <w:jc w:val="left"/>
              <w:rPr/>
            </w:pPr>
            <w:r>
              <w:rPr/>
              <w:t>​</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expense</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1,117</w:t>
            </w:r>
          </w:p>
        </w:tc>
        <w:tc>
          <w:tcPr>
            <w:tcW w:w="396" w:type="dxa"/>
            <w:tcBorders/>
            <w:shd w:fill="CCEEFF" w:val="clear"/>
            <w:vAlign w:val="center"/>
          </w:tcPr>
          <w:p>
            <w:pPr>
              <w:pStyle w:val="TableContents"/>
              <w:bidi w:val="0"/>
              <w:spacing w:before="0" w:after="1"/>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606</w:t>
            </w:r>
          </w:p>
        </w:tc>
        <w:tc>
          <w:tcPr>
            <w:tcW w:w="19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left"/>
        <w:rPr/>
      </w:pPr>
      <w:r>
        <w:rPr/>
        <w:t>​</w:t>
      </w:r>
    </w:p>
    <w:tbl>
      <w:tblPr>
        <w:tblW w:w="8875" w:type="dxa"/>
        <w:jc w:val="left"/>
        <w:tblInd w:w="0" w:type="dxa"/>
        <w:tblLayout w:type="fixed"/>
        <w:tblCellMar>
          <w:top w:w="0" w:type="dxa"/>
          <w:left w:w="0" w:type="dxa"/>
          <w:bottom w:w="0" w:type="dxa"/>
          <w:right w:w="0" w:type="dxa"/>
        </w:tblCellMar>
      </w:tblPr>
      <w:tblGrid>
        <w:gridCol w:w="6121"/>
        <w:gridCol w:w="326"/>
        <w:gridCol w:w="231"/>
        <w:gridCol w:w="627"/>
        <w:gridCol w:w="396"/>
        <w:gridCol w:w="231"/>
        <w:gridCol w:w="627"/>
        <w:gridCol w:w="316"/>
      </w:tblGrid>
      <w:tr>
        <w:trPr/>
        <w:tc>
          <w:tcPr>
            <w:tcW w:w="6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3886835" cy="175260"/>
                      <wp:effectExtent l="0" t="0" r="0" b="0"/>
                      <wp:wrapNone/>
                      <wp:docPr id="161" name="Frame161"/>
                      <a:graphic xmlns:a="http://schemas.openxmlformats.org/drawingml/2006/main">
                        <a:graphicData uri="http://schemas.microsoft.com/office/word/2010/wordprocessingShape">
                          <wps:wsp>
                            <wps:cNvSpPr txBox="1"/>
                            <wps:spPr>
                              <a:xfrm>
                                <a:off x="0" y="0"/>
                                <a:ext cx="3886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46685" cy="175260"/>
                      <wp:effectExtent l="0" t="0" r="0" b="0"/>
                      <wp:wrapNone/>
                      <wp:docPr id="163" name="Frame163"/>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398145" cy="175260"/>
                      <wp:effectExtent l="0" t="0" r="0" b="0"/>
                      <wp:wrapNone/>
                      <wp:docPr id="164" name="Frame164"/>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51460" cy="175260"/>
                      <wp:effectExtent l="0" t="0" r="0" b="0"/>
                      <wp:wrapNone/>
                      <wp:docPr id="165" name="Frame165"/>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46685" cy="175260"/>
                      <wp:effectExtent l="0" t="0" r="0" b="0"/>
                      <wp:wrapNone/>
                      <wp:docPr id="166" name="Frame166"/>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398145" cy="175260"/>
                      <wp:effectExtent l="0" t="0" r="0" b="0"/>
                      <wp:wrapNone/>
                      <wp:docPr id="167" name="Frame167"/>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0660" cy="175260"/>
                      <wp:effectExtent l="0" t="0" r="0" b="0"/>
                      <wp:wrapNone/>
                      <wp:docPr id="168" name="Frame16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1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11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16" w:type="dxa"/>
            <w:tcBorders/>
            <w:vAlign w:val="center"/>
          </w:tcPr>
          <w:p>
            <w:pPr>
              <w:pStyle w:val="TableContents"/>
              <w:bidi w:val="0"/>
              <w:spacing w:before="0" w:after="1"/>
              <w:ind w:left="0" w:right="0" w:hanging="0"/>
              <w:jc w:val="center"/>
              <w:rPr/>
            </w:pPr>
            <w:r>
              <w:rPr/>
              <w:t> </w:t>
            </w:r>
          </w:p>
        </w:tc>
      </w:tr>
      <w:tr>
        <w:trPr/>
        <w:tc>
          <w:tcPr>
            <w:tcW w:w="61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6" w:type="dxa"/>
            <w:tcBorders/>
            <w:vAlign w:val="center"/>
          </w:tcPr>
          <w:p>
            <w:pPr>
              <w:pStyle w:val="TableContents"/>
              <w:bidi w:val="0"/>
              <w:spacing w:before="0" w:after="1"/>
              <w:ind w:left="0" w:right="0" w:hanging="0"/>
              <w:jc w:val="left"/>
              <w:rPr/>
            </w:pPr>
            <w:r>
              <w:rPr/>
              <w:t>    </w:t>
            </w:r>
          </w:p>
        </w:tc>
        <w:tc>
          <w:tcPr>
            <w:tcW w:w="8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before="0" w:after="1"/>
              <w:ind w:left="0" w:right="0" w:hanging="0"/>
              <w:jc w:val="center"/>
              <w:rPr/>
            </w:pPr>
            <w:r>
              <w:rPr/>
              <w:t> </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Information</w:t>
            </w:r>
          </w:p>
        </w:tc>
        <w:tc>
          <w:tcPr>
            <w:tcW w:w="326" w:type="dxa"/>
            <w:tcBorders/>
            <w:shd w:fill="CCEEFF" w:val="clear"/>
            <w:vAlign w:val="center"/>
          </w:tcPr>
          <w:p>
            <w:pPr>
              <w:pStyle w:val="TableContents"/>
              <w:bidi w:val="0"/>
              <w:spacing w:before="0" w:after="1"/>
              <w:ind w:left="0" w:right="0" w:hanging="0"/>
              <w:jc w:val="left"/>
              <w:rPr/>
            </w:pPr>
            <w:r>
              <w:rPr/>
              <w:t> </w:t>
            </w:r>
          </w:p>
        </w:tc>
        <w:tc>
          <w:tcPr>
            <w:tcW w:w="231" w:type="dxa"/>
            <w:tcBorders/>
            <w:shd w:fill="CCEEFF" w:val="clear"/>
            <w:vAlign w:val="center"/>
          </w:tcPr>
          <w:p>
            <w:pPr>
              <w:pStyle w:val="TableContents"/>
              <w:bidi w:val="0"/>
              <w:spacing w:before="0" w:after="1"/>
              <w:ind w:left="0" w:right="0" w:hanging="0"/>
              <w:jc w:val="left"/>
              <w:rPr/>
            </w:pPr>
            <w:r>
              <w:rPr/>
              <w:t>​</w:t>
            </w:r>
          </w:p>
        </w:tc>
        <w:tc>
          <w:tcPr>
            <w:tcW w:w="627" w:type="dxa"/>
            <w:tcBorders/>
            <w:shd w:fill="CCEEFF" w:val="clear"/>
            <w:vAlign w:val="center"/>
          </w:tcPr>
          <w:p>
            <w:pPr>
              <w:pStyle w:val="TableContents"/>
              <w:bidi w:val="0"/>
              <w:spacing w:before="0" w:after="1"/>
              <w:ind w:left="0" w:right="0" w:hanging="0"/>
              <w:jc w:val="right"/>
              <w:rPr/>
            </w:pPr>
            <w:r>
              <w:rPr/>
              <w:t>  </w:t>
            </w:r>
          </w:p>
        </w:tc>
        <w:tc>
          <w:tcPr>
            <w:tcW w:w="396" w:type="dxa"/>
            <w:tcBorders/>
            <w:shd w:fill="CCEEFF" w:val="clear"/>
            <w:vAlign w:val="center"/>
          </w:tcPr>
          <w:p>
            <w:pPr>
              <w:pStyle w:val="TableContents"/>
              <w:bidi w:val="0"/>
              <w:spacing w:before="0" w:after="1"/>
              <w:ind w:left="0" w:right="0" w:hanging="0"/>
              <w:jc w:val="left"/>
              <w:rPr/>
            </w:pPr>
            <w:r>
              <w:rPr/>
              <w:t> </w:t>
            </w:r>
          </w:p>
        </w:tc>
        <w:tc>
          <w:tcPr>
            <w:tcW w:w="231" w:type="dxa"/>
            <w:tcBorders/>
            <w:shd w:fill="CCEEFF" w:val="clear"/>
            <w:vAlign w:val="center"/>
          </w:tcPr>
          <w:p>
            <w:pPr>
              <w:pStyle w:val="TableContents"/>
              <w:bidi w:val="0"/>
              <w:spacing w:before="0" w:after="1"/>
              <w:ind w:left="0" w:right="0" w:hanging="0"/>
              <w:jc w:val="left"/>
              <w:rPr/>
            </w:pPr>
            <w:r>
              <w:rPr/>
              <w:t>​</w:t>
            </w:r>
          </w:p>
        </w:tc>
        <w:tc>
          <w:tcPr>
            <w:tcW w:w="627"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6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326" w:type="dxa"/>
            <w:tcBorders/>
            <w:vAlign w:val="center"/>
          </w:tcPr>
          <w:p>
            <w:pPr>
              <w:pStyle w:val="TableContents"/>
              <w:bidi w:val="0"/>
              <w:spacing w:before="0" w:after="1"/>
              <w:ind w:left="0" w:right="0" w:hanging="0"/>
              <w:jc w:val="left"/>
              <w:rPr/>
            </w:pPr>
            <w:r>
              <w:rPr/>
              <w:t> </w:t>
            </w:r>
          </w:p>
        </w:tc>
        <w:tc>
          <w:tcPr>
            <w:tcW w:w="231" w:type="dxa"/>
            <w:tcBorders/>
            <w:vAlign w:val="center"/>
          </w:tcPr>
          <w:p>
            <w:pPr>
              <w:pStyle w:val="TableContents"/>
              <w:bidi w:val="0"/>
              <w:spacing w:before="0" w:after="1"/>
              <w:ind w:left="0" w:right="0" w:hanging="0"/>
              <w:jc w:val="left"/>
              <w:rPr/>
            </w:pPr>
            <w:r>
              <w:rPr/>
              <w:t>​</w:t>
            </w:r>
          </w:p>
        </w:tc>
        <w:tc>
          <w:tcPr>
            <w:tcW w:w="627" w:type="dxa"/>
            <w:tcBorders/>
            <w:vAlign w:val="center"/>
          </w:tcPr>
          <w:p>
            <w:pPr>
              <w:pStyle w:val="TableContents"/>
              <w:bidi w:val="0"/>
              <w:spacing w:before="0" w:after="1"/>
              <w:ind w:left="0" w:right="0" w:hanging="0"/>
              <w:jc w:val="right"/>
              <w:rPr/>
            </w:pPr>
            <w:r>
              <w:rPr/>
              <w:t>  </w:t>
            </w:r>
          </w:p>
        </w:tc>
        <w:tc>
          <w:tcPr>
            <w:tcW w:w="396" w:type="dxa"/>
            <w:tcBorders/>
            <w:vAlign w:val="center"/>
          </w:tcPr>
          <w:p>
            <w:pPr>
              <w:pStyle w:val="TableContents"/>
              <w:bidi w:val="0"/>
              <w:spacing w:before="0" w:after="1"/>
              <w:ind w:left="0" w:right="0" w:hanging="0"/>
              <w:jc w:val="left"/>
              <w:rPr/>
            </w:pPr>
            <w:r>
              <w:rPr/>
              <w:t> </w:t>
            </w:r>
          </w:p>
        </w:tc>
        <w:tc>
          <w:tcPr>
            <w:tcW w:w="231" w:type="dxa"/>
            <w:tcBorders/>
            <w:vAlign w:val="center"/>
          </w:tcPr>
          <w:p>
            <w:pPr>
              <w:pStyle w:val="TableContents"/>
              <w:bidi w:val="0"/>
              <w:spacing w:before="0" w:after="1"/>
              <w:ind w:left="0" w:right="0" w:hanging="0"/>
              <w:jc w:val="left"/>
              <w:rPr/>
            </w:pPr>
            <w:r>
              <w:rPr/>
              <w:t>​</w:t>
            </w:r>
          </w:p>
        </w:tc>
        <w:tc>
          <w:tcPr>
            <w:tcW w:w="627"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cash flows from finance leases</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830</w:t>
            </w:r>
          </w:p>
        </w:tc>
        <w:tc>
          <w:tcPr>
            <w:tcW w:w="39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6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cash flows from operating leases</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w:t>
            </w:r>
          </w:p>
        </w:tc>
        <w:tc>
          <w:tcPr>
            <w:tcW w:w="39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w:t>
            </w:r>
          </w:p>
        </w:tc>
        <w:tc>
          <w:tcPr>
            <w:tcW w:w="316" w:type="dxa"/>
            <w:tcBorders/>
            <w:vAlign w:val="center"/>
          </w:tcPr>
          <w:p>
            <w:pPr>
              <w:pStyle w:val="TableContents"/>
              <w:bidi w:val="0"/>
              <w:spacing w:before="0" w:after="1"/>
              <w:ind w:left="0" w:right="0" w:hanging="0"/>
              <w:jc w:val="left"/>
              <w:rPr/>
            </w:pPr>
            <w:r>
              <w:rPr/>
              <w:t>​</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cash flows from finance leases</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39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6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Right-of-use asset obtained in exchange for new finance lease liabilities</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9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2,444</w:t>
            </w:r>
          </w:p>
        </w:tc>
        <w:tc>
          <w:tcPr>
            <w:tcW w:w="316" w:type="dxa"/>
            <w:tcBorders/>
            <w:vAlign w:val="center"/>
          </w:tcPr>
          <w:p>
            <w:pPr>
              <w:pStyle w:val="TableContents"/>
              <w:bidi w:val="0"/>
              <w:spacing w:before="0" w:after="1"/>
              <w:ind w:left="0" w:right="0" w:hanging="0"/>
              <w:jc w:val="left"/>
              <w:rPr/>
            </w:pPr>
            <w:r>
              <w:rPr/>
              <w:t>​</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Right-of-use asset obtained in exchange for new 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1,337</w:t>
            </w:r>
          </w:p>
        </w:tc>
        <w:tc>
          <w:tcPr>
            <w:tcW w:w="39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6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remaining lease term, finance leases (months)</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6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9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6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16" w:type="dxa"/>
            <w:tcBorders/>
            <w:vAlign w:val="center"/>
          </w:tcPr>
          <w:p>
            <w:pPr>
              <w:pStyle w:val="TableContents"/>
              <w:bidi w:val="0"/>
              <w:spacing w:before="0" w:after="1"/>
              <w:ind w:left="0" w:right="0" w:hanging="0"/>
              <w:jc w:val="left"/>
              <w:rPr/>
            </w:pPr>
            <w:r>
              <w:rPr/>
              <w:t>​</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remaining lease term, operating leases (months)</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6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9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6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612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Weighted-average discount rate - finance leases </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6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31" w:type="dxa"/>
            <w:tcBorders/>
            <w:vAlign w:val="center"/>
          </w:tcPr>
          <w:p>
            <w:pPr>
              <w:pStyle w:val="TableContents"/>
              <w:bidi w:val="0"/>
              <w:spacing w:before="0" w:after="1"/>
              <w:ind w:left="0" w:right="0" w:hanging="0"/>
              <w:jc w:val="left"/>
              <w:rPr/>
            </w:pPr>
            <w:r>
              <w:rPr/>
              <w:t> </w:t>
            </w:r>
          </w:p>
        </w:tc>
        <w:tc>
          <w:tcPr>
            <w:tcW w:w="6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12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Weighted-average discount rate - operating leases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6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31" w:type="dxa"/>
            <w:tcBorders/>
            <w:shd w:fill="CCEEFF" w:val="clear"/>
            <w:vAlign w:val="center"/>
          </w:tcPr>
          <w:p>
            <w:pPr>
              <w:pStyle w:val="TableContents"/>
              <w:bidi w:val="0"/>
              <w:spacing w:before="0" w:after="1"/>
              <w:ind w:left="0" w:right="0" w:hanging="0"/>
              <w:jc w:val="left"/>
              <w:rPr/>
            </w:pPr>
            <w:r>
              <w:rPr/>
              <w:t> </w:t>
            </w:r>
          </w:p>
        </w:tc>
        <w:tc>
          <w:tcPr>
            <w:tcW w:w="6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our leases do not provide an implicit interest rate, we calculate the lease liability at lease commencement as the present value of unpaid lease payments using our estimated incremental borrowing rate. The incremental borrowing rate represents the rate of interest that we would have to pay to borrow an amount equal to the lease payments on a collateralized basis over a similar term and is determined using a portfolio approach based on information available at the commencement date of the lease.</w:t>
            </w:r>
          </w:p>
        </w:tc>
      </w:tr>
    </w:tbl>
    <w:p>
      <w:pPr>
        <w:pStyle w:val="TextBody"/>
        <w:bidi w:val="0"/>
        <w:spacing w:before="0" w:after="0"/>
        <w:ind w:left="0" w:right="0" w:hanging="0"/>
        <w:jc w:val="left"/>
        <w:rPr/>
      </w:pPr>
      <w:r>
        <w:rPr/>
        <w:t>​</w:t>
      </w:r>
    </w:p>
    <w:tbl>
      <w:tblPr>
        <w:tblW w:w="7523" w:type="dxa"/>
        <w:jc w:val="left"/>
        <w:tblInd w:w="0" w:type="dxa"/>
        <w:tblLayout w:type="fixed"/>
        <w:tblCellMar>
          <w:top w:w="0" w:type="dxa"/>
          <w:left w:w="0" w:type="dxa"/>
          <w:bottom w:w="0" w:type="dxa"/>
          <w:right w:w="0" w:type="dxa"/>
        </w:tblCellMar>
      </w:tblPr>
      <w:tblGrid>
        <w:gridCol w:w="4276"/>
        <w:gridCol w:w="326"/>
        <w:gridCol w:w="367"/>
        <w:gridCol w:w="998"/>
        <w:gridCol w:w="326"/>
        <w:gridCol w:w="314"/>
        <w:gridCol w:w="916"/>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715260" cy="175260"/>
                      <wp:effectExtent l="0" t="0" r="0" b="0"/>
                      <wp:wrapNone/>
                      <wp:docPr id="169" name="Frame169"/>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70" name="Frame1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33045" cy="175260"/>
                      <wp:effectExtent l="0" t="0" r="0" b="0"/>
                      <wp:wrapNone/>
                      <wp:docPr id="171" name="Frame171"/>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33730" cy="175260"/>
                      <wp:effectExtent l="0" t="0" r="0" b="0"/>
                      <wp:wrapNone/>
                      <wp:docPr id="172" name="Frame172"/>
                      <a:graphic xmlns:a="http://schemas.openxmlformats.org/drawingml/2006/main">
                        <a:graphicData uri="http://schemas.microsoft.com/office/word/2010/wordprocessingShape">
                          <wps:wsp>
                            <wps:cNvSpPr txBox="1"/>
                            <wps:spPr>
                              <a:xfrm>
                                <a:off x="0" y="0"/>
                                <a:ext cx="633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3" name="Frame1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99390" cy="175260"/>
                      <wp:effectExtent l="0" t="0" r="0" b="0"/>
                      <wp:wrapNone/>
                      <wp:docPr id="174" name="Frame174"/>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581660" cy="175260"/>
                      <wp:effectExtent l="0" t="0" r="0" b="0"/>
                      <wp:wrapNone/>
                      <wp:docPr id="175" name="Frame17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3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 Leases</w:t>
            </w:r>
          </w:p>
        </w:tc>
        <w:tc>
          <w:tcPr>
            <w:tcW w:w="326" w:type="dxa"/>
            <w:tcBorders/>
            <w:vAlign w:val="center"/>
          </w:tcPr>
          <w:p>
            <w:pPr>
              <w:pStyle w:val="TableContents"/>
              <w:bidi w:val="0"/>
              <w:spacing w:before="0" w:after="0"/>
              <w:ind w:left="0" w:right="0" w:hanging="0"/>
              <w:jc w:val="center"/>
              <w:rPr/>
            </w:pPr>
            <w:r>
              <w:rPr/>
              <w:t>    </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Finance Leases</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 (remaining)</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 and thereafter</w:t>
            </w:r>
          </w:p>
        </w:tc>
        <w:tc>
          <w:tcPr>
            <w:tcW w:w="32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0"/>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2,738</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1,885</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amounts representing present value discounts</w:t>
            </w:r>
          </w:p>
        </w:tc>
        <w:tc>
          <w:tcPr>
            <w:tcW w:w="32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c>
          <w:tcPr>
            <w:tcW w:w="326" w:type="dxa"/>
            <w:tcBorders/>
            <w:vAlign w:val="center"/>
          </w:tcPr>
          <w:p>
            <w:pPr>
              <w:pStyle w:val="TableContents"/>
              <w:bidi w:val="0"/>
              <w:spacing w:before="0" w:after="0"/>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2,380</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1,445</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w:t>
            </w:r>
          </w:p>
        </w:tc>
        <w:tc>
          <w:tcPr>
            <w:tcW w:w="32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w:t>
            </w:r>
          </w:p>
        </w:tc>
        <w:tc>
          <w:tcPr>
            <w:tcW w:w="326" w:type="dxa"/>
            <w:tcBorders/>
            <w:vAlign w:val="center"/>
          </w:tcPr>
          <w:p>
            <w:pPr>
              <w:pStyle w:val="TableContents"/>
              <w:bidi w:val="0"/>
              <w:spacing w:before="0" w:after="0"/>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1,703</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234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ind w:left="0" w:right="0" w:hanging="0"/>
        <w:jc w:val="left"/>
        <w:rPr>
          <w:sz w:val="4"/>
          <w:szCs w:val="4"/>
        </w:rPr>
      </w:pPr>
      <w:r>
        <w:rPr>
          <w:sz w:val="4"/>
          <w:szCs w:val="4"/>
        </w:rPr>
      </w:r>
      <w:bookmarkStart w:id="993" w:name="Tc_S0Q5yXDUbkaijWAT0w2Rcg_10_5"/>
      <w:bookmarkStart w:id="994" w:name="Tc_6UkMWIj44kidgn-nsL1sZQ_10_2"/>
      <w:bookmarkStart w:id="995" w:name="Tc_5_IZt0AyU0mkOifOMbCJGA_10_0"/>
      <w:bookmarkStart w:id="996" w:name="Tc_Vs9w_g0Jw0a-sdPJXRMucg_9_0"/>
      <w:bookmarkStart w:id="997" w:name="Tc_jgUr8WbRh0OBzbUyXnbBHQ_8_0"/>
      <w:bookmarkStart w:id="998" w:name="Tc_GrrZAsDn7kOtnoqQTqgTUQ_7_0"/>
      <w:bookmarkStart w:id="999" w:name="Tc_kTuSxEGnuka-LTBkdDrf9w_6_0"/>
      <w:bookmarkStart w:id="1000" w:name="Tc_c42y9mwl80eXY-KRyX81jQ_5_0"/>
      <w:bookmarkStart w:id="1001" w:name="Tc_SrPDLZwcDkGIIqVwAhQWLg_4_0"/>
      <w:bookmarkStart w:id="1002" w:name="Tc_k1f43JyRe0SjpR39Wzm53g_3_5"/>
      <w:bookmarkStart w:id="1003" w:name="Tc_NvNs5F_hZUaM8kqC9FNiag_3_2"/>
      <w:bookmarkStart w:id="1004" w:name="Tc_KXG7jsSJnEyXP92HuDIXjg_3_0"/>
      <w:bookmarkStart w:id="1005" w:name="Tc_4njEeWUt-Em_CAmQKwVMAw_2_5"/>
      <w:bookmarkStart w:id="1006" w:name="Tc_o2oOlYtg_0Smb6YMQOk7ww_2_2"/>
      <w:bookmarkStart w:id="1007" w:name="Tc_S0Q5yXDUbkaijWAT0w2Rcg_10_5"/>
      <w:bookmarkStart w:id="1008" w:name="Tc_6UkMWIj44kidgn-nsL1sZQ_10_2"/>
      <w:bookmarkStart w:id="1009" w:name="Tc_5_IZt0AyU0mkOifOMbCJGA_10_0"/>
      <w:bookmarkStart w:id="1010" w:name="Tc_Vs9w_g0Jw0a-sdPJXRMucg_9_0"/>
      <w:bookmarkStart w:id="1011" w:name="Tc_jgUr8WbRh0OBzbUyXnbBHQ_8_0"/>
      <w:bookmarkStart w:id="1012" w:name="Tc_GrrZAsDn7kOtnoqQTqgTUQ_7_0"/>
      <w:bookmarkStart w:id="1013" w:name="Tc_kTuSxEGnuka-LTBkdDrf9w_6_0"/>
      <w:bookmarkStart w:id="1014" w:name="Tc_c42y9mwl80eXY-KRyX81jQ_5_0"/>
      <w:bookmarkStart w:id="1015" w:name="Tc_SrPDLZwcDkGIIqVwAhQWLg_4_0"/>
      <w:bookmarkStart w:id="1016" w:name="Tc_k1f43JyRe0SjpR39Wzm53g_3_5"/>
      <w:bookmarkStart w:id="1017" w:name="Tc_NvNs5F_hZUaM8kqC9FNiag_3_2"/>
      <w:bookmarkStart w:id="1018" w:name="Tc_KXG7jsSJnEyXP92HuDIXjg_3_0"/>
      <w:bookmarkStart w:id="1019" w:name="Tc_4njEeWUt-Em_CAmQKwVMAw_2_5"/>
      <w:bookmarkStart w:id="1020" w:name="Tc_o2oOlYtg_0Smb6YMQOk7ww_2_2"/>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p>
    <w:tbl>
      <w:tblPr>
        <w:tblW w:w="1382" w:type="dxa"/>
        <w:jc w:val="left"/>
        <w:tblInd w:w="0" w:type="dxa"/>
        <w:tblLayout w:type="fixed"/>
        <w:tblCellMar>
          <w:top w:w="0" w:type="dxa"/>
          <w:left w:w="0" w:type="dxa"/>
          <w:bottom w:w="0" w:type="dxa"/>
          <w:right w:w="0" w:type="dxa"/>
        </w:tblCellMar>
      </w:tblPr>
      <w:tblGrid>
        <w:gridCol w:w="271"/>
        <w:gridCol w:w="111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9.</w:t>
            </w:r>
          </w:p>
        </w:tc>
        <w:tc>
          <w:tcPr>
            <w:tcW w:w="11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Inventories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Inventory is valued at the lower of cost or net realizable value. The following table sets forth the components of the Company’s inventory balances (in thousands) as of:</w:t>
      </w:r>
    </w:p>
    <w:p>
      <w:pPr>
        <w:pStyle w:val="TextBody"/>
        <w:bidi w:val="0"/>
        <w:spacing w:before="0" w:after="0"/>
        <w:ind w:left="0" w:right="0" w:hanging="0"/>
        <w:jc w:val="left"/>
        <w:rPr/>
      </w:pPr>
      <w:r>
        <w:rPr/>
        <w:t>​</w:t>
      </w:r>
    </w:p>
    <w:tbl>
      <w:tblPr>
        <w:tblW w:w="5470" w:type="dxa"/>
        <w:jc w:val="left"/>
        <w:tblInd w:w="0" w:type="dxa"/>
        <w:tblLayout w:type="fixed"/>
        <w:tblCellMar>
          <w:top w:w="0" w:type="dxa"/>
          <w:left w:w="0" w:type="dxa"/>
          <w:bottom w:w="0" w:type="dxa"/>
          <w:right w:w="0" w:type="dxa"/>
        </w:tblCellMar>
      </w:tblPr>
      <w:tblGrid>
        <w:gridCol w:w="2146"/>
        <w:gridCol w:w="326"/>
        <w:gridCol w:w="267"/>
        <w:gridCol w:w="859"/>
        <w:gridCol w:w="326"/>
        <w:gridCol w:w="367"/>
        <w:gridCol w:w="1179"/>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62710" cy="175260"/>
                      <wp:effectExtent l="0" t="0" r="0" b="0"/>
                      <wp:wrapNone/>
                      <wp:docPr id="176" name="Frame176"/>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7" name="Frame1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69545" cy="175260"/>
                      <wp:effectExtent l="0" t="0" r="0" b="0"/>
                      <wp:wrapNone/>
                      <wp:docPr id="178" name="Frame178"/>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545465" cy="175260"/>
                      <wp:effectExtent l="0" t="0" r="0" b="0"/>
                      <wp:wrapNone/>
                      <wp:docPr id="179" name="Frame179"/>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80" name="Frame1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33045" cy="175260"/>
                      <wp:effectExtent l="0" t="0" r="0" b="0"/>
                      <wp:wrapNone/>
                      <wp:docPr id="181" name="Frame181"/>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748665" cy="175260"/>
                      <wp:effectExtent l="0" t="0" r="0" b="0"/>
                      <wp:wrapNone/>
                      <wp:docPr id="182" name="Frame182"/>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67"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left"/>
              <w:rPr/>
            </w:pPr>
            <w:r>
              <w:rPr/>
              <w:t>​</w:t>
            </w:r>
          </w:p>
        </w:tc>
      </w:tr>
      <w:tr>
        <w:trPr/>
        <w:tc>
          <w:tcPr>
            <w:tcW w:w="21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1"/>
              <w:ind w:left="0" w:right="0" w:hanging="0"/>
              <w:jc w:val="left"/>
              <w:rPr/>
            </w:pPr>
            <w:r>
              <w:rPr/>
              <w:t> </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8,281</w:t>
            </w:r>
          </w:p>
        </w:tc>
        <w:tc>
          <w:tcPr>
            <w:tcW w:w="326" w:type="dxa"/>
            <w:tcBorders/>
            <w:shd w:fill="CCEEFF" w:val="clear"/>
            <w:vAlign w:val="center"/>
          </w:tcPr>
          <w:p>
            <w:pPr>
              <w:pStyle w:val="TableContents"/>
              <w:bidi w:val="0"/>
              <w:spacing w:before="0" w:after="1"/>
              <w:ind w:left="0" w:right="0" w:hanging="0"/>
              <w:jc w:val="left"/>
              <w:rPr/>
            </w:pPr>
            <w:r>
              <w:rPr/>
              <w:t> </w:t>
            </w:r>
          </w:p>
        </w:tc>
        <w:tc>
          <w:tcPr>
            <w:tcW w:w="3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pPr>
            <w:r>
              <w:rPr/>
              <w:t>​</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Biofuels</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1,836</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1,250</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pPr>
            <w:r>
              <w:rPr/>
              <w:t>​</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Environmental attributes</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2,162</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2,146</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Biofuels</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1,157</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Spare parts</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3,503</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inventories</w:t>
            </w:r>
          </w:p>
        </w:tc>
        <w:tc>
          <w:tcPr>
            <w:tcW w:w="326" w:type="dxa"/>
            <w:tcBorders/>
            <w:vAlign w:val="center"/>
          </w:tcPr>
          <w:p>
            <w:pPr>
              <w:pStyle w:val="TableContents"/>
              <w:bidi w:val="0"/>
              <w:spacing w:before="0" w:after="1"/>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16,939</w:t>
            </w:r>
          </w:p>
        </w:tc>
        <w:tc>
          <w:tcPr>
            <w:tcW w:w="326" w:type="dxa"/>
            <w:tcBorders/>
            <w:vAlign w:val="center"/>
          </w:tcPr>
          <w:p>
            <w:pPr>
              <w:pStyle w:val="TableContents"/>
              <w:bidi w:val="0"/>
              <w:spacing w:before="0" w:after="1"/>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4,502</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 has entered into forward corn purchase contracts under which it is required to take delivery at the contract price. At the time the contracts were created, the price of the contract approximated market price. Subsequent changes in market conditions could cause the contract prices to become higher or lower than market prices. As of June 30, 2025, the average price of corn purchased under certain fixed price contracts, that had not yet been delivered, was higher than the approximated market price. The amount of potential loss was determined by applying a methodology similar to that used in the impairment valuation with respect to inventory. Given the uncertainty of future ethanol prices, future losses on the outstanding purchase commitments could be recorded in future periods.</w:t>
      </w:r>
    </w:p>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240"/>
        <w:ind w:left="0" w:right="0" w:firstLine="360"/>
        <w:jc w:val="left"/>
        <w:rPr/>
      </w:pPr>
      <w:bookmarkStart w:id="1021" w:name="Tc_RG1H6xjRikK-O3ZrHyIriw_4_14"/>
      <w:bookmarkStart w:id="1022" w:name="Tc_LdamTW96-0qxK0XEwDRoyQ_4_13"/>
      <w:bookmarkStart w:id="1023" w:name="Tc_JoVP5jqBtEC_KvadGufVlA_4_10"/>
      <w:bookmarkStart w:id="1024" w:name="Tc_zS0_5rNms0Gbr1y3_AJlrg_4_8"/>
      <w:bookmarkStart w:id="1025" w:name="Tc_YzzJ-kJF2kS9NEWEp0ZLBw_4_7"/>
      <w:bookmarkStart w:id="1026" w:name="Tc_ZQef4kW9cUi3SafQ6zSBmA_4_4"/>
      <w:bookmarkStart w:id="1027" w:name="Tc_MLM4_3I9lUa23tnI4Z3okg_4_0"/>
      <w:bookmarkStart w:id="1028" w:name="Tc_7Vn6IITwM02R3j_KrC5bhg_3_14"/>
      <w:bookmarkStart w:id="1029" w:name="Tc_VVMcEZnG40O4gfW_KYi71Q_3_13"/>
      <w:bookmarkStart w:id="1030" w:name="Tc_y03gh1Hg2EC70pXV8-P-WQ_3_10"/>
      <w:bookmarkStart w:id="1031" w:name="Tc_IKhXNphj6kStZcGOXVu5ag_3_8"/>
      <w:bookmarkStart w:id="1032" w:name="Tc_K6evZHjOdk2rsUSP9YBBTw_3_7"/>
      <w:bookmarkStart w:id="1033" w:name="Tc_rlxB8OW_Zk6-UD_rjFceRg_3_4"/>
      <w:bookmarkStart w:id="1034" w:name="Tc_Zb4erL4s90Wp6KfaG6YxBA_3_0"/>
      <w:bookmarkStart w:id="1035" w:name="Tc_tcvCgp-lokWwrST2TZ-r-w_2_13"/>
      <w:bookmarkStart w:id="1036" w:name="Tc_jeP8VdnOekWcIGrVzGbQbA_2_10"/>
      <w:bookmarkStart w:id="1037" w:name="Tc_EeEJTFocmUidWQb3xbQziQ_2_7"/>
      <w:bookmarkStart w:id="1038" w:name="Tc_SxrBmg2AX0u3sEDbPq2s6A_2_4"/>
      <w:bookmarkStart w:id="1039" w:name="Tc_KOvYrEuq-EKCFxm3lHa30Q_2_2"/>
      <w:bookmarkStart w:id="1040" w:name="Tc_haZFHCplRkmYWFQm2eMPIA_2_0"/>
      <w:bookmarkStart w:id="1041" w:name="Tc_TLaS2v4Eu0m7SzY-ncEaEg_1_10"/>
      <w:bookmarkStart w:id="1042" w:name="Tc__6UdsBVRZkWMwM_CJOOV_A_1_4"/>
      <w:bookmarkStart w:id="1043" w:name="_4490a124_0259_46da_a2d8_fc449a3aa487"/>
      <w:bookmarkStart w:id="1044" w:name="Tc_CiZni5NC2UGrRPizIyf0uw_4_7"/>
      <w:bookmarkStart w:id="1045" w:name="Tc_prMw8srVrECYvauVD6YiYA_4_0"/>
      <w:bookmarkStart w:id="1046" w:name="Tc_t6eqe_0mNEetIfVtZ-cOGw_3_7"/>
      <w:bookmarkStart w:id="1047" w:name="Tc_2e0QJ-zSOEy7GDA_AK2qAA_3_5"/>
      <w:bookmarkStart w:id="1048" w:name="Tc_m150q6JMSUG8dbL4a87qsQ_3_0"/>
      <w:bookmarkStart w:id="1049" w:name="Tc_4s94ApagYUuZ61KZKkcoCw_2_7"/>
      <w:bookmarkStart w:id="1050" w:name="Tc_pIXmhIcffEK0aWhD-Vkt0A_2_4"/>
      <w:bookmarkStart w:id="1051" w:name="Tc_wFZopbC8wkG6N44imkGyhw_2_2"/>
      <w:bookmarkStart w:id="1052" w:name="Tc_VZ5Q6JU0cUSveMcXoG1hlQ_2_0"/>
      <w:bookmarkStart w:id="1053" w:name="Tc_Y3U8Q185Kkqa3vWstJQy-A_1_2"/>
      <w:bookmarkStart w:id="1054" w:name="_2a6c9bb2_2dec_4f6e_96a1_40df638e14a7"/>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r>
        <w:rPr/>
        <w:t>​</w:t>
      </w:r>
    </w:p>
    <w:tbl>
      <w:tblPr>
        <w:tblW w:w="3332" w:type="dxa"/>
        <w:jc w:val="left"/>
        <w:tblInd w:w="0" w:type="dxa"/>
        <w:tblLayout w:type="fixed"/>
        <w:tblCellMar>
          <w:top w:w="0" w:type="dxa"/>
          <w:left w:w="0" w:type="dxa"/>
          <w:bottom w:w="0" w:type="dxa"/>
          <w:right w:w="0" w:type="dxa"/>
        </w:tblCellMar>
      </w:tblPr>
      <w:tblGrid>
        <w:gridCol w:w="376"/>
        <w:gridCol w:w="295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10.</w:t>
            </w:r>
          </w:p>
        </w:tc>
        <w:tc>
          <w:tcPr>
            <w:tcW w:w="295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Derivative Financial Instruments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uses corn commodity-based derivative financial instruments to manage the exposure to price risk related to corn purchases. The Company does not apply hedge accounting. Accordingly, these derivative contracts are recorded on the Company’s balance sheet at fair value and changes in fair value are recognized in Cost of production on the Condensed Consolidated Statements of Operations. Changes in fair value are recognized as non-cash adjustments on the Condensed Consolidated Statement of Cash Flows.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provides details regarding the Company's derivative financial instruments as recorded in Prepaid expenses and other current assets on the Condensed Consolidated Balance Sheets (in thousands):</w:t>
      </w:r>
    </w:p>
    <w:tbl>
      <w:tblPr>
        <w:tblW w:w="6065" w:type="dxa"/>
        <w:jc w:val="left"/>
        <w:tblInd w:w="0" w:type="dxa"/>
        <w:tblLayout w:type="fixed"/>
        <w:tblCellMar>
          <w:top w:w="0" w:type="dxa"/>
          <w:left w:w="0" w:type="dxa"/>
          <w:bottom w:w="0" w:type="dxa"/>
          <w:right w:w="0" w:type="dxa"/>
        </w:tblCellMar>
      </w:tblPr>
      <w:tblGrid>
        <w:gridCol w:w="1366"/>
        <w:gridCol w:w="326"/>
        <w:gridCol w:w="1156"/>
        <w:gridCol w:w="146"/>
        <w:gridCol w:w="1023"/>
        <w:gridCol w:w="792"/>
        <w:gridCol w:w="326"/>
        <w:gridCol w:w="266"/>
        <w:gridCol w:w="664"/>
      </w:tblGrid>
      <w:tr>
        <w:trPr/>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867410" cy="175260"/>
                      <wp:effectExtent l="0" t="0" r="0" b="0"/>
                      <wp:wrapNone/>
                      <wp:docPr id="183" name="Frame183"/>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4" name="Frame1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734060" cy="175260"/>
                      <wp:effectExtent l="0" t="0" r="0" b="0"/>
                      <wp:wrapNone/>
                      <wp:docPr id="185" name="Frame185"/>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92710" cy="175260"/>
                      <wp:effectExtent l="0" t="0" r="0" b="0"/>
                      <wp:wrapNone/>
                      <wp:docPr id="186" name="Frame18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9605" cy="175260"/>
                      <wp:effectExtent l="0" t="0" r="0" b="0"/>
                      <wp:wrapNone/>
                      <wp:docPr id="187" name="Frame187"/>
                      <a:graphic xmlns:a="http://schemas.openxmlformats.org/drawingml/2006/main">
                        <a:graphicData uri="http://schemas.microsoft.com/office/word/2010/wordprocessingShape">
                          <wps:wsp>
                            <wps:cNvSpPr txBox="1"/>
                            <wps:spPr>
                              <a:xfrm>
                                <a:off x="0" y="0"/>
                                <a:ext cx="649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502920" cy="175260"/>
                      <wp:effectExtent l="0" t="0" r="0" b="0"/>
                      <wp:wrapNone/>
                      <wp:docPr id="188" name="Frame188"/>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68910" cy="175260"/>
                      <wp:effectExtent l="0" t="0" r="0" b="0"/>
                      <wp:wrapNone/>
                      <wp:docPr id="190" name="Frame190"/>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421640" cy="175260"/>
                      <wp:effectExtent l="0" t="0" r="0" b="0"/>
                      <wp:wrapNone/>
                      <wp:docPr id="191" name="Frame191"/>
                      <a:graphic xmlns:a="http://schemas.openxmlformats.org/drawingml/2006/main">
                        <a:graphicData uri="http://schemas.microsoft.com/office/word/2010/wordprocessingShape">
                          <wps:wsp>
                            <wps:cNvSpPr txBox="1"/>
                            <wps:spPr>
                              <a:xfrm>
                                <a:off x="0" y="0"/>
                                <a:ext cx="421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4373"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13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 Type</w:t>
            </w:r>
          </w:p>
        </w:tc>
        <w:tc>
          <w:tcPr>
            <w:tcW w:w="326" w:type="dxa"/>
            <w:tcBorders/>
            <w:vAlign w:val="center"/>
          </w:tcPr>
          <w:p>
            <w:pPr>
              <w:pStyle w:val="TableContents"/>
              <w:bidi w:val="0"/>
              <w:spacing w:before="0" w:after="1"/>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Contracts</w:t>
            </w:r>
          </w:p>
        </w:tc>
        <w:tc>
          <w:tcPr>
            <w:tcW w:w="146" w:type="dxa"/>
            <w:tcBorders/>
            <w:vAlign w:val="center"/>
          </w:tcPr>
          <w:p>
            <w:pPr>
              <w:pStyle w:val="TableContents"/>
              <w:bidi w:val="0"/>
              <w:spacing w:before="0" w:after="1"/>
              <w:ind w:left="0" w:right="0" w:hanging="0"/>
              <w:jc w:val="center"/>
              <w:rPr/>
            </w:pPr>
            <w:r>
              <w:rPr/>
              <w:t>​</w:t>
            </w:r>
          </w:p>
        </w:tc>
        <w:tc>
          <w:tcPr>
            <w:tcW w:w="18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Notional Amount (Qty)</w:t>
            </w:r>
          </w:p>
        </w:tc>
        <w:tc>
          <w:tcPr>
            <w:tcW w:w="326" w:type="dxa"/>
            <w:tcBorders/>
            <w:vAlign w:val="center"/>
          </w:tcPr>
          <w:p>
            <w:pPr>
              <w:pStyle w:val="TableContents"/>
              <w:bidi w:val="0"/>
              <w:spacing w:before="0" w:after="1"/>
              <w:ind w:left="0" w:right="0" w:hanging="0"/>
              <w:jc w:val="center"/>
              <w:rPr/>
            </w:pPr>
            <w:r>
              <w:rPr/>
              <w:t>    </w:t>
            </w:r>
          </w:p>
        </w:tc>
        <w:tc>
          <w:tcPr>
            <w:tcW w:w="9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Corn futures</w:t>
            </w:r>
          </w:p>
        </w:tc>
        <w:tc>
          <w:tcPr>
            <w:tcW w:w="32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641</w:t>
            </w:r>
          </w:p>
        </w:tc>
        <w:tc>
          <w:tcPr>
            <w:tcW w:w="146" w:type="dxa"/>
            <w:tcBorders/>
            <w:shd w:fill="CCEEFF" w:val="clear"/>
            <w:vAlign w:val="center"/>
          </w:tcPr>
          <w:p>
            <w:pPr>
              <w:pStyle w:val="TableContents"/>
              <w:bidi w:val="0"/>
              <w:spacing w:before="0" w:after="1"/>
              <w:ind w:left="0" w:right="0" w:hanging="0"/>
              <w:jc w:val="left"/>
              <w:rPr/>
            </w:pPr>
            <w:r>
              <w:rPr/>
              <w:t> </w:t>
            </w:r>
          </w:p>
        </w:tc>
        <w:tc>
          <w:tcPr>
            <w:tcW w:w="10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3,205,000</w:t>
            </w:r>
          </w:p>
        </w:tc>
        <w:tc>
          <w:tcPr>
            <w:tcW w:w="792"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bushels</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652</w:t>
            </w:r>
          </w:p>
        </w:tc>
      </w:tr>
      <w:tr>
        <w:trPr/>
        <w:tc>
          <w:tcPr>
            <w:tcW w:w="13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fair value</w:t>
            </w:r>
          </w:p>
        </w:tc>
        <w:tc>
          <w:tcPr>
            <w:tcW w:w="32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23" w:type="dxa"/>
            <w:tcBorders/>
            <w:vAlign w:val="center"/>
          </w:tcPr>
          <w:p>
            <w:pPr>
              <w:pStyle w:val="TableContents"/>
              <w:bidi w:val="0"/>
              <w:spacing w:before="0" w:after="1"/>
              <w:ind w:left="0" w:right="0" w:hanging="0"/>
              <w:jc w:val="right"/>
              <w:rPr/>
            </w:pPr>
            <w:r>
              <w:rPr/>
              <w:t>  </w:t>
            </w:r>
          </w:p>
        </w:tc>
        <w:tc>
          <w:tcPr>
            <w:tcW w:w="792"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652</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Company’s gain (loss) recognized in income (in thousands):</w:t>
      </w:r>
    </w:p>
    <w:tbl>
      <w:tblPr>
        <w:tblW w:w="10205" w:type="dxa"/>
        <w:jc w:val="left"/>
        <w:tblInd w:w="0" w:type="dxa"/>
        <w:tblLayout w:type="fixed"/>
        <w:tblCellMar>
          <w:top w:w="0" w:type="dxa"/>
          <w:left w:w="0" w:type="dxa"/>
          <w:bottom w:w="0" w:type="dxa"/>
          <w:right w:w="0" w:type="dxa"/>
        </w:tblCellMar>
      </w:tblPr>
      <w:tblGrid>
        <w:gridCol w:w="2467"/>
        <w:gridCol w:w="326"/>
        <w:gridCol w:w="3088"/>
        <w:gridCol w:w="109"/>
        <w:gridCol w:w="263"/>
        <w:gridCol w:w="714"/>
        <w:gridCol w:w="407"/>
        <w:gridCol w:w="263"/>
        <w:gridCol w:w="432"/>
        <w:gridCol w:w="109"/>
        <w:gridCol w:w="240"/>
        <w:gridCol w:w="652"/>
        <w:gridCol w:w="372"/>
        <w:gridCol w:w="240"/>
        <w:gridCol w:w="523"/>
      </w:tblGrid>
      <w:tr>
        <w:trPr/>
        <w:tc>
          <w:tcPr>
            <w:tcW w:w="24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566545" cy="175260"/>
                      <wp:effectExtent l="0" t="0" r="0" b="0"/>
                      <wp:wrapNone/>
                      <wp:docPr id="192" name="Frame192"/>
                      <a:graphic xmlns:a="http://schemas.openxmlformats.org/drawingml/2006/main">
                        <a:graphicData uri="http://schemas.microsoft.com/office/word/2010/wordprocessingShape">
                          <wps:wsp>
                            <wps:cNvSpPr txBox="1"/>
                            <wps:spPr>
                              <a:xfrm>
                                <a:off x="0" y="0"/>
                                <a:ext cx="1566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3" name="Frame1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960880" cy="175260"/>
                      <wp:effectExtent l="0" t="0" r="0" b="0"/>
                      <wp:wrapNone/>
                      <wp:docPr id="194" name="Frame194"/>
                      <a:graphic xmlns:a="http://schemas.openxmlformats.org/drawingml/2006/main">
                        <a:graphicData uri="http://schemas.microsoft.com/office/word/2010/wordprocessingShape">
                          <wps:wsp>
                            <wps:cNvSpPr txBox="1"/>
                            <wps:spPr>
                              <a:xfrm>
                                <a:off x="0" y="0"/>
                                <a:ext cx="1960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9215" cy="175260"/>
                      <wp:effectExtent l="0" t="0" r="0" b="0"/>
                      <wp:wrapNone/>
                      <wp:docPr id="195" name="Frame1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67005" cy="175260"/>
                      <wp:effectExtent l="0" t="0" r="0" b="0"/>
                      <wp:wrapNone/>
                      <wp:docPr id="196" name="Frame196"/>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53390" cy="175260"/>
                      <wp:effectExtent l="0" t="0" r="0" b="0"/>
                      <wp:wrapNone/>
                      <wp:docPr id="197" name="Frame197"/>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58445" cy="175260"/>
                      <wp:effectExtent l="0" t="0" r="0" b="0"/>
                      <wp:wrapNone/>
                      <wp:docPr id="198" name="Frame198"/>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67005" cy="175260"/>
                      <wp:effectExtent l="0" t="0" r="0" b="0"/>
                      <wp:wrapNone/>
                      <wp:docPr id="199" name="Frame199"/>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74320" cy="175260"/>
                      <wp:effectExtent l="0" t="0" r="0" b="0"/>
                      <wp:wrapNone/>
                      <wp:docPr id="200" name="Frame200"/>
                      <a:graphic xmlns:a="http://schemas.openxmlformats.org/drawingml/2006/main">
                        <a:graphicData uri="http://schemas.microsoft.com/office/word/2010/wordprocessingShape">
                          <wps:wsp>
                            <wps:cNvSpPr txBox="1"/>
                            <wps:spPr>
                              <a:xfrm>
                                <a:off x="0" y="0"/>
                                <a:ext cx="274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9215" cy="175260"/>
                      <wp:effectExtent l="0" t="0" r="0" b="0"/>
                      <wp:wrapNone/>
                      <wp:docPr id="201" name="Frame2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52400" cy="175260"/>
                      <wp:effectExtent l="0" t="0" r="0" b="0"/>
                      <wp:wrapNone/>
                      <wp:docPr id="202" name="Frame202"/>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414020" cy="175260"/>
                      <wp:effectExtent l="0" t="0" r="0" b="0"/>
                      <wp:wrapNone/>
                      <wp:docPr id="203" name="Frame203"/>
                      <a:graphic xmlns:a="http://schemas.openxmlformats.org/drawingml/2006/main">
                        <a:graphicData uri="http://schemas.microsoft.com/office/word/2010/wordprocessingShape">
                          <wps:wsp>
                            <wps:cNvSpPr txBox="1"/>
                            <wps:spPr>
                              <a:xfrm>
                                <a:off x="0" y="0"/>
                                <a:ext cx="414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36220" cy="175260"/>
                      <wp:effectExtent l="0" t="0" r="0" b="0"/>
                      <wp:wrapNone/>
                      <wp:docPr id="204" name="Frame204"/>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52400" cy="175260"/>
                      <wp:effectExtent l="0" t="0" r="0" b="0"/>
                      <wp:wrapNone/>
                      <wp:docPr id="205" name="Frame205"/>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332105" cy="175260"/>
                      <wp:effectExtent l="0" t="0" r="0" b="0"/>
                      <wp:wrapNone/>
                      <wp:docPr id="206" name="Frame206"/>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08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07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0"/>
              <w:ind w:left="0" w:right="0" w:hanging="0"/>
              <w:jc w:val="center"/>
              <w:rPr/>
            </w:pPr>
            <w:r>
              <w:rPr/>
              <w:t>​</w:t>
            </w:r>
          </w:p>
        </w:tc>
        <w:tc>
          <w:tcPr>
            <w:tcW w:w="202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46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Statement of Operations Income/(Expense)</w:t>
            </w:r>
          </w:p>
        </w:tc>
        <w:tc>
          <w:tcPr>
            <w:tcW w:w="326" w:type="dxa"/>
            <w:tcBorders/>
            <w:vAlign w:val="center"/>
          </w:tcPr>
          <w:p>
            <w:pPr>
              <w:pStyle w:val="TableContents"/>
              <w:bidi w:val="0"/>
              <w:spacing w:before="0" w:after="0"/>
              <w:ind w:left="0" w:right="0" w:hanging="0"/>
              <w:jc w:val="center"/>
              <w:rPr/>
            </w:pPr>
            <w:r>
              <w:rPr/>
              <w:t>​</w:t>
            </w:r>
          </w:p>
        </w:tc>
        <w:tc>
          <w:tcPr>
            <w:tcW w:w="308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Location of gain (loss) in fair value recognized in income</w:t>
            </w:r>
          </w:p>
        </w:tc>
        <w:tc>
          <w:tcPr>
            <w:tcW w:w="109" w:type="dxa"/>
            <w:tcBorders/>
            <w:vAlign w:val="center"/>
          </w:tcPr>
          <w:p>
            <w:pPr>
              <w:pStyle w:val="TableContents"/>
              <w:bidi w:val="0"/>
              <w:spacing w:before="0" w:after="0"/>
              <w:ind w:left="0" w:right="0" w:hanging="0"/>
              <w:jc w:val="center"/>
              <w:rPr/>
            </w:pPr>
            <w:r>
              <w:rPr/>
              <w:t>​</w:t>
            </w:r>
          </w:p>
        </w:tc>
        <w:tc>
          <w:tcPr>
            <w:tcW w:w="9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7" w:type="dxa"/>
            <w:tcBorders/>
            <w:vAlign w:val="center"/>
          </w:tcPr>
          <w:p>
            <w:pPr>
              <w:pStyle w:val="TableContents"/>
              <w:bidi w:val="0"/>
              <w:spacing w:before="0" w:after="0"/>
              <w:ind w:left="0" w:right="0" w:hanging="0"/>
              <w:jc w:val="center"/>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8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72" w:type="dxa"/>
            <w:tcBorders/>
            <w:vAlign w:val="center"/>
          </w:tcPr>
          <w:p>
            <w:pPr>
              <w:pStyle w:val="TableContents"/>
              <w:bidi w:val="0"/>
              <w:spacing w:before="0" w:after="0"/>
              <w:ind w:left="0" w:right="0" w:hanging="0"/>
              <w:jc w:val="center"/>
              <w:rPr/>
            </w:pPr>
            <w:r>
              <w:rPr/>
              <w:t>    </w:t>
            </w:r>
          </w:p>
        </w:tc>
        <w:tc>
          <w:tcPr>
            <w:tcW w:w="7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4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Corn derivative instruments</w:t>
            </w:r>
          </w:p>
        </w:tc>
        <w:tc>
          <w:tcPr>
            <w:tcW w:w="326" w:type="dxa"/>
            <w:tcBorders/>
            <w:shd w:fill="CCEEFF" w:val="clear"/>
            <w:vAlign w:val="center"/>
          </w:tcPr>
          <w:p>
            <w:pPr>
              <w:pStyle w:val="TableContents"/>
              <w:bidi w:val="0"/>
              <w:spacing w:before="0" w:after="0"/>
              <w:ind w:left="0" w:right="0" w:hanging="0"/>
              <w:jc w:val="left"/>
              <w:rPr/>
            </w:pPr>
            <w:r>
              <w:rPr/>
              <w:t> </w:t>
            </w:r>
          </w:p>
        </w:tc>
        <w:tc>
          <w:tcPr>
            <w:tcW w:w="3088"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production</w:t>
            </w:r>
          </w:p>
        </w:tc>
        <w:tc>
          <w:tcPr>
            <w:tcW w:w="109"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1,603</w:t>
            </w:r>
          </w:p>
        </w:tc>
        <w:tc>
          <w:tcPr>
            <w:tcW w:w="407"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5,207</w:t>
            </w:r>
          </w:p>
        </w:tc>
        <w:tc>
          <w:tcPr>
            <w:tcW w:w="372"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4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fair value</w:t>
            </w:r>
          </w:p>
        </w:tc>
        <w:tc>
          <w:tcPr>
            <w:tcW w:w="326" w:type="dxa"/>
            <w:tcBorders/>
            <w:vAlign w:val="center"/>
          </w:tcPr>
          <w:p>
            <w:pPr>
              <w:pStyle w:val="TableContents"/>
              <w:bidi w:val="0"/>
              <w:spacing w:before="0" w:after="0"/>
              <w:ind w:left="0" w:right="0" w:hanging="0"/>
              <w:jc w:val="left"/>
              <w:rPr/>
            </w:pPr>
            <w:r>
              <w:rPr/>
              <w:t>​</w:t>
            </w:r>
          </w:p>
        </w:tc>
        <w:tc>
          <w:tcPr>
            <w:tcW w:w="308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1,603</w:t>
            </w:r>
          </w:p>
        </w:tc>
        <w:tc>
          <w:tcPr>
            <w:tcW w:w="407" w:type="dxa"/>
            <w:tcBorders/>
            <w:vAlign w:val="center"/>
          </w:tcPr>
          <w:p>
            <w:pPr>
              <w:pStyle w:val="TableContents"/>
              <w:bidi w:val="0"/>
              <w:spacing w:before="0" w:after="0"/>
              <w:ind w:left="0" w:right="0" w:hanging="0"/>
              <w:jc w:val="left"/>
              <w:rPr/>
            </w:pPr>
            <w:r>
              <w:rPr/>
              <w:t>​</w:t>
            </w:r>
          </w:p>
        </w:tc>
        <w:tc>
          <w:tcPr>
            <w:tcW w:w="26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5,207</w:t>
            </w:r>
          </w:p>
        </w:tc>
        <w:tc>
          <w:tcPr>
            <w:tcW w:w="372" w:type="dxa"/>
            <w:tcBorders/>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ind w:left="0" w:right="0" w:hanging="0"/>
        <w:jc w:val="left"/>
        <w:rPr>
          <w:sz w:val="4"/>
          <w:szCs w:val="4"/>
        </w:rPr>
      </w:pPr>
      <w:r>
        <w:rPr>
          <w:sz w:val="4"/>
          <w:szCs w:val="4"/>
        </w:rPr>
      </w:r>
      <w:bookmarkStart w:id="1055" w:name="Tc_pk0681enQEiTGYm0Rao1Mg_11_5"/>
      <w:bookmarkStart w:id="1056" w:name="Tc_l9itSThJc0a67D1ck5xTLA_11_2"/>
      <w:bookmarkStart w:id="1057" w:name="Tc_Y5XaltmVSU6our0bS2641w_11_0"/>
      <w:bookmarkStart w:id="1058" w:name="Tc_QdJAiVQwy0mt1or8okewZw_10_0"/>
      <w:bookmarkStart w:id="1059" w:name="Tc_37aQc-nfPkCJR3uY7dmE8g_9_0"/>
      <w:bookmarkStart w:id="1060" w:name="Tc_7MwqrF0_0kCIWWw_jpfsrw_8_0"/>
      <w:bookmarkStart w:id="1061" w:name="Tc_rZZVbQaxEUe2nOj5DmA4Ug_7_0"/>
      <w:bookmarkStart w:id="1062" w:name="Tc_yPBGI_isSkmpDrZBxCU0iA_6_0"/>
      <w:bookmarkStart w:id="1063" w:name="Tc_ZJJWznPfuE2vpBbcL4PmJA_5_0"/>
      <w:bookmarkStart w:id="1064" w:name="Tc_tcaUZo6LqE-Lf5x1Y1n0Xw_4_0"/>
      <w:bookmarkStart w:id="1065" w:name="Tc_CVfOCfBn7ECqHLr1Af3ihA_3_5"/>
      <w:bookmarkStart w:id="1066" w:name="Tc_xbIhe1dh60CcDHomkPmVFA_3_2"/>
      <w:bookmarkStart w:id="1067" w:name="Tc_xxvUgxo4CUK23Hfrtqno9g_3_0"/>
      <w:bookmarkStart w:id="1068" w:name="Tc_Y7xJI08dTU6tTZLSrG603g_2_5"/>
      <w:bookmarkStart w:id="1069" w:name="Tc_Fr0U_HB16EuIQXPHoiE7Lg_2_2"/>
      <w:bookmarkStart w:id="1070" w:name="_8d027fb1_4af5_4450_881a_1a445b8776bb"/>
      <w:bookmarkStart w:id="1071" w:name="Tc_pk0681enQEiTGYm0Rao1Mg_11_5"/>
      <w:bookmarkStart w:id="1072" w:name="Tc_l9itSThJc0a67D1ck5xTLA_11_2"/>
      <w:bookmarkStart w:id="1073" w:name="Tc_Y5XaltmVSU6our0bS2641w_11_0"/>
      <w:bookmarkStart w:id="1074" w:name="Tc_QdJAiVQwy0mt1or8okewZw_10_0"/>
      <w:bookmarkStart w:id="1075" w:name="Tc_37aQc-nfPkCJR3uY7dmE8g_9_0"/>
      <w:bookmarkStart w:id="1076" w:name="Tc_7MwqrF0_0kCIWWw_jpfsrw_8_0"/>
      <w:bookmarkStart w:id="1077" w:name="Tc_rZZVbQaxEUe2nOj5DmA4Ug_7_0"/>
      <w:bookmarkStart w:id="1078" w:name="Tc_yPBGI_isSkmpDrZBxCU0iA_6_0"/>
      <w:bookmarkStart w:id="1079" w:name="Tc_ZJJWznPfuE2vpBbcL4PmJA_5_0"/>
      <w:bookmarkStart w:id="1080" w:name="Tc_tcaUZo6LqE-Lf5x1Y1n0Xw_4_0"/>
      <w:bookmarkStart w:id="1081" w:name="Tc_CVfOCfBn7ECqHLr1Af3ihA_3_5"/>
      <w:bookmarkStart w:id="1082" w:name="Tc_xbIhe1dh60CcDHomkPmVFA_3_2"/>
      <w:bookmarkStart w:id="1083" w:name="Tc_xxvUgxo4CUK23Hfrtqno9g_3_0"/>
      <w:bookmarkStart w:id="1084" w:name="Tc_Y7xJI08dTU6tTZLSrG603g_2_5"/>
      <w:bookmarkStart w:id="1085" w:name="Tc_Fr0U_HB16EuIQXPHoiE7Lg_2_2"/>
      <w:bookmarkStart w:id="1086" w:name="_8d027fb1_4af5_4450_881a_1a445b8776bb"/>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p>
    <w:tbl>
      <w:tblPr>
        <w:tblW w:w="3167" w:type="dxa"/>
        <w:jc w:val="left"/>
        <w:tblInd w:w="0" w:type="dxa"/>
        <w:tblLayout w:type="fixed"/>
        <w:tblCellMar>
          <w:top w:w="0" w:type="dxa"/>
          <w:left w:w="0" w:type="dxa"/>
          <w:bottom w:w="0" w:type="dxa"/>
          <w:right w:w="0" w:type="dxa"/>
        </w:tblCellMar>
      </w:tblPr>
      <w:tblGrid>
        <w:gridCol w:w="376"/>
        <w:gridCol w:w="279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11.</w:t>
            </w:r>
          </w:p>
        </w:tc>
        <w:tc>
          <w:tcPr>
            <w:tcW w:w="279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Property, Plant and Equipment</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Company’s property, plant and equipment by classification (in thousands) as of:</w:t>
      </w:r>
    </w:p>
    <w:tbl>
      <w:tblPr>
        <w:tblW w:w="7435" w:type="dxa"/>
        <w:jc w:val="left"/>
        <w:tblInd w:w="0" w:type="dxa"/>
        <w:tblLayout w:type="fixed"/>
        <w:tblCellMar>
          <w:top w:w="0" w:type="dxa"/>
          <w:left w:w="0" w:type="dxa"/>
          <w:bottom w:w="0" w:type="dxa"/>
          <w:right w:w="0" w:type="dxa"/>
        </w:tblCellMar>
      </w:tblPr>
      <w:tblGrid>
        <w:gridCol w:w="4111"/>
        <w:gridCol w:w="326"/>
        <w:gridCol w:w="225"/>
        <w:gridCol w:w="901"/>
        <w:gridCol w:w="326"/>
        <w:gridCol w:w="297"/>
        <w:gridCol w:w="1249"/>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610485" cy="175260"/>
                      <wp:effectExtent l="0" t="0" r="0" b="0"/>
                      <wp:wrapNone/>
                      <wp:docPr id="207" name="Frame207"/>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8" name="Frame2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42875" cy="175260"/>
                      <wp:effectExtent l="0" t="0" r="0" b="0"/>
                      <wp:wrapNone/>
                      <wp:docPr id="209" name="Frame209"/>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572135" cy="175260"/>
                      <wp:effectExtent l="0" t="0" r="0" b="0"/>
                      <wp:wrapNone/>
                      <wp:docPr id="210" name="Frame21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88595" cy="175260"/>
                      <wp:effectExtent l="0" t="0" r="0" b="0"/>
                      <wp:wrapNone/>
                      <wp:docPr id="212" name="Frame212"/>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793115" cy="175260"/>
                      <wp:effectExtent l="0" t="0" r="0" b="0"/>
                      <wp:wrapNone/>
                      <wp:docPr id="213" name="Frame213"/>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2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left"/>
              <w:rPr/>
            </w:pPr>
            <w:r>
              <w:rPr/>
              <w:t>​</w:t>
            </w:r>
          </w:p>
        </w:tc>
      </w:tr>
      <w:tr>
        <w:trPr/>
        <w:tc>
          <w:tcPr>
            <w:tcW w:w="41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12,417</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6,592</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Plant facilities and infrastructure</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106,339</w:t>
            </w:r>
          </w:p>
        </w:tc>
        <w:tc>
          <w:tcPr>
            <w:tcW w:w="326" w:type="dxa"/>
            <w:tcBorders/>
            <w:vAlign w:val="center"/>
          </w:tcPr>
          <w:p>
            <w:pPr>
              <w:pStyle w:val="TableContents"/>
              <w:bidi w:val="0"/>
              <w:spacing w:before="0" w:after="1"/>
              <w:ind w:left="0" w:right="0" w:hanging="0"/>
              <w:jc w:val="righ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74,255</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150,653</w:t>
            </w:r>
          </w:p>
        </w:tc>
        <w:tc>
          <w:tcPr>
            <w:tcW w:w="326" w:type="dxa"/>
            <w:tcBorders/>
            <w:shd w:fill="CCEEFF" w:val="clear"/>
            <w:vAlign w:val="center"/>
          </w:tcPr>
          <w:p>
            <w:pPr>
              <w:pStyle w:val="TableContents"/>
              <w:bidi w:val="0"/>
              <w:spacing w:before="0" w:after="1"/>
              <w:ind w:left="0" w:right="0" w:hanging="0"/>
              <w:jc w:val="righ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79,637</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Furniture and office equipment</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2,887</w:t>
            </w:r>
          </w:p>
        </w:tc>
        <w:tc>
          <w:tcPr>
            <w:tcW w:w="326" w:type="dxa"/>
            <w:tcBorders/>
            <w:vAlign w:val="center"/>
          </w:tcPr>
          <w:p>
            <w:pPr>
              <w:pStyle w:val="TableContents"/>
              <w:bidi w:val="0"/>
              <w:spacing w:before="0" w:after="1"/>
              <w:ind w:left="0" w:right="0" w:hanging="0"/>
              <w:jc w:val="righ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2,779</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Software</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7,096</w:t>
            </w:r>
          </w:p>
        </w:tc>
        <w:tc>
          <w:tcPr>
            <w:tcW w:w="326" w:type="dxa"/>
            <w:tcBorders/>
            <w:shd w:fill="CCEEFF" w:val="clear"/>
            <w:vAlign w:val="center"/>
          </w:tcPr>
          <w:p>
            <w:pPr>
              <w:pStyle w:val="TableContents"/>
              <w:bidi w:val="0"/>
              <w:spacing w:before="0" w:after="1"/>
              <w:ind w:left="0" w:right="0" w:hanging="0"/>
              <w:jc w:val="righ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5,419</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2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173,550</w:t>
            </w:r>
          </w:p>
        </w:tc>
        <w:tc>
          <w:tcPr>
            <w:tcW w:w="326" w:type="dxa"/>
            <w:tcBorders/>
            <w:vAlign w:val="center"/>
          </w:tcPr>
          <w:p>
            <w:pPr>
              <w:pStyle w:val="TableContents"/>
              <w:bidi w:val="0"/>
              <w:spacing w:before="0" w:after="1"/>
              <w:ind w:left="0" w:right="0" w:hanging="0"/>
              <w:jc w:val="righ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154,272</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property, plant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452,942</w:t>
            </w:r>
          </w:p>
        </w:tc>
        <w:tc>
          <w:tcPr>
            <w:tcW w:w="326" w:type="dxa"/>
            <w:tcBorders/>
            <w:shd w:fill="CCEEFF" w:val="clear"/>
            <w:vAlign w:val="center"/>
          </w:tcPr>
          <w:p>
            <w:pPr>
              <w:pStyle w:val="TableContents"/>
              <w:bidi w:val="0"/>
              <w:spacing w:before="0" w:after="1"/>
              <w:ind w:left="0" w:right="0" w:hanging="0"/>
              <w:jc w:val="righ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322,954</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2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(108,028)</w:t>
            </w:r>
          </w:p>
        </w:tc>
        <w:tc>
          <w:tcPr>
            <w:tcW w:w="326" w:type="dxa"/>
            <w:tcBorders/>
            <w:vAlign w:val="center"/>
          </w:tcPr>
          <w:p>
            <w:pPr>
              <w:pStyle w:val="TableContents"/>
              <w:bidi w:val="0"/>
              <w:spacing w:before="0" w:after="1"/>
              <w:ind w:left="0" w:right="0" w:hanging="0"/>
              <w:jc w:val="righ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(101,312)</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344,914</w:t>
            </w:r>
          </w:p>
        </w:tc>
        <w:tc>
          <w:tcPr>
            <w:tcW w:w="326" w:type="dxa"/>
            <w:tcBorders/>
            <w:shd w:fill="CCEEFF" w:val="clear"/>
            <w:vAlign w:val="center"/>
          </w:tcPr>
          <w:p>
            <w:pPr>
              <w:pStyle w:val="TableContents"/>
              <w:bidi w:val="0"/>
              <w:spacing w:before="0" w:after="1"/>
              <w:ind w:left="0" w:right="0" w:hanging="0"/>
              <w:jc w:val="righ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221,642</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three months ended June 30, 2025 and 2024, the Company recorded depreciation expense of $3.4 million and $3.9 million, respectively. Depreciation expense recorded into inventory during the three months ended June 30, 2025 and 2024 was $1.5 million and $1.2 million, respectively. During the three months ended June 30, 2025 and 2024, $1.3 million and $1.3 million, respectively was recorded to depreciation expense due to sales of inventory. During the six months ended June 30, 2025 and 2024, the Company recorded depreciation expense of $6.3 million and $7.9 million, respectively. Depreciation expense recorded into inventory during the six months ended June 30, 2025 and 2024 was $2.8 million and $2.5 million, respectively. During the six months ended June 30, 2025 and 2024 $3.2 million and $2.5 million, respectively was recorded to depreciation expense due to sales of inventory. The Company’s Construction in progress primarily relates to our Alcohol-to-Jet projects, in particular engineering work, design work and modularization.</w:t>
      </w:r>
    </w:p>
    <w:tbl>
      <w:tblPr>
        <w:tblW w:w="3137" w:type="dxa"/>
        <w:jc w:val="left"/>
        <w:tblInd w:w="0" w:type="dxa"/>
        <w:tblLayout w:type="fixed"/>
        <w:tblCellMar>
          <w:top w:w="0" w:type="dxa"/>
          <w:left w:w="0" w:type="dxa"/>
          <w:bottom w:w="0" w:type="dxa"/>
          <w:right w:w="0" w:type="dxa"/>
        </w:tblCellMar>
      </w:tblPr>
      <w:tblGrid>
        <w:gridCol w:w="376"/>
        <w:gridCol w:w="276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12.</w:t>
            </w:r>
          </w:p>
        </w:tc>
        <w:tc>
          <w:tcPr>
            <w:tcW w:w="276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Intangible Assets and Goodwill</w:t>
            </w:r>
          </w:p>
        </w:tc>
      </w:tr>
    </w:tbl>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Intangible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six months ended June 30, 2025, the Company recognized as intangible assets, $21.5 million in income tax credits related to the production and sale of low-carbon transportation fuels and SAF in accordance with Section 45Z of the Internal Revenue Code. See Note 3 - Tax Credit Recognition and Sales. Other identifiable intangible assets consist of acquired patents, which management evaluates to determine whether they (i) support current products, (ii) support planned research and development, or (iii) prevent others from competing with Gevo’s products, and identifiable intangible assets. During the six months ended June 30, 2025, Gevo recognized approximately $46.3 million in customer-related intangible assets as part of the Red Trail Energy acquisition (see Note 2, Business Combinations, for additional information). These assets represent long-term customer relationships and commercial agreements that are expected to generate sustained revenue over time. They are being amortized over their estimated useful life of 4 years, based on the projected economic benefits derived from the underlying contracts and partnerships.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1087" w:name="Tc_G1GZ99NIrUqpDbS4BHkgDg_9_17"/>
      <w:bookmarkStart w:id="1088" w:name="Tc_OSgUKliOGUuxoIiuHmkTfQ_9_14"/>
      <w:bookmarkStart w:id="1089" w:name="Tc_ZOiYXE2zFUWbCXKZ8aVKZQ_9_11"/>
      <w:bookmarkStart w:id="1090" w:name="Tc_2hMnwtP2k0yDDSif2wYRsw_9_8"/>
      <w:bookmarkStart w:id="1091" w:name="Tc_mOI_F2wEq0m-hmjtmFbKpg_9_5"/>
      <w:bookmarkStart w:id="1092" w:name="Tc_RfbC1QIq80iJviSSsuptJA_9_2"/>
      <w:bookmarkStart w:id="1093" w:name="Tc_7VGqX4VDE0-Xy-ViSBPzQw_9_0"/>
      <w:bookmarkStart w:id="1094" w:name="Tc_FngDIEmUeEO5_H5b2JsjqQ_8_15"/>
      <w:bookmarkStart w:id="1095" w:name="Tc_Qnh439jKfUKUYhnz34WjCA_8_9"/>
      <w:bookmarkStart w:id="1096" w:name="Tc_6WRuNyKWIU6iPhMYY_g3Bw_8_3"/>
      <w:bookmarkStart w:id="1097" w:name="Tc_7L87urL7_EinXVslz2NmRQ_8_0"/>
      <w:bookmarkStart w:id="1098" w:name="Tc_d-yVZN7Bn0W7HT4F-4uUvQ_7_15"/>
      <w:bookmarkStart w:id="1099" w:name="Tc_KdBrKfi4aEGs-exTvSIuIw_7_0"/>
      <w:bookmarkStart w:id="1100" w:name="Tc_pB41awpp90WVfk64pIaZLw_6_0"/>
      <w:bookmarkStart w:id="1101" w:name="Tc_bLhp1r7RkUWVDKM_PICGew_5_0"/>
      <w:bookmarkStart w:id="1102" w:name="Tc_D3OdRo879U6Ql2FyiyXcLA_4_0"/>
      <w:bookmarkStart w:id="1103" w:name="Tc_BfIJnm7JqkyWVur1OXIkpQ_3_17"/>
      <w:bookmarkStart w:id="1104" w:name="Tc_EsyF4R4u60-mKw_JMT-2tQ_3_14"/>
      <w:bookmarkStart w:id="1105" w:name="Tc_E68bRCn8JE6Zx5awKJ8TUw_3_11"/>
      <w:bookmarkStart w:id="1106" w:name="Tc_sTPVsm4WhESFZvqpF4Zebw_3_8"/>
      <w:bookmarkStart w:id="1107" w:name="Tc_jBmuLnbLWU-ZJ0kmS8quXg_3_5"/>
      <w:bookmarkStart w:id="1108" w:name="Tc_hoWqtGKGRU2WBHQwhyz8dA_3_2"/>
      <w:bookmarkStart w:id="1109" w:name="Tc_bi4L2_OA0U2BIS4y7uJYEw_3_0"/>
      <w:bookmarkStart w:id="1110" w:name="Tc_3S7WnISMEEezEvSV6Lk4Lg_2_17"/>
      <w:bookmarkStart w:id="1111" w:name="Tc_ctBG0--Q7kWXTq1Ib-gTwg_2_14"/>
      <w:bookmarkStart w:id="1112" w:name="Tc_GHBawSu9102YxAZu6QQBOw_2_11"/>
      <w:bookmarkStart w:id="1113" w:name="Tc_FjjS8BZ5Z0ydwbdrhEY93w_2_8"/>
      <w:bookmarkStart w:id="1114" w:name="Tc_AbnT4g9WBke7g3pTKZCFtA_2_5"/>
      <w:bookmarkStart w:id="1115" w:name="Tc_1fcRiZOHF0GNbJDErGd2ZQ_2_2"/>
      <w:bookmarkStart w:id="1116" w:name="Tc_liR6lmhztkGwD_BUwMgxpA_1_11"/>
      <w:bookmarkStart w:id="1117" w:name="Tc_9w1nUNb2bUaVGXuPSPBJbg_1_8"/>
      <w:bookmarkStart w:id="1118" w:name="_a9d8aa79_3bf3_4ebf_9e9b_b2c60457a516"/>
      <w:bookmarkStart w:id="1119" w:name="Tc_KIj5UGkl_EWXrCjbm4-jnA_10_8"/>
      <w:bookmarkStart w:id="1120" w:name="Tc_pc1Wpdj030yNh4G9ZycltA_10_5"/>
      <w:bookmarkStart w:id="1121" w:name="Tc_f73RfKKk7EeRfFeJw7AemA_10_2"/>
      <w:bookmarkStart w:id="1122" w:name="Tc_pBC6d-I9okuxTh4rJJSzPw_10_0"/>
      <w:bookmarkStart w:id="1123" w:name="Tc_S0cSXPXUNkm0yDj0tkGV9A_9_0"/>
      <w:bookmarkStart w:id="1124" w:name="Tc_2Wwhs8ulGE6mVjC7J7stvg_8_0"/>
      <w:bookmarkStart w:id="1125" w:name="Tc_RpEKEXWJpEmrhKSSg6f0CQ_7_0"/>
      <w:bookmarkStart w:id="1126" w:name="Tc_pyP3nB-J7EabXPlygX4aqA_6_0"/>
      <w:bookmarkStart w:id="1127" w:name="Tc_6UA7Z3qTQEqAMZjV5txUXg_5_8"/>
      <w:bookmarkStart w:id="1128" w:name="Tc_XkHRnEOy60exZnXb_oENmg_5_5"/>
      <w:bookmarkStart w:id="1129" w:name="Tc_t1crAESlXEiw4tFt-Db8RQ_5_2"/>
      <w:bookmarkStart w:id="1130" w:name="Tc_bCMwAK-fCEOucaYt8FMhcw_5_0"/>
      <w:bookmarkStart w:id="1131" w:name="Tc_uyL5HvsHuUu1KMOXveZF5w_4_11"/>
      <w:bookmarkStart w:id="1132" w:name="Tc_gwlIi5G6g06kI9Oq5iUpuw_4_8"/>
      <w:bookmarkStart w:id="1133" w:name="Tc_I86zRr-t5ke0Rys4I0oEHQ_4_5"/>
      <w:bookmarkStart w:id="1134" w:name="Tc_99po8r0evUa0lNs0NTu2VA_4_2"/>
      <w:bookmarkStart w:id="1135" w:name="Tc_5ejbugNCKkSbIzcHfRzyHA_3_11"/>
      <w:bookmarkStart w:id="1136" w:name="Tc_GWtWJC6yFUOOgGRGhT5IZw_3_8"/>
      <w:bookmarkStart w:id="1137" w:name="Tc_7jh0UvV9oU-BenL--luFAQ_3_5"/>
      <w:bookmarkStart w:id="1138" w:name="Tc_jhYoLtqn1ECT4DaF-OkosQ_3_2"/>
      <w:bookmarkStart w:id="1139" w:name="Tc_V5YeVkaqJ0e_qL8FbYUrEg_2_11"/>
      <w:bookmarkStart w:id="1140" w:name="Tc_InRQLw5FJE2dwopAQyzz_w_2_8"/>
      <w:bookmarkStart w:id="1141" w:name="Tc_aVSIjQH9gEWDh-h6tpYKTQ_1_2"/>
      <w:bookmarkStart w:id="1142" w:name="Tc_IgSB_6lSLESMLIZ3EPO2Vw_6_11"/>
      <w:bookmarkStart w:id="1143" w:name="Tc_7XebhtFqJEqeCW7TESH5wg_6_8"/>
      <w:bookmarkStart w:id="1144" w:name="Tc_0BHvCd1OMkuTE7cVGGzIaQ_6_6"/>
      <w:bookmarkStart w:id="1145" w:name="Tc_31DN6CyxB0mzW9nZYANY-g_6_5"/>
      <w:bookmarkStart w:id="1146" w:name="Tc_rQebGfhtaUiSJOjbjpmgkA_6_2"/>
      <w:bookmarkStart w:id="1147" w:name="Tc_zaBp2I50yEy0gkYyv434CQ_6_0"/>
      <w:bookmarkStart w:id="1148" w:name="Tc_tfn9ZTqJVkSBpuuJ4yH2pQ_5_11"/>
      <w:bookmarkStart w:id="1149" w:name="Tc_raG_JnwzBUOs07YIwazX6g_5_6"/>
      <w:bookmarkStart w:id="1150" w:name="Tc_wt6eMIY-GECN9PAi_yaQng_5_0"/>
      <w:bookmarkStart w:id="1151" w:name="Tc_HMT-tQtuxk6pDseUgxl0SA_4_11"/>
      <w:bookmarkStart w:id="1152" w:name="Tc_6biF2yOh-EScWq8F1VoudQ_4_8"/>
      <w:bookmarkStart w:id="1153" w:name="Tc_XSkAeEvgF0qbnLbA4gSpQw_4_5"/>
      <w:bookmarkStart w:id="1154" w:name="Tc_XjVR1l8oRkq11YQu79lEMQ_4_2"/>
      <w:bookmarkStart w:id="1155" w:name="Tc_jDjeaqDDVkOhXcPpcaqC6w_3_11"/>
      <w:bookmarkStart w:id="1156" w:name="Tc_o-86_YfDjEGvUWBtaPeeJw_3_8"/>
      <w:bookmarkStart w:id="1157" w:name="Tc_fHwmS_XL8EOOJNyOXwTHvQ_3_5"/>
      <w:bookmarkStart w:id="1158" w:name="Tc_caVWE7UwC0SU_9QPt3QpoA_3_2"/>
      <w:bookmarkStart w:id="1159" w:name="Tc_00_RzB6Alk6t45uUftASBg_2_11"/>
      <w:bookmarkStart w:id="1160" w:name="Tc_PWkCTAENF0yZ8RlrvMEJWg_2_8"/>
      <w:bookmarkStart w:id="1161" w:name="Tc_EoRatuL480STOcXK8b-Diw_1_2"/>
      <w:bookmarkStart w:id="1162" w:name="Tc_tipVFI992k6fmvtOHPQ8Dw_10_8"/>
      <w:bookmarkStart w:id="1163" w:name="Tc_EPKiGH-I1USIem9_ZrO68A_10_5"/>
      <w:bookmarkStart w:id="1164" w:name="Tc_jdjbTEP9cUa9BNJqFRO20w_10_2"/>
      <w:bookmarkStart w:id="1165" w:name="Tc_pG1lNdRBJ0yDeNmMfkVZwA_10_0"/>
      <w:bookmarkStart w:id="1166" w:name="Tc_xaleE-tajkaR75dM1HCyqQ_9_0"/>
      <w:bookmarkStart w:id="1167" w:name="Tc_qZocGLK0o06JpqXz4A-6kA_8_0"/>
      <w:bookmarkStart w:id="1168" w:name="Tc_bu33p5ByIkaXdk_vdRInGw_7_0"/>
      <w:bookmarkStart w:id="1169" w:name="Tc_iNoAiXsnXUaQxD5uUixdrQ_6_0"/>
      <w:bookmarkStart w:id="1170" w:name="Tc_2L4rqrsrR0-spQmOYBAR9A_5_8"/>
      <w:bookmarkStart w:id="1171" w:name="Tc_i1JRNvZJwk6f_vEiyAM7hw_5_5"/>
      <w:bookmarkStart w:id="1172" w:name="Tc_isJiRUR2QUOqJCShPLgzYA_5_2"/>
      <w:bookmarkStart w:id="1173" w:name="Tc_iJRKLGZs3kW-ev1VtyarsQ_5_0"/>
      <w:bookmarkStart w:id="1174" w:name="Tc_dL6wca7X5E23x06DIPsGUA_4_11"/>
      <w:bookmarkStart w:id="1175" w:name="Tc_cRKAwknnp0S7oM64o7vuvA_4_8"/>
      <w:bookmarkStart w:id="1176" w:name="Tc_fjKEx2NP2EuCO0dLvG48gw_4_5"/>
      <w:bookmarkStart w:id="1177" w:name="Tc_Z9zK4oQKUEqi4nkpvP3g2g_4_2"/>
      <w:bookmarkStart w:id="1178" w:name="Tc_KM-m_89IH0SR1vnEmkB6CQ_3_11"/>
      <w:bookmarkStart w:id="1179" w:name="Tc_g6aiF93i802M2oUHB3kLkQ_3_8"/>
      <w:bookmarkStart w:id="1180" w:name="Tc_VTTJIU9Bv0-vNiKbLqF6vA_3_5"/>
      <w:bookmarkStart w:id="1181" w:name="Tc_cZRfjCtzakOco-1A7K1NWA_3_2"/>
      <w:bookmarkStart w:id="1182" w:name="Tc_57_r1dRMckKsz-jOUITQLw_2_11"/>
      <w:bookmarkStart w:id="1183" w:name="Tc_m9ufs12FbEqMfF8PgyaGfg_2_8"/>
      <w:bookmarkStart w:id="1184" w:name="Tc_PC3PJMz4wUm7bow6mmHEFg_1_2"/>
      <w:bookmarkStart w:id="1185" w:name="_8ba42d3a_a4f0_412a_99e4_062be4b50962"/>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r>
        <w:rPr>
          <w:rFonts w:ascii="Times New Roman;Times;serif" w:hAnsi="Times New Roman;Times;serif"/>
          <w:sz w:val="20"/>
        </w:rPr>
        <w:t>The following tables set forth the Company’s intangible assets by classification (in thousands) as of:</w:t>
      </w:r>
    </w:p>
    <w:tbl>
      <w:tblPr>
        <w:tblW w:w="9063" w:type="dxa"/>
        <w:jc w:val="left"/>
        <w:tblInd w:w="0" w:type="dxa"/>
        <w:tblLayout w:type="fixed"/>
        <w:tblCellMar>
          <w:top w:w="0" w:type="dxa"/>
          <w:left w:w="0" w:type="dxa"/>
          <w:bottom w:w="0" w:type="dxa"/>
          <w:right w:w="0" w:type="dxa"/>
        </w:tblCellMar>
      </w:tblPr>
      <w:tblGrid>
        <w:gridCol w:w="2911"/>
        <w:gridCol w:w="326"/>
        <w:gridCol w:w="296"/>
        <w:gridCol w:w="949"/>
        <w:gridCol w:w="326"/>
        <w:gridCol w:w="270"/>
        <w:gridCol w:w="811"/>
        <w:gridCol w:w="326"/>
        <w:gridCol w:w="221"/>
        <w:gridCol w:w="710"/>
        <w:gridCol w:w="326"/>
        <w:gridCol w:w="1591"/>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848485" cy="175260"/>
                      <wp:effectExtent l="0" t="0" r="0" b="0"/>
                      <wp:wrapNone/>
                      <wp:docPr id="214" name="Frame214"/>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15" name="Frame2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87960" cy="175260"/>
                      <wp:effectExtent l="0" t="0" r="0" b="0"/>
                      <wp:wrapNone/>
                      <wp:docPr id="216" name="Frame216"/>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02615" cy="175260"/>
                      <wp:effectExtent l="0" t="0" r="0" b="0"/>
                      <wp:wrapNone/>
                      <wp:docPr id="217" name="Frame217"/>
                      <a:graphic xmlns:a="http://schemas.openxmlformats.org/drawingml/2006/main">
                        <a:graphicData uri="http://schemas.microsoft.com/office/word/2010/wordprocessingShape">
                          <wps:wsp>
                            <wps:cNvSpPr txBox="1"/>
                            <wps:spPr>
                              <a:xfrm>
                                <a:off x="0" y="0"/>
                                <a:ext cx="602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7010" cy="175260"/>
                      <wp:effectExtent l="0" t="0" r="0" b="0"/>
                      <wp:wrapNone/>
                      <wp:docPr id="218" name="Frame2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71450" cy="175260"/>
                      <wp:effectExtent l="0" t="0" r="0" b="0"/>
                      <wp:wrapNone/>
                      <wp:docPr id="219" name="Frame219"/>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14985" cy="175260"/>
                      <wp:effectExtent l="0" t="0" r="0" b="0"/>
                      <wp:wrapNone/>
                      <wp:docPr id="220" name="Frame220"/>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21" name="Frame2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40335" cy="175260"/>
                      <wp:effectExtent l="0" t="0" r="0" b="0"/>
                      <wp:wrapNone/>
                      <wp:docPr id="222" name="Frame222"/>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50850" cy="175260"/>
                      <wp:effectExtent l="0" t="0" r="0" b="0"/>
                      <wp:wrapNone/>
                      <wp:docPr id="223" name="Frame223"/>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4" name="Frame2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010285" cy="175260"/>
                      <wp:effectExtent l="0" t="0" r="0" b="0"/>
                      <wp:wrapNone/>
                      <wp:docPr id="225" name="Frame225"/>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5826"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29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96" w:type="dxa"/>
            <w:tcBorders/>
            <w:vAlign w:val="center"/>
          </w:tcPr>
          <w:p>
            <w:pPr>
              <w:pStyle w:val="TableContents"/>
              <w:bidi w:val="0"/>
              <w:spacing w:before="0" w:after="1"/>
              <w:ind w:left="0" w:right="0" w:hanging="0"/>
              <w:jc w:val="center"/>
              <w:rPr/>
            </w:pPr>
            <w:r>
              <w:rPr/>
              <w:t>​</w:t>
            </w:r>
          </w:p>
        </w:tc>
        <w:tc>
          <w:tcPr>
            <w:tcW w:w="94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70"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Identifiable</w:t>
            </w:r>
          </w:p>
        </w:tc>
        <w:tc>
          <w:tcPr>
            <w:tcW w:w="326" w:type="dxa"/>
            <w:tcBorders/>
            <w:vAlign w:val="center"/>
          </w:tcPr>
          <w:p>
            <w:pPr>
              <w:pStyle w:val="TableContents"/>
              <w:bidi w:val="0"/>
              <w:spacing w:before="0" w:after="1"/>
              <w:ind w:left="0" w:right="0" w:hanging="0"/>
              <w:jc w:val="center"/>
              <w:rPr/>
            </w:pPr>
            <w:r>
              <w:rPr/>
              <w:t>    </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9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4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Intangible</w:t>
            </w:r>
          </w:p>
        </w:tc>
        <w:tc>
          <w:tcPr>
            <w:tcW w:w="326" w:type="dxa"/>
            <w:tcBorders/>
            <w:vAlign w:val="center"/>
          </w:tcPr>
          <w:p>
            <w:pPr>
              <w:pStyle w:val="TableContents"/>
              <w:bidi w:val="0"/>
              <w:spacing w:before="0" w:after="1"/>
              <w:ind w:left="0" w:right="0" w:hanging="0"/>
              <w:jc w:val="center"/>
              <w:rPr/>
            </w:pPr>
            <w:r>
              <w:rPr/>
              <w:t>​</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Useful Life</w:t>
            </w:r>
          </w:p>
        </w:tc>
      </w:tr>
      <w:tr>
        <w:trPr/>
        <w:tc>
          <w:tcPr>
            <w:tcW w:w="29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1"/>
              <w:ind w:left="0" w:right="0" w:hanging="0"/>
              <w:jc w:val="center"/>
              <w:rPr/>
            </w:pPr>
            <w:r>
              <w:rPr/>
              <w:t>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 net</w:t>
            </w:r>
          </w:p>
        </w:tc>
        <w:tc>
          <w:tcPr>
            <w:tcW w:w="326" w:type="dxa"/>
            <w:tcBorders/>
            <w:vAlign w:val="center"/>
          </w:tcPr>
          <w:p>
            <w:pPr>
              <w:pStyle w:val="TableContents"/>
              <w:bidi w:val="0"/>
              <w:spacing w:before="0" w:after="1"/>
              <w:ind w:left="0" w:right="0" w:hanging="0"/>
              <w:jc w:val="center"/>
              <w:rPr/>
            </w:pPr>
            <w:r>
              <w:rPr/>
              <w:t>    </w:t>
            </w:r>
          </w:p>
        </w:tc>
        <w:tc>
          <w:tcPr>
            <w:tcW w:w="15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Patents</w:t>
            </w:r>
          </w:p>
        </w:tc>
        <w:tc>
          <w:tcPr>
            <w:tcW w:w="32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4,580</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(2,493)</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2,087</w:t>
            </w:r>
          </w:p>
        </w:tc>
        <w:tc>
          <w:tcPr>
            <w:tcW w:w="326" w:type="dxa"/>
            <w:tcBorders/>
            <w:shd w:fill="CCEEFF" w:val="clear"/>
            <w:vAlign w:val="center"/>
          </w:tcPr>
          <w:p>
            <w:pPr>
              <w:pStyle w:val="TableContents"/>
              <w:bidi w:val="0"/>
              <w:spacing w:before="0" w:after="1"/>
              <w:ind w:left="0" w:right="0" w:hanging="0"/>
              <w:jc w:val="left"/>
              <w:rPr/>
            </w:pPr>
            <w:r>
              <w:rPr/>
              <w:t> </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Defensive assets</w:t>
            </w:r>
          </w:p>
        </w:tc>
        <w:tc>
          <w:tcPr>
            <w:tcW w:w="326"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pPr>
            <w:r>
              <w:rPr/>
              <w:t> </w:t>
            </w:r>
          </w:p>
        </w:tc>
        <w:tc>
          <w:tcPr>
            <w:tcW w:w="9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4,900</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(2,215)</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7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2,685</w:t>
            </w:r>
          </w:p>
        </w:tc>
        <w:tc>
          <w:tcPr>
            <w:tcW w:w="32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2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pPr>
            <w:r>
              <w:rPr/>
              <w:t>​</w:t>
            </w:r>
          </w:p>
        </w:tc>
        <w:tc>
          <w:tcPr>
            <w:tcW w:w="9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1,300</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7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1,083</w:t>
            </w:r>
          </w:p>
        </w:tc>
        <w:tc>
          <w:tcPr>
            <w:tcW w:w="326" w:type="dxa"/>
            <w:tcBorders/>
            <w:shd w:fill="CCEEFF" w:val="clear"/>
            <w:vAlign w:val="center"/>
          </w:tcPr>
          <w:p>
            <w:pPr>
              <w:pStyle w:val="TableContents"/>
              <w:bidi w:val="0"/>
              <w:spacing w:before="0" w:after="1"/>
              <w:ind w:left="0" w:right="0" w:hanging="0"/>
              <w:jc w:val="left"/>
              <w:rPr/>
            </w:pPr>
            <w:r>
              <w:rPr/>
              <w:t>​</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Customer-related intangible assets</w:t>
            </w:r>
          </w:p>
        </w:tc>
        <w:tc>
          <w:tcPr>
            <w:tcW w:w="326"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pPr>
            <w:r>
              <w:rPr/>
              <w:t>​</w:t>
            </w:r>
          </w:p>
        </w:tc>
        <w:tc>
          <w:tcPr>
            <w:tcW w:w="9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47,800</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(4,901)</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42,899</w:t>
            </w:r>
          </w:p>
        </w:tc>
        <w:tc>
          <w:tcPr>
            <w:tcW w:w="326"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name</w:t>
            </w:r>
          </w:p>
        </w:tc>
        <w:tc>
          <w:tcPr>
            <w:tcW w:w="326" w:type="dxa"/>
            <w:tcBorders/>
            <w:shd w:fill="CCEEFF" w:val="clear"/>
            <w:vAlign w:val="center"/>
          </w:tcPr>
          <w:p>
            <w:pPr>
              <w:pStyle w:val="TableContents"/>
              <w:bidi w:val="0"/>
              <w:spacing w:before="0" w:after="1"/>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shd w:fill="CCEEFF" w:val="clear"/>
            <w:vAlign w:val="center"/>
          </w:tcPr>
          <w:p>
            <w:pPr>
              <w:pStyle w:val="TableContents"/>
              <w:bidi w:val="0"/>
              <w:spacing w:before="0" w:after="1"/>
              <w:ind w:left="0" w:right="0" w:hanging="0"/>
              <w:jc w:val="left"/>
              <w:rPr/>
            </w:pPr>
            <w:r>
              <w:rPr/>
              <w:t>​</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 with finite lives</w:t>
            </w:r>
          </w:p>
        </w:tc>
        <w:tc>
          <w:tcPr>
            <w:tcW w:w="326" w:type="dxa"/>
            <w:tcBorders/>
            <w:vAlign w:val="center"/>
          </w:tcPr>
          <w:p>
            <w:pPr>
              <w:pStyle w:val="TableContents"/>
              <w:bidi w:val="0"/>
              <w:spacing w:before="0" w:after="1"/>
              <w:ind w:left="0" w:right="0" w:hanging="0"/>
              <w:jc w:val="left"/>
              <w:rPr/>
            </w:pPr>
            <w:r>
              <w:rPr/>
              <w:t>​</w:t>
            </w:r>
          </w:p>
        </w:tc>
        <w:tc>
          <w:tcPr>
            <w:tcW w:w="2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58,680</w:t>
            </w:r>
          </w:p>
        </w:tc>
        <w:tc>
          <w:tcPr>
            <w:tcW w:w="326" w:type="dxa"/>
            <w:tcBorders/>
            <w:vAlign w:val="center"/>
          </w:tcPr>
          <w:p>
            <w:pPr>
              <w:pStyle w:val="TableContents"/>
              <w:bidi w:val="0"/>
              <w:spacing w:before="0" w:after="1"/>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(9,847)</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48,833</w:t>
            </w:r>
          </w:p>
        </w:tc>
        <w:tc>
          <w:tcPr>
            <w:tcW w:w="32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4.6</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tbl>
      <w:tblPr>
        <w:tblW w:w="8118" w:type="dxa"/>
        <w:jc w:val="left"/>
        <w:tblInd w:w="0" w:type="dxa"/>
        <w:tblLayout w:type="fixed"/>
        <w:tblCellMar>
          <w:top w:w="0" w:type="dxa"/>
          <w:left w:w="0" w:type="dxa"/>
          <w:bottom w:w="0" w:type="dxa"/>
          <w:right w:w="0" w:type="dxa"/>
        </w:tblCellMar>
      </w:tblPr>
      <w:tblGrid>
        <w:gridCol w:w="1966"/>
        <w:gridCol w:w="326"/>
        <w:gridCol w:w="296"/>
        <w:gridCol w:w="949"/>
        <w:gridCol w:w="326"/>
        <w:gridCol w:w="409"/>
        <w:gridCol w:w="672"/>
        <w:gridCol w:w="326"/>
        <w:gridCol w:w="221"/>
        <w:gridCol w:w="710"/>
        <w:gridCol w:w="326"/>
        <w:gridCol w:w="1591"/>
      </w:tblGrid>
      <w:tr>
        <w:trPr/>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248410" cy="175260"/>
                      <wp:effectExtent l="0" t="0" r="0" b="0"/>
                      <wp:wrapNone/>
                      <wp:docPr id="226" name="Frame226"/>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27" name="Frame2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87960" cy="175260"/>
                      <wp:effectExtent l="0" t="0" r="0" b="0"/>
                      <wp:wrapNone/>
                      <wp:docPr id="228" name="Frame228"/>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02615" cy="175260"/>
                      <wp:effectExtent l="0" t="0" r="0" b="0"/>
                      <wp:wrapNone/>
                      <wp:docPr id="229" name="Frame229"/>
                      <a:graphic xmlns:a="http://schemas.openxmlformats.org/drawingml/2006/main">
                        <a:graphicData uri="http://schemas.microsoft.com/office/word/2010/wordprocessingShape">
                          <wps:wsp>
                            <wps:cNvSpPr txBox="1"/>
                            <wps:spPr>
                              <a:xfrm>
                                <a:off x="0" y="0"/>
                                <a:ext cx="602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7010" cy="175260"/>
                      <wp:effectExtent l="0" t="0" r="0" b="0"/>
                      <wp:wrapNone/>
                      <wp:docPr id="230" name="Frame2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59715" cy="175260"/>
                      <wp:effectExtent l="0" t="0" r="0" b="0"/>
                      <wp:wrapNone/>
                      <wp:docPr id="231" name="Frame231"/>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426720" cy="175260"/>
                      <wp:effectExtent l="0" t="0" r="0" b="0"/>
                      <wp:wrapNone/>
                      <wp:docPr id="232" name="Frame232"/>
                      <a:graphic xmlns:a="http://schemas.openxmlformats.org/drawingml/2006/main">
                        <a:graphicData uri="http://schemas.microsoft.com/office/word/2010/wordprocessingShape">
                          <wps:wsp>
                            <wps:cNvSpPr txBox="1"/>
                            <wps:spPr>
                              <a:xfrm>
                                <a:off x="0" y="0"/>
                                <a:ext cx="426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7010" cy="175260"/>
                      <wp:effectExtent l="0" t="0" r="0" b="0"/>
                      <wp:wrapNone/>
                      <wp:docPr id="233" name="Frame2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40335" cy="175260"/>
                      <wp:effectExtent l="0" t="0" r="0" b="0"/>
                      <wp:wrapNone/>
                      <wp:docPr id="234" name="Frame234"/>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450850" cy="175260"/>
                      <wp:effectExtent l="0" t="0" r="0" b="0"/>
                      <wp:wrapNone/>
                      <wp:docPr id="235" name="Frame235"/>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36" name="Frame2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010285" cy="175260"/>
                      <wp:effectExtent l="0" t="0" r="0" b="0"/>
                      <wp:wrapNone/>
                      <wp:docPr id="237" name="Frame237"/>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5826"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1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96" w:type="dxa"/>
            <w:tcBorders/>
            <w:vAlign w:val="center"/>
          </w:tcPr>
          <w:p>
            <w:pPr>
              <w:pStyle w:val="TableContents"/>
              <w:bidi w:val="0"/>
              <w:spacing w:before="0" w:after="1"/>
              <w:ind w:left="0" w:right="0" w:hanging="0"/>
              <w:jc w:val="center"/>
              <w:rPr/>
            </w:pPr>
            <w:r>
              <w:rPr/>
              <w:t>​</w:t>
            </w:r>
          </w:p>
        </w:tc>
        <w:tc>
          <w:tcPr>
            <w:tcW w:w="94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409" w:type="dxa"/>
            <w:tcBorders/>
            <w:vAlign w:val="center"/>
          </w:tcPr>
          <w:p>
            <w:pPr>
              <w:pStyle w:val="TableContents"/>
              <w:bidi w:val="0"/>
              <w:spacing w:before="0" w:after="1"/>
              <w:ind w:left="0" w:right="0" w:hanging="0"/>
              <w:jc w:val="center"/>
              <w:rPr/>
            </w:pPr>
            <w:r>
              <w:rPr/>
              <w:t>​</w:t>
            </w:r>
          </w:p>
        </w:tc>
        <w:tc>
          <w:tcPr>
            <w:tcW w:w="67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Identifiable</w:t>
            </w:r>
          </w:p>
        </w:tc>
        <w:tc>
          <w:tcPr>
            <w:tcW w:w="326" w:type="dxa"/>
            <w:tcBorders/>
            <w:vAlign w:val="center"/>
          </w:tcPr>
          <w:p>
            <w:pPr>
              <w:pStyle w:val="TableContents"/>
              <w:bidi w:val="0"/>
              <w:spacing w:before="0" w:after="1"/>
              <w:ind w:left="0" w:right="0" w:hanging="0"/>
              <w:jc w:val="center"/>
              <w:rPr/>
            </w:pPr>
            <w:r>
              <w:rPr/>
              <w:t>    </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1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4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Intangible</w:t>
            </w:r>
          </w:p>
        </w:tc>
        <w:tc>
          <w:tcPr>
            <w:tcW w:w="326" w:type="dxa"/>
            <w:tcBorders/>
            <w:vAlign w:val="center"/>
          </w:tcPr>
          <w:p>
            <w:pPr>
              <w:pStyle w:val="TableContents"/>
              <w:bidi w:val="0"/>
              <w:spacing w:before="0" w:after="1"/>
              <w:ind w:left="0" w:right="0" w:hanging="0"/>
              <w:jc w:val="center"/>
              <w:rPr/>
            </w:pPr>
            <w:r>
              <w:rPr/>
              <w:t>​</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Useful Life</w:t>
            </w:r>
          </w:p>
        </w:tc>
      </w:tr>
      <w:tr>
        <w:trPr/>
        <w:tc>
          <w:tcPr>
            <w:tcW w:w="1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1"/>
              <w:ind w:left="0" w:right="0" w:hanging="0"/>
              <w:jc w:val="center"/>
              <w:rPr/>
            </w:pPr>
            <w:r>
              <w:rPr/>
              <w:t>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 net</w:t>
            </w:r>
          </w:p>
        </w:tc>
        <w:tc>
          <w:tcPr>
            <w:tcW w:w="326" w:type="dxa"/>
            <w:tcBorders/>
            <w:vAlign w:val="center"/>
          </w:tcPr>
          <w:p>
            <w:pPr>
              <w:pStyle w:val="TableContents"/>
              <w:bidi w:val="0"/>
              <w:spacing w:before="0" w:after="1"/>
              <w:ind w:left="0" w:right="0" w:hanging="0"/>
              <w:jc w:val="center"/>
              <w:rPr/>
            </w:pPr>
            <w:r>
              <w:rPr/>
              <w:t>    </w:t>
            </w:r>
          </w:p>
        </w:tc>
        <w:tc>
          <w:tcPr>
            <w:tcW w:w="15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19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credits</w:t>
            </w:r>
          </w:p>
        </w:tc>
        <w:tc>
          <w:tcPr>
            <w:tcW w:w="326" w:type="dxa"/>
            <w:tcBorders/>
            <w:shd w:fill="CCEEFF" w:val="clear"/>
            <w:vAlign w:val="center"/>
          </w:tcPr>
          <w:p>
            <w:pPr>
              <w:pStyle w:val="TableContents"/>
              <w:bidi w:val="0"/>
              <w:spacing w:before="0" w:after="1"/>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21,494</w:t>
            </w:r>
          </w:p>
        </w:tc>
        <w:tc>
          <w:tcPr>
            <w:tcW w:w="326" w:type="dxa"/>
            <w:tcBorders/>
            <w:shd w:fill="CCEEFF" w:val="clear"/>
            <w:vAlign w:val="center"/>
          </w:tcPr>
          <w:p>
            <w:pPr>
              <w:pStyle w:val="TableContents"/>
              <w:bidi w:val="0"/>
              <w:spacing w:before="0" w:after="1"/>
              <w:ind w:left="0" w:right="0" w:hanging="0"/>
              <w:jc w:val="left"/>
              <w:rPr/>
            </w:pPr>
            <w:r>
              <w:rPr/>
              <w:t>​</w:t>
            </w:r>
          </w:p>
        </w:tc>
        <w:tc>
          <w:tcPr>
            <w:tcW w:w="4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21,494</w:t>
            </w:r>
          </w:p>
        </w:tc>
        <w:tc>
          <w:tcPr>
            <w:tcW w:w="326" w:type="dxa"/>
            <w:tcBorders/>
            <w:shd w:fill="CCEEFF" w:val="clear"/>
            <w:vAlign w:val="center"/>
          </w:tcPr>
          <w:p>
            <w:pPr>
              <w:pStyle w:val="TableContents"/>
              <w:bidi w:val="0"/>
              <w:spacing w:before="0" w:after="1"/>
              <w:ind w:left="0" w:right="0" w:hanging="0"/>
              <w:jc w:val="left"/>
              <w:rPr/>
            </w:pPr>
            <w:r>
              <w:rPr/>
              <w:t>​</w:t>
            </w:r>
          </w:p>
        </w:tc>
        <w:tc>
          <w:tcPr>
            <w:tcW w:w="1591" w:type="dxa"/>
            <w:tcBorders/>
            <w:shd w:fill="CCEEFF" w:val="clear"/>
            <w:vAlign w:val="center"/>
          </w:tcPr>
          <w:p>
            <w:pPr>
              <w:pStyle w:val="TableContents"/>
              <w:bidi w:val="0"/>
              <w:spacing w:before="0" w:after="1"/>
              <w:ind w:left="0" w:right="0" w:hanging="0"/>
              <w:jc w:val="right"/>
              <w:rPr/>
            </w:pPr>
            <w:r>
              <w:rPr/>
              <w:t>—</w:t>
            </w:r>
          </w:p>
        </w:tc>
      </w:tr>
      <w:tr>
        <w:trPr/>
        <w:tc>
          <w:tcPr>
            <w:tcW w:w="19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intangible assets</w:t>
            </w:r>
          </w:p>
        </w:tc>
        <w:tc>
          <w:tcPr>
            <w:tcW w:w="326" w:type="dxa"/>
            <w:tcBorders/>
            <w:vAlign w:val="center"/>
          </w:tcPr>
          <w:p>
            <w:pPr>
              <w:pStyle w:val="TableContents"/>
              <w:bidi w:val="0"/>
              <w:spacing w:before="0" w:after="1"/>
              <w:ind w:left="0" w:right="0" w:hanging="0"/>
              <w:jc w:val="left"/>
              <w:rPr/>
            </w:pPr>
            <w:r>
              <w:rPr/>
              <w:t>​</w:t>
            </w:r>
          </w:p>
        </w:tc>
        <w:tc>
          <w:tcPr>
            <w:tcW w:w="2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21,494</w:t>
            </w:r>
          </w:p>
        </w:tc>
        <w:tc>
          <w:tcPr>
            <w:tcW w:w="326" w:type="dxa"/>
            <w:tcBorders/>
            <w:vAlign w:val="center"/>
          </w:tcPr>
          <w:p>
            <w:pPr>
              <w:pStyle w:val="TableContents"/>
              <w:bidi w:val="0"/>
              <w:spacing w:before="0" w:after="1"/>
              <w:ind w:left="0" w:right="0" w:hanging="0"/>
              <w:jc w:val="left"/>
              <w:rPr/>
            </w:pPr>
            <w:r>
              <w:rPr/>
              <w:t>​</w:t>
            </w:r>
          </w:p>
        </w:tc>
        <w:tc>
          <w:tcPr>
            <w:tcW w:w="40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21,494</w:t>
            </w:r>
          </w:p>
        </w:tc>
        <w:tc>
          <w:tcPr>
            <w:tcW w:w="32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tbl>
      <w:tblPr>
        <w:tblW w:w="9063" w:type="dxa"/>
        <w:jc w:val="left"/>
        <w:tblInd w:w="0" w:type="dxa"/>
        <w:tblLayout w:type="fixed"/>
        <w:tblCellMar>
          <w:top w:w="0" w:type="dxa"/>
          <w:left w:w="0" w:type="dxa"/>
          <w:bottom w:w="0" w:type="dxa"/>
          <w:right w:w="0" w:type="dxa"/>
        </w:tblCellMar>
      </w:tblPr>
      <w:tblGrid>
        <w:gridCol w:w="2911"/>
        <w:gridCol w:w="326"/>
        <w:gridCol w:w="296"/>
        <w:gridCol w:w="949"/>
        <w:gridCol w:w="326"/>
        <w:gridCol w:w="270"/>
        <w:gridCol w:w="811"/>
        <w:gridCol w:w="326"/>
        <w:gridCol w:w="251"/>
        <w:gridCol w:w="680"/>
        <w:gridCol w:w="326"/>
        <w:gridCol w:w="1591"/>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848485" cy="175260"/>
                      <wp:effectExtent l="0" t="0" r="0" b="0"/>
                      <wp:wrapNone/>
                      <wp:docPr id="238" name="Frame238"/>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87960" cy="175260"/>
                      <wp:effectExtent l="0" t="0" r="0" b="0"/>
                      <wp:wrapNone/>
                      <wp:docPr id="240" name="Frame240"/>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02615" cy="175260"/>
                      <wp:effectExtent l="0" t="0" r="0" b="0"/>
                      <wp:wrapNone/>
                      <wp:docPr id="241" name="Frame241"/>
                      <a:graphic xmlns:a="http://schemas.openxmlformats.org/drawingml/2006/main">
                        <a:graphicData uri="http://schemas.microsoft.com/office/word/2010/wordprocessingShape">
                          <wps:wsp>
                            <wps:cNvSpPr txBox="1"/>
                            <wps:spPr>
                              <a:xfrm>
                                <a:off x="0" y="0"/>
                                <a:ext cx="602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42" name="Frame2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71450" cy="175260"/>
                      <wp:effectExtent l="0" t="0" r="0" b="0"/>
                      <wp:wrapNone/>
                      <wp:docPr id="243" name="Frame243"/>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514985" cy="175260"/>
                      <wp:effectExtent l="0" t="0" r="0" b="0"/>
                      <wp:wrapNone/>
                      <wp:docPr id="244" name="Frame244"/>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07010" cy="175260"/>
                      <wp:effectExtent l="0" t="0" r="0" b="0"/>
                      <wp:wrapNone/>
                      <wp:docPr id="245" name="Frame2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59385" cy="175260"/>
                      <wp:effectExtent l="0" t="0" r="0" b="0"/>
                      <wp:wrapNone/>
                      <wp:docPr id="246" name="Frame246"/>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431800" cy="175260"/>
                      <wp:effectExtent l="0" t="0" r="0" b="0"/>
                      <wp:wrapNone/>
                      <wp:docPr id="247" name="Frame247"/>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7010" cy="175260"/>
                      <wp:effectExtent l="0" t="0" r="0" b="0"/>
                      <wp:wrapNone/>
                      <wp:docPr id="248" name="Frame2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010285" cy="175260"/>
                      <wp:effectExtent l="0" t="0" r="0" b="0"/>
                      <wp:wrapNone/>
                      <wp:docPr id="249" name="Frame249"/>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5826"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29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96" w:type="dxa"/>
            <w:tcBorders/>
            <w:vAlign w:val="center"/>
          </w:tcPr>
          <w:p>
            <w:pPr>
              <w:pStyle w:val="TableContents"/>
              <w:bidi w:val="0"/>
              <w:spacing w:before="0" w:after="1"/>
              <w:ind w:left="0" w:right="0" w:hanging="0"/>
              <w:jc w:val="center"/>
              <w:rPr/>
            </w:pPr>
            <w:r>
              <w:rPr/>
              <w:t>​</w:t>
            </w:r>
          </w:p>
        </w:tc>
        <w:tc>
          <w:tcPr>
            <w:tcW w:w="94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70"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Identifiable</w:t>
            </w:r>
          </w:p>
        </w:tc>
        <w:tc>
          <w:tcPr>
            <w:tcW w:w="326" w:type="dxa"/>
            <w:tcBorders/>
            <w:vAlign w:val="center"/>
          </w:tcPr>
          <w:p>
            <w:pPr>
              <w:pStyle w:val="TableContents"/>
              <w:bidi w:val="0"/>
              <w:spacing w:before="0" w:after="1"/>
              <w:ind w:left="0" w:right="0" w:hanging="0"/>
              <w:jc w:val="center"/>
              <w:rPr/>
            </w:pPr>
            <w:r>
              <w:rPr/>
              <w:t>    </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9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4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Intangible</w:t>
            </w:r>
          </w:p>
        </w:tc>
        <w:tc>
          <w:tcPr>
            <w:tcW w:w="326" w:type="dxa"/>
            <w:tcBorders/>
            <w:vAlign w:val="center"/>
          </w:tcPr>
          <w:p>
            <w:pPr>
              <w:pStyle w:val="TableContents"/>
              <w:bidi w:val="0"/>
              <w:spacing w:before="0" w:after="1"/>
              <w:ind w:left="0" w:right="0" w:hanging="0"/>
              <w:jc w:val="center"/>
              <w:rPr/>
            </w:pPr>
            <w:r>
              <w:rPr/>
              <w:t>​</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Useful Life</w:t>
            </w:r>
          </w:p>
        </w:tc>
      </w:tr>
      <w:tr>
        <w:trPr/>
        <w:tc>
          <w:tcPr>
            <w:tcW w:w="29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1"/>
              <w:ind w:left="0" w:right="0" w:hanging="0"/>
              <w:jc w:val="center"/>
              <w:rPr/>
            </w:pPr>
            <w:r>
              <w:rPr/>
              <w:t>​</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 Net</w:t>
            </w:r>
          </w:p>
        </w:tc>
        <w:tc>
          <w:tcPr>
            <w:tcW w:w="326" w:type="dxa"/>
            <w:tcBorders/>
            <w:vAlign w:val="center"/>
          </w:tcPr>
          <w:p>
            <w:pPr>
              <w:pStyle w:val="TableContents"/>
              <w:bidi w:val="0"/>
              <w:spacing w:before="0" w:after="1"/>
              <w:ind w:left="0" w:right="0" w:hanging="0"/>
              <w:jc w:val="center"/>
              <w:rPr/>
            </w:pPr>
            <w:r>
              <w:rPr/>
              <w:t>​</w:t>
            </w:r>
          </w:p>
        </w:tc>
        <w:tc>
          <w:tcPr>
            <w:tcW w:w="15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Patents</w:t>
            </w:r>
          </w:p>
        </w:tc>
        <w:tc>
          <w:tcPr>
            <w:tcW w:w="32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4,580</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(2,203)</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2,377</w:t>
            </w:r>
          </w:p>
        </w:tc>
        <w:tc>
          <w:tcPr>
            <w:tcW w:w="326" w:type="dxa"/>
            <w:tcBorders/>
            <w:shd w:fill="CCEEFF" w:val="clear"/>
            <w:vAlign w:val="center"/>
          </w:tcPr>
          <w:p>
            <w:pPr>
              <w:pStyle w:val="TableContents"/>
              <w:bidi w:val="0"/>
              <w:spacing w:before="0" w:after="1"/>
              <w:ind w:left="0" w:right="0" w:hanging="0"/>
              <w:jc w:val="left"/>
              <w:rPr/>
            </w:pPr>
            <w:r>
              <w:rPr/>
              <w:t> </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Defensive assets</w:t>
            </w:r>
          </w:p>
        </w:tc>
        <w:tc>
          <w:tcPr>
            <w:tcW w:w="326"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pPr>
            <w:r>
              <w:rPr/>
              <w:t>​</w:t>
            </w:r>
          </w:p>
        </w:tc>
        <w:tc>
          <w:tcPr>
            <w:tcW w:w="9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4,900</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(1,922)</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2,978</w:t>
            </w:r>
          </w:p>
        </w:tc>
        <w:tc>
          <w:tcPr>
            <w:tcW w:w="326"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2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pPr>
            <w:r>
              <w:rPr/>
              <w:t>​</w:t>
            </w:r>
          </w:p>
        </w:tc>
        <w:tc>
          <w:tcPr>
            <w:tcW w:w="9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1,300</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1,213</w:t>
            </w:r>
          </w:p>
        </w:tc>
        <w:tc>
          <w:tcPr>
            <w:tcW w:w="326" w:type="dxa"/>
            <w:tcBorders/>
            <w:shd w:fill="CCEEFF" w:val="clear"/>
            <w:vAlign w:val="center"/>
          </w:tcPr>
          <w:p>
            <w:pPr>
              <w:pStyle w:val="TableContents"/>
              <w:bidi w:val="0"/>
              <w:spacing w:before="0" w:after="1"/>
              <w:ind w:left="0" w:right="0" w:hanging="0"/>
              <w:jc w:val="left"/>
              <w:rPr/>
            </w:pPr>
            <w:r>
              <w:rPr/>
              <w:t>​</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Customer-related intangible assets</w:t>
            </w:r>
          </w:p>
        </w:tc>
        <w:tc>
          <w:tcPr>
            <w:tcW w:w="326"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pPr>
            <w:r>
              <w:rPr/>
              <w:t>​</w:t>
            </w:r>
          </w:p>
        </w:tc>
        <w:tc>
          <w:tcPr>
            <w:tcW w:w="9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1,469</w:t>
            </w:r>
          </w:p>
        </w:tc>
        <w:tc>
          <w:tcPr>
            <w:tcW w:w="326"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name</w:t>
            </w:r>
          </w:p>
        </w:tc>
        <w:tc>
          <w:tcPr>
            <w:tcW w:w="326" w:type="dxa"/>
            <w:tcBorders/>
            <w:shd w:fill="CCEEFF" w:val="clear"/>
            <w:vAlign w:val="center"/>
          </w:tcPr>
          <w:p>
            <w:pPr>
              <w:pStyle w:val="TableContents"/>
              <w:bidi w:val="0"/>
              <w:spacing w:before="0" w:after="1"/>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326" w:type="dxa"/>
            <w:tcBorders/>
            <w:shd w:fill="CCEEFF" w:val="clear"/>
            <w:vAlign w:val="center"/>
          </w:tcPr>
          <w:p>
            <w:pPr>
              <w:pStyle w:val="TableContents"/>
              <w:bidi w:val="0"/>
              <w:spacing w:before="0" w:after="1"/>
              <w:ind w:left="0" w:right="0" w:hanging="0"/>
              <w:jc w:val="left"/>
              <w:rPr/>
            </w:pPr>
            <w:r>
              <w:rPr/>
              <w:t> </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 with finite lives</w:t>
            </w:r>
          </w:p>
        </w:tc>
        <w:tc>
          <w:tcPr>
            <w:tcW w:w="326" w:type="dxa"/>
            <w:tcBorders/>
            <w:vAlign w:val="center"/>
          </w:tcPr>
          <w:p>
            <w:pPr>
              <w:pStyle w:val="TableContents"/>
              <w:bidi w:val="0"/>
              <w:spacing w:before="0" w:after="1"/>
              <w:ind w:left="0" w:right="0" w:hanging="0"/>
              <w:jc w:val="left"/>
              <w:rPr/>
            </w:pPr>
            <w:r>
              <w:rPr/>
              <w:t>​</w:t>
            </w:r>
          </w:p>
        </w:tc>
        <w:tc>
          <w:tcPr>
            <w:tcW w:w="2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12,380</w:t>
            </w:r>
          </w:p>
        </w:tc>
        <w:tc>
          <w:tcPr>
            <w:tcW w:w="326" w:type="dxa"/>
            <w:tcBorders/>
            <w:vAlign w:val="center"/>
          </w:tcPr>
          <w:p>
            <w:pPr>
              <w:pStyle w:val="TableContents"/>
              <w:bidi w:val="0"/>
              <w:spacing w:before="0" w:after="1"/>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(4,251)</w:t>
            </w:r>
          </w:p>
        </w:tc>
        <w:tc>
          <w:tcPr>
            <w:tcW w:w="326" w:type="dxa"/>
            <w:tcBorders/>
            <w:vAlign w:val="center"/>
          </w:tcPr>
          <w:p>
            <w:pPr>
              <w:pStyle w:val="TableContents"/>
              <w:bidi w:val="0"/>
              <w:spacing w:before="0" w:after="1"/>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8,129</w:t>
            </w:r>
          </w:p>
        </w:tc>
        <w:tc>
          <w:tcPr>
            <w:tcW w:w="32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8.9</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recorded amortization expense of $3.3 million and $0.3 million for the three months ended June 30, 2025 and 2024, respectively. The Company recorded amortization expense of $5.6 million and $0.6 million for the six months ended June 30, 2025 and 2024,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details the estimated amortization of identifiable intangible assets with finite lives as of June 30, 2025 (in thousands):</w:t>
      </w:r>
    </w:p>
    <w:tbl>
      <w:tblPr>
        <w:tblW w:w="9465" w:type="dxa"/>
        <w:jc w:val="left"/>
        <w:tblInd w:w="0" w:type="dxa"/>
        <w:tblLayout w:type="fixed"/>
        <w:tblCellMar>
          <w:top w:w="0" w:type="dxa"/>
          <w:left w:w="0" w:type="dxa"/>
          <w:bottom w:w="0" w:type="dxa"/>
          <w:right w:w="0" w:type="dxa"/>
        </w:tblCellMar>
      </w:tblPr>
      <w:tblGrid>
        <w:gridCol w:w="1951"/>
        <w:gridCol w:w="326"/>
        <w:gridCol w:w="211"/>
        <w:gridCol w:w="571"/>
        <w:gridCol w:w="326"/>
        <w:gridCol w:w="343"/>
        <w:gridCol w:w="932"/>
        <w:gridCol w:w="109"/>
        <w:gridCol w:w="254"/>
        <w:gridCol w:w="692"/>
        <w:gridCol w:w="109"/>
        <w:gridCol w:w="339"/>
        <w:gridCol w:w="1087"/>
        <w:gridCol w:w="109"/>
        <w:gridCol w:w="381"/>
        <w:gridCol w:w="624"/>
        <w:gridCol w:w="109"/>
        <w:gridCol w:w="211"/>
        <w:gridCol w:w="78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238885" cy="175260"/>
                      <wp:effectExtent l="0" t="0" r="0" b="0"/>
                      <wp:wrapNone/>
                      <wp:docPr id="250" name="Frame250"/>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07010" cy="175260"/>
                      <wp:effectExtent l="0" t="0" r="0" b="0"/>
                      <wp:wrapNone/>
                      <wp:docPr id="251" name="Frame2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33985" cy="175260"/>
                      <wp:effectExtent l="0" t="0" r="0" b="0"/>
                      <wp:wrapNone/>
                      <wp:docPr id="252" name="Frame2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362585" cy="175260"/>
                      <wp:effectExtent l="0" t="0" r="0" b="0"/>
                      <wp:wrapNone/>
                      <wp:docPr id="253" name="Frame25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07010" cy="175260"/>
                      <wp:effectExtent l="0" t="0" r="0" b="0"/>
                      <wp:wrapNone/>
                      <wp:docPr id="254" name="Frame2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17805" cy="175260"/>
                      <wp:effectExtent l="0" t="0" r="0" b="0"/>
                      <wp:wrapNone/>
                      <wp:docPr id="255" name="Frame255"/>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591820" cy="175260"/>
                      <wp:effectExtent l="0" t="0" r="0" b="0"/>
                      <wp:wrapNone/>
                      <wp:docPr id="256" name="Frame256"/>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9215" cy="175260"/>
                      <wp:effectExtent l="0" t="0" r="0" b="0"/>
                      <wp:wrapNone/>
                      <wp:docPr id="257" name="Frame2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61290" cy="175260"/>
                      <wp:effectExtent l="0" t="0" r="0" b="0"/>
                      <wp:wrapNone/>
                      <wp:docPr id="258" name="Frame258"/>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439420" cy="175260"/>
                      <wp:effectExtent l="0" t="0" r="0" b="0"/>
                      <wp:wrapNone/>
                      <wp:docPr id="259" name="Frame259"/>
                      <a:graphic xmlns:a="http://schemas.openxmlformats.org/drawingml/2006/main">
                        <a:graphicData uri="http://schemas.microsoft.com/office/word/2010/wordprocessingShape">
                          <wps:wsp>
                            <wps:cNvSpPr txBox="1"/>
                            <wps:spPr>
                              <a:xfrm>
                                <a:off x="0" y="0"/>
                                <a:ext cx="439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9215" cy="175260"/>
                      <wp:effectExtent l="0" t="0" r="0" b="0"/>
                      <wp:wrapNone/>
                      <wp:docPr id="260" name="Frame2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5265" cy="175260"/>
                      <wp:effectExtent l="0" t="0" r="0" b="0"/>
                      <wp:wrapNone/>
                      <wp:docPr id="261" name="Frame261"/>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90245" cy="175260"/>
                      <wp:effectExtent l="0" t="0" r="0" b="0"/>
                      <wp:wrapNone/>
                      <wp:docPr id="262" name="Frame262"/>
                      <a:graphic xmlns:a="http://schemas.openxmlformats.org/drawingml/2006/main">
                        <a:graphicData uri="http://schemas.microsoft.com/office/word/2010/wordprocessingShape">
                          <wps:wsp>
                            <wps:cNvSpPr txBox="1"/>
                            <wps:spPr>
                              <a:xfrm>
                                <a:off x="0" y="0"/>
                                <a:ext cx="690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9215" cy="175260"/>
                      <wp:effectExtent l="0" t="0" r="0" b="0"/>
                      <wp:wrapNone/>
                      <wp:docPr id="263" name="Frame2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41935" cy="175260"/>
                      <wp:effectExtent l="0" t="0" r="0" b="0"/>
                      <wp:wrapNone/>
                      <wp:docPr id="264" name="Frame264"/>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396240" cy="175260"/>
                      <wp:effectExtent l="0" t="0" r="0" b="0"/>
                      <wp:wrapNone/>
                      <wp:docPr id="265" name="Frame265"/>
                      <a:graphic xmlns:a="http://schemas.openxmlformats.org/drawingml/2006/main">
                        <a:graphicData uri="http://schemas.microsoft.com/office/word/2010/wordprocessingShape">
                          <wps:wsp>
                            <wps:cNvSpPr txBox="1"/>
                            <wps:spPr>
                              <a:xfrm>
                                <a:off x="0" y="0"/>
                                <a:ext cx="396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9215" cy="175260"/>
                      <wp:effectExtent l="0" t="0" r="0" b="0"/>
                      <wp:wrapNone/>
                      <wp:docPr id="266" name="Frame2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33985" cy="175260"/>
                      <wp:effectExtent l="0" t="0" r="0" b="0"/>
                      <wp:wrapNone/>
                      <wp:docPr id="267" name="Frame2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495935" cy="175260"/>
                      <wp:effectExtent l="0" t="0" r="0" b="0"/>
                      <wp:wrapNone/>
                      <wp:docPr id="268" name="Frame26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Developed </w:t>
            </w:r>
          </w:p>
        </w:tc>
        <w:tc>
          <w:tcPr>
            <w:tcW w:w="109" w:type="dxa"/>
            <w:tcBorders/>
            <w:vAlign w:val="center"/>
          </w:tcPr>
          <w:p>
            <w:pPr>
              <w:pStyle w:val="TableContents"/>
              <w:bidi w:val="0"/>
              <w:spacing w:before="0" w:after="1"/>
              <w:ind w:left="0" w:right="0" w:hanging="0"/>
              <w:jc w:val="left"/>
              <w:rPr/>
            </w:pPr>
            <w:r>
              <w:rPr/>
              <w:t>​</w:t>
            </w:r>
          </w:p>
        </w:tc>
        <w:tc>
          <w:tcPr>
            <w:tcW w:w="14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Customer-Related</w:t>
            </w:r>
          </w:p>
        </w:tc>
        <w:tc>
          <w:tcPr>
            <w:tcW w:w="109" w:type="dxa"/>
            <w:tcBorders/>
            <w:vAlign w:val="center"/>
          </w:tcPr>
          <w:p>
            <w:pPr>
              <w:pStyle w:val="TableContents"/>
              <w:bidi w:val="0"/>
              <w:spacing w:before="0" w:after="1"/>
              <w:ind w:left="0" w:right="0" w:hanging="0"/>
              <w:jc w:val="left"/>
              <w:rPr/>
            </w:pPr>
            <w:r>
              <w:rPr/>
              <w:t>​</w:t>
            </w:r>
          </w:p>
        </w:tc>
        <w:tc>
          <w:tcPr>
            <w:tcW w:w="381" w:type="dxa"/>
            <w:tcBorders/>
            <w:vAlign w:val="center"/>
          </w:tcPr>
          <w:p>
            <w:pPr>
              <w:pStyle w:val="TableContents"/>
              <w:bidi w:val="0"/>
              <w:spacing w:before="0" w:after="1"/>
              <w:ind w:left="0" w:right="0" w:hanging="0"/>
              <w:jc w:val="left"/>
              <w:rPr/>
            </w:pPr>
            <w:r>
              <w:rPr/>
              <w:t>​</w:t>
            </w:r>
          </w:p>
        </w:tc>
        <w:tc>
          <w:tcPr>
            <w:tcW w:w="62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r>
      <w:tr>
        <w:trPr/>
        <w:tc>
          <w:tcPr>
            <w:tcW w:w="19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Patents</w:t>
            </w:r>
          </w:p>
        </w:tc>
        <w:tc>
          <w:tcPr>
            <w:tcW w:w="326" w:type="dxa"/>
            <w:tcBorders/>
            <w:vAlign w:val="center"/>
          </w:tcPr>
          <w:p>
            <w:pPr>
              <w:pStyle w:val="TableContents"/>
              <w:bidi w:val="0"/>
              <w:spacing w:before="0" w:after="1"/>
              <w:ind w:left="0" w:right="0" w:hanging="0"/>
              <w:jc w:val="center"/>
              <w:rPr/>
            </w:pPr>
            <w:r>
              <w:rPr/>
              <w:t>    </w:t>
            </w:r>
          </w:p>
        </w:tc>
        <w:tc>
          <w:tcPr>
            <w:tcW w:w="12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Defensive Assets</w:t>
            </w:r>
          </w:p>
        </w:tc>
        <w:tc>
          <w:tcPr>
            <w:tcW w:w="109" w:type="dxa"/>
            <w:tcBorders/>
            <w:vAlign w:val="center"/>
          </w:tcPr>
          <w:p>
            <w:pPr>
              <w:pStyle w:val="TableContents"/>
              <w:bidi w:val="0"/>
              <w:spacing w:before="0" w:after="1"/>
              <w:ind w:left="0" w:right="0" w:hanging="0"/>
              <w:jc w:val="center"/>
              <w:rPr/>
            </w:pPr>
            <w:r>
              <w:rPr/>
              <w:t>​</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Technology</w:t>
            </w:r>
          </w:p>
        </w:tc>
        <w:tc>
          <w:tcPr>
            <w:tcW w:w="109" w:type="dxa"/>
            <w:tcBorders/>
            <w:vAlign w:val="center"/>
          </w:tcPr>
          <w:p>
            <w:pPr>
              <w:pStyle w:val="TableContents"/>
              <w:bidi w:val="0"/>
              <w:spacing w:before="0" w:after="1"/>
              <w:ind w:left="0" w:right="0" w:hanging="0"/>
              <w:jc w:val="left"/>
              <w:rPr/>
            </w:pPr>
            <w:r>
              <w:rPr/>
              <w:t>​</w:t>
            </w:r>
          </w:p>
        </w:tc>
        <w:tc>
          <w:tcPr>
            <w:tcW w:w="14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Intangible Assets</w:t>
            </w:r>
          </w:p>
        </w:tc>
        <w:tc>
          <w:tcPr>
            <w:tcW w:w="109" w:type="dxa"/>
            <w:tcBorders/>
            <w:vAlign w:val="center"/>
          </w:tcPr>
          <w:p>
            <w:pPr>
              <w:pStyle w:val="TableContents"/>
              <w:bidi w:val="0"/>
              <w:spacing w:before="0" w:after="1"/>
              <w:ind w:left="0" w:right="0" w:hanging="0"/>
              <w:jc w:val="left"/>
              <w:rPr/>
            </w:pPr>
            <w:r>
              <w:rPr/>
              <w:t>​</w:t>
            </w:r>
          </w:p>
        </w:tc>
        <w:tc>
          <w:tcPr>
            <w:tcW w:w="10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Trade Name</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9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 (remaining)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w:t>
            </w:r>
          </w:p>
        </w:tc>
        <w:tc>
          <w:tcPr>
            <w:tcW w:w="109" w:type="dxa"/>
            <w:tcBorders/>
            <w:shd w:fill="CCEEFF" w:val="clear"/>
            <w:vAlign w:val="center"/>
          </w:tcPr>
          <w:p>
            <w:pPr>
              <w:pStyle w:val="TableContents"/>
              <w:bidi w:val="0"/>
              <w:spacing w:before="0" w:after="1"/>
              <w:ind w:left="0" w:right="0" w:hanging="0"/>
              <w:jc w:val="left"/>
              <w:rPr/>
            </w:pPr>
            <w:r>
              <w:rPr/>
              <w:t>​</w:t>
            </w:r>
          </w:p>
        </w:tc>
        <w:tc>
          <w:tcPr>
            <w:tcW w:w="3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5,835</w:t>
            </w:r>
          </w:p>
        </w:tc>
        <w:tc>
          <w:tcPr>
            <w:tcW w:w="109" w:type="dxa"/>
            <w:tcBorders/>
            <w:shd w:fill="CCEEFF" w:val="clear"/>
            <w:vAlign w:val="center"/>
          </w:tcPr>
          <w:p>
            <w:pPr>
              <w:pStyle w:val="TableContents"/>
              <w:bidi w:val="0"/>
              <w:spacing w:before="0" w:after="1"/>
              <w:ind w:left="0" w:right="0" w:hanging="0"/>
              <w:jc w:val="left"/>
              <w:rPr/>
            </w:pPr>
            <w:r>
              <w:rPr/>
              <w:t>​</w:t>
            </w:r>
          </w:p>
        </w:tc>
        <w:tc>
          <w:tcPr>
            <w:tcW w:w="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6,561</w:t>
            </w:r>
          </w:p>
        </w:tc>
      </w:tr>
      <w:tr>
        <w:trPr/>
        <w:tc>
          <w:tcPr>
            <w:tcW w:w="19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w:t>
            </w:r>
          </w:p>
        </w:tc>
        <w:tc>
          <w:tcPr>
            <w:tcW w:w="32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 </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w:t>
            </w:r>
          </w:p>
        </w:tc>
        <w:tc>
          <w:tcPr>
            <w:tcW w:w="109"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w:t>
            </w:r>
          </w:p>
        </w:tc>
        <w:tc>
          <w:tcPr>
            <w:tcW w:w="109" w:type="dxa"/>
            <w:tcBorders/>
            <w:vAlign w:val="center"/>
          </w:tcPr>
          <w:p>
            <w:pPr>
              <w:pStyle w:val="TableContents"/>
              <w:bidi w:val="0"/>
              <w:spacing w:before="0" w:after="1"/>
              <w:ind w:left="0" w:right="0" w:hanging="0"/>
              <w:jc w:val="left"/>
              <w:rPr/>
            </w:pPr>
            <w:r>
              <w:rPr/>
              <w:t>​</w:t>
            </w:r>
          </w:p>
        </w:tc>
        <w:tc>
          <w:tcPr>
            <w:tcW w:w="339" w:type="dxa"/>
            <w:tcBorders/>
            <w:vAlign w:val="center"/>
          </w:tcPr>
          <w:p>
            <w:pPr>
              <w:pStyle w:val="TableContents"/>
              <w:bidi w:val="0"/>
              <w:spacing w:before="0" w:after="1"/>
              <w:ind w:left="0" w:right="0" w:hanging="0"/>
              <w:jc w:val="left"/>
              <w:rPr/>
            </w:pPr>
            <w:r>
              <w:rPr/>
              <w:t>​</w:t>
            </w:r>
          </w:p>
        </w:tc>
        <w:tc>
          <w:tcPr>
            <w:tcW w:w="10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11,669</w:t>
            </w:r>
          </w:p>
        </w:tc>
        <w:tc>
          <w:tcPr>
            <w:tcW w:w="109" w:type="dxa"/>
            <w:tcBorders/>
            <w:vAlign w:val="center"/>
          </w:tcPr>
          <w:p>
            <w:pPr>
              <w:pStyle w:val="TableContents"/>
              <w:bidi w:val="0"/>
              <w:spacing w:before="0" w:after="1"/>
              <w:ind w:left="0" w:right="0" w:hanging="0"/>
              <w:jc w:val="left"/>
              <w:rPr/>
            </w:pPr>
            <w:r>
              <w:rPr/>
              <w:t>​</w:t>
            </w:r>
          </w:p>
        </w:tc>
        <w:tc>
          <w:tcPr>
            <w:tcW w:w="381" w:type="dxa"/>
            <w:tcBorders/>
            <w:vAlign w:val="center"/>
          </w:tcPr>
          <w:p>
            <w:pPr>
              <w:pStyle w:val="TableContents"/>
              <w:bidi w:val="0"/>
              <w:spacing w:before="0" w:after="1"/>
              <w:ind w:left="0" w:right="0" w:hanging="0"/>
              <w:jc w:val="left"/>
              <w:rPr/>
            </w:pPr>
            <w:r>
              <w:rPr/>
              <w:t>​</w:t>
            </w:r>
          </w:p>
        </w:tc>
        <w:tc>
          <w:tcPr>
            <w:tcW w:w="6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13,122</w:t>
            </w:r>
          </w:p>
        </w:tc>
      </w:tr>
      <w:tr>
        <w:trPr/>
        <w:tc>
          <w:tcPr>
            <w:tcW w:w="19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pPr>
            <w:r>
              <w:rPr/>
              <w:t> </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w:t>
            </w:r>
          </w:p>
        </w:tc>
        <w:tc>
          <w:tcPr>
            <w:tcW w:w="109" w:type="dxa"/>
            <w:tcBorders/>
            <w:shd w:fill="CCEEFF" w:val="clear"/>
            <w:vAlign w:val="center"/>
          </w:tcPr>
          <w:p>
            <w:pPr>
              <w:pStyle w:val="TableContents"/>
              <w:bidi w:val="0"/>
              <w:spacing w:before="0" w:after="1"/>
              <w:ind w:left="0" w:right="0" w:hanging="0"/>
              <w:jc w:val="left"/>
              <w:rPr/>
            </w:pPr>
            <w:r>
              <w:rPr/>
              <w:t>​</w:t>
            </w:r>
          </w:p>
        </w:tc>
        <w:tc>
          <w:tcPr>
            <w:tcW w:w="339" w:type="dxa"/>
            <w:tcBorders/>
            <w:shd w:fill="CCEEFF" w:val="clear"/>
            <w:vAlign w:val="center"/>
          </w:tcPr>
          <w:p>
            <w:pPr>
              <w:pStyle w:val="TableContents"/>
              <w:bidi w:val="0"/>
              <w:spacing w:before="0" w:after="1"/>
              <w:ind w:left="0" w:right="0" w:hanging="0"/>
              <w:jc w:val="left"/>
              <w:rPr/>
            </w:pPr>
            <w:r>
              <w:rPr/>
              <w:t>​</w:t>
            </w:r>
          </w:p>
        </w:tc>
        <w:tc>
          <w:tcPr>
            <w:tcW w:w="10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11,669</w:t>
            </w:r>
          </w:p>
        </w:tc>
        <w:tc>
          <w:tcPr>
            <w:tcW w:w="109" w:type="dxa"/>
            <w:tcBorders/>
            <w:shd w:fill="CCEEFF" w:val="clear"/>
            <w:vAlign w:val="center"/>
          </w:tcPr>
          <w:p>
            <w:pPr>
              <w:pStyle w:val="TableContents"/>
              <w:bidi w:val="0"/>
              <w:spacing w:before="0" w:after="1"/>
              <w:ind w:left="0" w:right="0" w:hanging="0"/>
              <w:jc w:val="left"/>
              <w:rPr/>
            </w:pPr>
            <w:r>
              <w:rPr/>
              <w:t>​</w:t>
            </w:r>
          </w:p>
        </w:tc>
        <w:tc>
          <w:tcPr>
            <w:tcW w:w="381" w:type="dxa"/>
            <w:tcBorders/>
            <w:shd w:fill="CCEEFF" w:val="clear"/>
            <w:vAlign w:val="center"/>
          </w:tcPr>
          <w:p>
            <w:pPr>
              <w:pStyle w:val="TableContents"/>
              <w:bidi w:val="0"/>
              <w:spacing w:before="0" w:after="1"/>
              <w:ind w:left="0" w:right="0" w:hanging="0"/>
              <w:jc w:val="left"/>
              <w:rPr/>
            </w:pPr>
            <w:r>
              <w:rPr/>
              <w:t>​</w:t>
            </w:r>
          </w:p>
        </w:tc>
        <w:tc>
          <w:tcPr>
            <w:tcW w:w="6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13,122</w:t>
            </w:r>
          </w:p>
        </w:tc>
      </w:tr>
      <w:tr>
        <w:trPr/>
        <w:tc>
          <w:tcPr>
            <w:tcW w:w="19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w:t>
            </w:r>
          </w:p>
        </w:tc>
        <w:tc>
          <w:tcPr>
            <w:tcW w:w="32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 </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w:t>
            </w:r>
          </w:p>
        </w:tc>
        <w:tc>
          <w:tcPr>
            <w:tcW w:w="109"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w:t>
            </w:r>
          </w:p>
        </w:tc>
        <w:tc>
          <w:tcPr>
            <w:tcW w:w="109" w:type="dxa"/>
            <w:tcBorders/>
            <w:vAlign w:val="center"/>
          </w:tcPr>
          <w:p>
            <w:pPr>
              <w:pStyle w:val="TableContents"/>
              <w:bidi w:val="0"/>
              <w:spacing w:before="0" w:after="1"/>
              <w:ind w:left="0" w:right="0" w:hanging="0"/>
              <w:jc w:val="left"/>
              <w:rPr/>
            </w:pPr>
            <w:r>
              <w:rPr/>
              <w:t>​</w:t>
            </w:r>
          </w:p>
        </w:tc>
        <w:tc>
          <w:tcPr>
            <w:tcW w:w="339" w:type="dxa"/>
            <w:tcBorders/>
            <w:vAlign w:val="center"/>
          </w:tcPr>
          <w:p>
            <w:pPr>
              <w:pStyle w:val="TableContents"/>
              <w:bidi w:val="0"/>
              <w:spacing w:before="0" w:after="1"/>
              <w:ind w:left="0" w:right="0" w:hanging="0"/>
              <w:jc w:val="left"/>
              <w:rPr/>
            </w:pPr>
            <w:r>
              <w:rPr/>
              <w:t>​</w:t>
            </w:r>
          </w:p>
        </w:tc>
        <w:tc>
          <w:tcPr>
            <w:tcW w:w="10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11,669</w:t>
            </w:r>
          </w:p>
        </w:tc>
        <w:tc>
          <w:tcPr>
            <w:tcW w:w="109" w:type="dxa"/>
            <w:tcBorders/>
            <w:vAlign w:val="center"/>
          </w:tcPr>
          <w:p>
            <w:pPr>
              <w:pStyle w:val="TableContents"/>
              <w:bidi w:val="0"/>
              <w:spacing w:before="0" w:after="1"/>
              <w:ind w:left="0" w:right="0" w:hanging="0"/>
              <w:jc w:val="left"/>
              <w:rPr/>
            </w:pPr>
            <w:r>
              <w:rPr/>
              <w:t>​</w:t>
            </w:r>
          </w:p>
        </w:tc>
        <w:tc>
          <w:tcPr>
            <w:tcW w:w="381" w:type="dxa"/>
            <w:tcBorders/>
            <w:vAlign w:val="center"/>
          </w:tcPr>
          <w:p>
            <w:pPr>
              <w:pStyle w:val="TableContents"/>
              <w:bidi w:val="0"/>
              <w:spacing w:before="0" w:after="1"/>
              <w:ind w:left="0" w:right="0" w:hanging="0"/>
              <w:jc w:val="left"/>
              <w:rPr/>
            </w:pPr>
            <w:r>
              <w:rPr/>
              <w:t>​</w:t>
            </w:r>
          </w:p>
        </w:tc>
        <w:tc>
          <w:tcPr>
            <w:tcW w:w="6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13,114</w:t>
            </w:r>
          </w:p>
        </w:tc>
      </w:tr>
      <w:tr>
        <w:trPr/>
        <w:tc>
          <w:tcPr>
            <w:tcW w:w="19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pPr>
            <w:r>
              <w:rPr/>
              <w:t> </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w:t>
            </w:r>
          </w:p>
        </w:tc>
        <w:tc>
          <w:tcPr>
            <w:tcW w:w="109" w:type="dxa"/>
            <w:tcBorders/>
            <w:shd w:fill="CCEEFF" w:val="clear"/>
            <w:vAlign w:val="center"/>
          </w:tcPr>
          <w:p>
            <w:pPr>
              <w:pStyle w:val="TableContents"/>
              <w:bidi w:val="0"/>
              <w:spacing w:before="0" w:after="1"/>
              <w:ind w:left="0" w:right="0" w:hanging="0"/>
              <w:jc w:val="left"/>
              <w:rPr/>
            </w:pPr>
            <w:r>
              <w:rPr/>
              <w:t>​</w:t>
            </w:r>
          </w:p>
        </w:tc>
        <w:tc>
          <w:tcPr>
            <w:tcW w:w="339" w:type="dxa"/>
            <w:tcBorders/>
            <w:shd w:fill="CCEEFF" w:val="clear"/>
            <w:vAlign w:val="center"/>
          </w:tcPr>
          <w:p>
            <w:pPr>
              <w:pStyle w:val="TableContents"/>
              <w:bidi w:val="0"/>
              <w:spacing w:before="0" w:after="1"/>
              <w:ind w:left="0" w:right="0" w:hanging="0"/>
              <w:jc w:val="left"/>
              <w:rPr/>
            </w:pPr>
            <w:r>
              <w:rPr/>
              <w:t>​</w:t>
            </w:r>
          </w:p>
        </w:tc>
        <w:tc>
          <w:tcPr>
            <w:tcW w:w="10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1,059</w:t>
            </w:r>
          </w:p>
        </w:tc>
        <w:tc>
          <w:tcPr>
            <w:tcW w:w="109" w:type="dxa"/>
            <w:tcBorders/>
            <w:shd w:fill="CCEEFF" w:val="clear"/>
            <w:vAlign w:val="center"/>
          </w:tcPr>
          <w:p>
            <w:pPr>
              <w:pStyle w:val="TableContents"/>
              <w:bidi w:val="0"/>
              <w:spacing w:before="0" w:after="1"/>
              <w:ind w:left="0" w:right="0" w:hanging="0"/>
              <w:jc w:val="left"/>
              <w:rPr/>
            </w:pPr>
            <w:r>
              <w:rPr/>
              <w:t>​</w:t>
            </w:r>
          </w:p>
        </w:tc>
        <w:tc>
          <w:tcPr>
            <w:tcW w:w="381" w:type="dxa"/>
            <w:tcBorders/>
            <w:shd w:fill="CCEEFF" w:val="clear"/>
            <w:vAlign w:val="center"/>
          </w:tcPr>
          <w:p>
            <w:pPr>
              <w:pStyle w:val="TableContents"/>
              <w:bidi w:val="0"/>
              <w:spacing w:before="0" w:after="1"/>
              <w:ind w:left="0" w:right="0" w:hanging="0"/>
              <w:jc w:val="left"/>
              <w:rPr/>
            </w:pPr>
            <w:r>
              <w:rPr/>
              <w:t>​</w:t>
            </w:r>
          </w:p>
        </w:tc>
        <w:tc>
          <w:tcPr>
            <w:tcW w:w="62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1,868</w:t>
            </w:r>
          </w:p>
        </w:tc>
      </w:tr>
      <w:tr>
        <w:trPr/>
        <w:tc>
          <w:tcPr>
            <w:tcW w:w="19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 and thereafter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4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109" w:type="dxa"/>
            <w:tcBorders/>
            <w:vAlign w:val="center"/>
          </w:tcPr>
          <w:p>
            <w:pPr>
              <w:pStyle w:val="TableContents"/>
              <w:bidi w:val="0"/>
              <w:spacing w:before="0" w:after="1"/>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998</w:t>
            </w:r>
          </w:p>
        </w:tc>
        <w:tc>
          <w:tcPr>
            <w:tcW w:w="109" w:type="dxa"/>
            <w:tcBorders/>
            <w:vAlign w:val="center"/>
          </w:tcPr>
          <w:p>
            <w:pPr>
              <w:pStyle w:val="TableContents"/>
              <w:bidi w:val="0"/>
              <w:spacing w:before="0" w:after="1"/>
              <w:ind w:left="0" w:right="0" w:hanging="0"/>
              <w:jc w:val="left"/>
              <w:rPr/>
            </w:pPr>
            <w:r>
              <w:rPr/>
              <w:t>​</w:t>
            </w:r>
          </w:p>
        </w:tc>
        <w:tc>
          <w:tcPr>
            <w:tcW w:w="3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2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1,046</w:t>
            </w:r>
          </w:p>
        </w:tc>
      </w:tr>
      <w:tr>
        <w:trPr/>
        <w:tc>
          <w:tcPr>
            <w:tcW w:w="19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intangible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2,087</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2,685</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1,083</w:t>
            </w:r>
          </w:p>
        </w:tc>
        <w:tc>
          <w:tcPr>
            <w:tcW w:w="109" w:type="dxa"/>
            <w:tcBorders/>
            <w:shd w:fill="CCEEFF" w:val="clear"/>
            <w:vAlign w:val="center"/>
          </w:tcPr>
          <w:p>
            <w:pPr>
              <w:pStyle w:val="TableContents"/>
              <w:bidi w:val="0"/>
              <w:spacing w:before="0" w:after="1"/>
              <w:ind w:left="0" w:right="0" w:hanging="0"/>
              <w:jc w:val="left"/>
              <w:rPr/>
            </w:pPr>
            <w:r>
              <w:rPr/>
              <w:t>​</w:t>
            </w:r>
          </w:p>
        </w:tc>
        <w:tc>
          <w:tcPr>
            <w:tcW w:w="3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42,899</w:t>
            </w:r>
          </w:p>
        </w:tc>
        <w:tc>
          <w:tcPr>
            <w:tcW w:w="109" w:type="dxa"/>
            <w:tcBorders/>
            <w:shd w:fill="CCEEFF" w:val="clear"/>
            <w:vAlign w:val="center"/>
          </w:tcPr>
          <w:p>
            <w:pPr>
              <w:pStyle w:val="TableContents"/>
              <w:bidi w:val="0"/>
              <w:spacing w:before="0" w:after="1"/>
              <w:ind w:left="0" w:right="0" w:hanging="0"/>
              <w:jc w:val="left"/>
              <w:rPr/>
            </w:pPr>
            <w:r>
              <w:rPr/>
              <w:t>​</w:t>
            </w:r>
          </w:p>
        </w:tc>
        <w:tc>
          <w:tcPr>
            <w:tcW w:w="3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48,833</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sz w:val="20"/>
          <w:shd w:fill="FFFFFF" w:val="clear"/>
        </w:rPr>
      </w:pPr>
      <w:bookmarkStart w:id="1186" w:name="Tc_m-WNTVOl6EW-skMbFHtA0A_5_5"/>
      <w:bookmarkStart w:id="1187" w:name="Tc_M3ZN5BMOdUu2H5hQtIj_hA_5_2"/>
      <w:bookmarkStart w:id="1188" w:name="Tc_F9CT-IdblUmmD7jLXTc6KA_5_0"/>
      <w:bookmarkStart w:id="1189" w:name="Tc_BqlPqNg1HUmgFxO2Q0EaEw_4_0"/>
      <w:bookmarkStart w:id="1190" w:name="Tc_zMfqD2RNd0iojCyabqvFdQ_3_0"/>
      <w:bookmarkStart w:id="1191" w:name="Tc_kNWE4xQ-ZkWV_P6NLaDaRQ_2_6"/>
      <w:bookmarkStart w:id="1192" w:name="Tc_AHQR7ftXYE6HDQTwGt1UHg_2_5"/>
      <w:bookmarkStart w:id="1193" w:name="Tc_7R0sltLsyE-bq_8wj3dYEg_2_2"/>
      <w:bookmarkStart w:id="1194" w:name="Tc_0N0XLve6ekavAK2dA2Jfpg_2_0"/>
      <w:bookmarkStart w:id="1195" w:name="Tc_AMUnRG5jx0iHhVAwc1dg3g_1_5"/>
      <w:bookmarkStart w:id="1196" w:name="Tc_GPd4lAA_fkKon65zrepU6g_1_2"/>
      <w:bookmarkStart w:id="1197" w:name="_eabe2ebd_f459_4410_aea8_db636b8fc988"/>
      <w:bookmarkEnd w:id="1186"/>
      <w:bookmarkEnd w:id="1187"/>
      <w:bookmarkEnd w:id="1188"/>
      <w:bookmarkEnd w:id="1189"/>
      <w:bookmarkEnd w:id="1190"/>
      <w:bookmarkEnd w:id="1191"/>
      <w:bookmarkEnd w:id="1192"/>
      <w:bookmarkEnd w:id="1193"/>
      <w:bookmarkEnd w:id="1194"/>
      <w:bookmarkEnd w:id="1195"/>
      <w:bookmarkEnd w:id="1196"/>
      <w:bookmarkEnd w:id="1197"/>
      <w:r>
        <w:rPr>
          <w:rFonts w:ascii="Times New Roman;Times;serif" w:hAnsi="Times New Roman;Times;serif"/>
          <w:sz w:val="20"/>
          <w:shd w:fill="FFFFFF" w:val="clear"/>
        </w:rPr>
        <w:t>Goodwill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six months ended June 30, 2025, goodwill increased by $39.8 million, primarily as a result of the acquisition of the assets of Red Trail Energy. The increase reflects the difference between the fair value of the net assets purchased from Red Trail Energy, including intangible assets, and the purchase price, with the excess recorded as goodwill. The goodwill recognized in this acquisition is primarily attributable to expected synergies from integrating operations, as well as other factors that are not individually identifiable or separately recognized.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changes in the carrying amount of goodwill (in thousands) as of:</w:t>
      </w:r>
    </w:p>
    <w:tbl>
      <w:tblPr>
        <w:tblW w:w="6648" w:type="dxa"/>
        <w:jc w:val="left"/>
        <w:tblInd w:w="0" w:type="dxa"/>
        <w:tblLayout w:type="fixed"/>
        <w:tblCellMar>
          <w:top w:w="0" w:type="dxa"/>
          <w:left w:w="0" w:type="dxa"/>
          <w:bottom w:w="0" w:type="dxa"/>
          <w:right w:w="0" w:type="dxa"/>
        </w:tblCellMar>
      </w:tblPr>
      <w:tblGrid>
        <w:gridCol w:w="3541"/>
        <w:gridCol w:w="109"/>
        <w:gridCol w:w="267"/>
        <w:gridCol w:w="859"/>
        <w:gridCol w:w="326"/>
        <w:gridCol w:w="367"/>
        <w:gridCol w:w="1179"/>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248535" cy="175260"/>
                      <wp:effectExtent l="0" t="0" r="0" b="0"/>
                      <wp:wrapNone/>
                      <wp:docPr id="269" name="Frame269"/>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9215" cy="175260"/>
                      <wp:effectExtent l="0" t="0" r="0" b="0"/>
                      <wp:wrapNone/>
                      <wp:docPr id="270" name="Frame2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69545" cy="175260"/>
                      <wp:effectExtent l="0" t="0" r="0" b="0"/>
                      <wp:wrapNone/>
                      <wp:docPr id="271" name="Frame271"/>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545465" cy="175260"/>
                      <wp:effectExtent l="0" t="0" r="0" b="0"/>
                      <wp:wrapNone/>
                      <wp:docPr id="272" name="Frame272"/>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7010" cy="175260"/>
                      <wp:effectExtent l="0" t="0" r="0" b="0"/>
                      <wp:wrapNone/>
                      <wp:docPr id="273" name="Frame2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33045" cy="175260"/>
                      <wp:effectExtent l="0" t="0" r="0" b="0"/>
                      <wp:wrapNone/>
                      <wp:docPr id="274" name="Frame274"/>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748665" cy="175260"/>
                      <wp:effectExtent l="0" t="0" r="0" b="0"/>
                      <wp:wrapNone/>
                      <wp:docPr id="275" name="Frame275"/>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 beginning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3,740</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1"/>
              <w:ind w:left="0" w:right="0" w:hanging="0"/>
              <w:jc w:val="right"/>
              <w:rPr/>
            </w:pPr>
            <w:r>
              <w:rPr/>
              <w:t>—</w:t>
            </w:r>
          </w:p>
        </w:tc>
      </w:tr>
      <w:tr>
        <w:trPr/>
        <w:tc>
          <w:tcPr>
            <w:tcW w:w="3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Acquisitions</w:t>
            </w:r>
          </w:p>
        </w:tc>
        <w:tc>
          <w:tcPr>
            <w:tcW w:w="109"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37,815</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3,742</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 acquisition balance adjustments</w:t>
            </w:r>
          </w:p>
        </w:tc>
        <w:tc>
          <w:tcPr>
            <w:tcW w:w="109" w:type="dxa"/>
            <w:tcBorders/>
            <w:shd w:fill="CCEEFF" w:val="clear"/>
            <w:vAlign w:val="center"/>
          </w:tcPr>
          <w:p>
            <w:pPr>
              <w:pStyle w:val="TableContents"/>
              <w:bidi w:val="0"/>
              <w:spacing w:before="0" w:after="1"/>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2,003</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3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 end of period</w:t>
            </w:r>
          </w:p>
        </w:tc>
        <w:tc>
          <w:tcPr>
            <w:tcW w:w="109" w:type="dxa"/>
            <w:tcBorders/>
            <w:vAlign w:val="center"/>
          </w:tcPr>
          <w:p>
            <w:pPr>
              <w:pStyle w:val="TableContents"/>
              <w:bidi w:val="0"/>
              <w:spacing w:before="0" w:after="1"/>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43,558</w:t>
            </w:r>
          </w:p>
        </w:tc>
        <w:tc>
          <w:tcPr>
            <w:tcW w:w="326" w:type="dxa"/>
            <w:tcBorders/>
            <w:vAlign w:val="center"/>
          </w:tcPr>
          <w:p>
            <w:pPr>
              <w:pStyle w:val="TableContents"/>
              <w:bidi w:val="0"/>
              <w:spacing w:before="0" w:after="1"/>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3,740</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Normal"/>
        <w:bidi w:val="0"/>
        <w:spacing w:before="0" w:after="0"/>
        <w:jc w:val="left"/>
        <w:rPr>
          <w:sz w:val="4"/>
          <w:szCs w:val="4"/>
        </w:rPr>
      </w:pPr>
      <w:r>
        <w:rPr>
          <w:sz w:val="4"/>
          <w:szCs w:val="4"/>
        </w:rPr>
      </w:r>
      <w:bookmarkStart w:id="1198" w:name="Tc_4j4nYKjma0qXkCrMHYclzw_8_5"/>
      <w:bookmarkStart w:id="1199" w:name="Tc_NUYXwwQ_Xkau5519LIETjw_8_2"/>
      <w:bookmarkStart w:id="1200" w:name="Tc_j1iu3fCkyEeg7c8bANGE4A_8_0"/>
      <w:bookmarkStart w:id="1201" w:name="Tc_rCSaeIxUlUGsGD6oXpemow_7_0"/>
      <w:bookmarkStart w:id="1202" w:name="Tc_JXpjWRYXGUCIMFijSl-ITg_6_3"/>
      <w:bookmarkStart w:id="1203" w:name="Tc_PpHnJTyt_UeWeAz88ZA13g_6_0"/>
      <w:bookmarkStart w:id="1204" w:name="Tc_meUHtpc_5UWwhIT7RSohkg_5_0"/>
      <w:bookmarkStart w:id="1205" w:name="Tc_nRaKVa7u4kCBdVEH63LHHw_4_0"/>
      <w:bookmarkStart w:id="1206" w:name="Tc_KZD5PD9ZZk2CZs5FrIyYhA_3_0"/>
      <w:bookmarkStart w:id="1207" w:name="Tc_JOX_wG5Pf0KvzhNlwD7TbQ_2_5"/>
      <w:bookmarkStart w:id="1208" w:name="Tc_Sa_B-f1NBkCNLNGS6pvHnA_2_2"/>
      <w:bookmarkStart w:id="1209" w:name="Tc_9dQFUmzEYEeYyT_W3mQekw_2_0"/>
      <w:bookmarkStart w:id="1210" w:name="Tc_lZNDgfeNQUepA3Ri-BoUYQ_1_5"/>
      <w:bookmarkStart w:id="1211" w:name="Tc_xqZrickXWkqxTT1bbFae1g_1_2"/>
      <w:bookmarkStart w:id="1212" w:name="_217a9570_6961_4f22_b850_b47faa4c5d19"/>
      <w:bookmarkStart w:id="1213" w:name="Tc_4j4nYKjma0qXkCrMHYclzw_8_5"/>
      <w:bookmarkStart w:id="1214" w:name="Tc_NUYXwwQ_Xkau5519LIETjw_8_2"/>
      <w:bookmarkStart w:id="1215" w:name="Tc_j1iu3fCkyEeg7c8bANGE4A_8_0"/>
      <w:bookmarkStart w:id="1216" w:name="Tc_rCSaeIxUlUGsGD6oXpemow_7_0"/>
      <w:bookmarkStart w:id="1217" w:name="Tc_JXpjWRYXGUCIMFijSl-ITg_6_3"/>
      <w:bookmarkStart w:id="1218" w:name="Tc_PpHnJTyt_UeWeAz88ZA13g_6_0"/>
      <w:bookmarkStart w:id="1219" w:name="Tc_meUHtpc_5UWwhIT7RSohkg_5_0"/>
      <w:bookmarkStart w:id="1220" w:name="Tc_nRaKVa7u4kCBdVEH63LHHw_4_0"/>
      <w:bookmarkStart w:id="1221" w:name="Tc_KZD5PD9ZZk2CZs5FrIyYhA_3_0"/>
      <w:bookmarkStart w:id="1222" w:name="Tc_JOX_wG5Pf0KvzhNlwD7TbQ_2_5"/>
      <w:bookmarkStart w:id="1223" w:name="Tc_Sa_B-f1NBkCNLNGS6pvHnA_2_2"/>
      <w:bookmarkStart w:id="1224" w:name="Tc_9dQFUmzEYEeYyT_W3mQekw_2_0"/>
      <w:bookmarkStart w:id="1225" w:name="Tc_lZNDgfeNQUepA3Ri-BoUYQ_1_5"/>
      <w:bookmarkStart w:id="1226" w:name="Tc_xqZrickXWkqxTT1bbFae1g_1_2"/>
      <w:bookmarkStart w:id="1227" w:name="_217a9570_6961_4f22_b850_b47faa4c5d19"/>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p>
    <w:tbl>
      <w:tblPr>
        <w:tblW w:w="2687" w:type="dxa"/>
        <w:jc w:val="left"/>
        <w:tblInd w:w="0" w:type="dxa"/>
        <w:tblLayout w:type="fixed"/>
        <w:tblCellMar>
          <w:top w:w="0" w:type="dxa"/>
          <w:left w:w="0" w:type="dxa"/>
          <w:bottom w:w="0" w:type="dxa"/>
          <w:right w:w="0" w:type="dxa"/>
        </w:tblCellMar>
      </w:tblPr>
      <w:tblGrid>
        <w:gridCol w:w="376"/>
        <w:gridCol w:w="231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13.</w:t>
            </w:r>
          </w:p>
        </w:tc>
        <w:tc>
          <w:tcPr>
            <w:tcW w:w="23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Deposits and Other Assets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components of the Company’s deposits and other assets (in thousands) as of:</w:t>
      </w:r>
    </w:p>
    <w:tbl>
      <w:tblPr>
        <w:tblW w:w="5920" w:type="dxa"/>
        <w:jc w:val="left"/>
        <w:tblInd w:w="0" w:type="dxa"/>
        <w:tblLayout w:type="fixed"/>
        <w:tblCellMar>
          <w:top w:w="0" w:type="dxa"/>
          <w:left w:w="0" w:type="dxa"/>
          <w:bottom w:w="0" w:type="dxa"/>
          <w:right w:w="0" w:type="dxa"/>
        </w:tblCellMar>
      </w:tblPr>
      <w:tblGrid>
        <w:gridCol w:w="2596"/>
        <w:gridCol w:w="326"/>
        <w:gridCol w:w="267"/>
        <w:gridCol w:w="859"/>
        <w:gridCol w:w="326"/>
        <w:gridCol w:w="328"/>
        <w:gridCol w:w="1218"/>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648460" cy="175260"/>
                      <wp:effectExtent l="0" t="0" r="0" b="0"/>
                      <wp:wrapNone/>
                      <wp:docPr id="276" name="Frame276"/>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7010" cy="175260"/>
                      <wp:effectExtent l="0" t="0" r="0" b="0"/>
                      <wp:wrapNone/>
                      <wp:docPr id="277" name="Frame2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69545" cy="175260"/>
                      <wp:effectExtent l="0" t="0" r="0" b="0"/>
                      <wp:wrapNone/>
                      <wp:docPr id="278" name="Frame278"/>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545465" cy="175260"/>
                      <wp:effectExtent l="0" t="0" r="0" b="0"/>
                      <wp:wrapNone/>
                      <wp:docPr id="279" name="Frame279"/>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07010" cy="175260"/>
                      <wp:effectExtent l="0" t="0" r="0" b="0"/>
                      <wp:wrapNone/>
                      <wp:docPr id="280" name="Frame2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8280" cy="175260"/>
                      <wp:effectExtent l="0" t="0" r="0" b="0"/>
                      <wp:wrapNone/>
                      <wp:docPr id="281" name="Frame281"/>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773430" cy="175260"/>
                      <wp:effectExtent l="0" t="0" r="0" b="0"/>
                      <wp:wrapNone/>
                      <wp:docPr id="282" name="Frame282"/>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Deposits</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feedstock</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2,853</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2,636</w:t>
            </w:r>
          </w:p>
        </w:tc>
      </w:tr>
      <w:tr>
        <w:trPr/>
        <w:tc>
          <w:tcPr>
            <w:tcW w:w="25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Equity interest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w:t>
            </w:r>
          </w:p>
        </w:tc>
      </w:tr>
      <w:tr>
        <w:trPr/>
        <w:tc>
          <w:tcPr>
            <w:tcW w:w="259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Deposits receivable </w:t>
            </w:r>
            <w:r>
              <w:rPr>
                <w:rFonts w:ascii="Times New Roman;Times;serif" w:hAnsi="Times New Roman;Times;serif"/>
                <w:sz w:val="15"/>
              </w:rPr>
              <w:t>(2)</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52,224</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47,737</w:t>
            </w:r>
          </w:p>
        </w:tc>
      </w:tr>
      <w:tr>
        <w:trPr/>
        <w:tc>
          <w:tcPr>
            <w:tcW w:w="25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Earnest money deposit </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r>
      <w:tr>
        <w:trPr/>
        <w:tc>
          <w:tcPr>
            <w:tcW w:w="259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Other assets, net </w:t>
            </w:r>
            <w:r>
              <w:rPr>
                <w:rFonts w:ascii="Times New Roman;Times;serif" w:hAnsi="Times New Roman;Times;serif"/>
                <w:sz w:val="15"/>
              </w:rPr>
              <w:t>(4)</w:t>
            </w:r>
          </w:p>
        </w:tc>
        <w:tc>
          <w:tcPr>
            <w:tcW w:w="32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12,505</w:t>
            </w:r>
          </w:p>
        </w:tc>
        <w:tc>
          <w:tcPr>
            <w:tcW w:w="326" w:type="dxa"/>
            <w:tcBorders/>
            <w:vAlign w:val="center"/>
          </w:tcPr>
          <w:p>
            <w:pPr>
              <w:pStyle w:val="TableContents"/>
              <w:bidi w:val="0"/>
              <w:spacing w:before="0" w:after="1"/>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13,566</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deposits and other assets</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69,539</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75,623</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directly holds a 3.6%</w:t>
            </w:r>
            <w:r>
              <w:rPr>
                <w:caps w:val="false"/>
                <w:smallCaps w:val="false"/>
              </w:rPr>
              <w:t xml:space="preserve"> </w:t>
            </w:r>
            <w:r>
              <w:rPr>
                <w:rFonts w:ascii="Times New Roman;Times;serif" w:hAnsi="Times New Roman;Times;serif"/>
                <w:b w:val="false"/>
                <w:i w:val="false"/>
                <w:caps w:val="false"/>
                <w:smallCaps w:val="false"/>
                <w:sz w:val="20"/>
              </w:rPr>
              <w:t>interest in the Series A Preferred Stock of Zero6 Clean Energy Assets, Inc. (“Zero6”), formerly Juhl Clean Energy Assets, Inc., which is not a publicly listed entity with a readily determinable fair value. The Company therefore measures the securities at cost. Recent observable equity raises indicated no impairment issues or an increase to the carrying value. This ownership interest is also pledged as collateral against two</w:t>
            </w:r>
            <w:r>
              <w:rPr>
                <w:caps w:val="false"/>
                <w:smallCaps w:val="false"/>
              </w:rPr>
              <w:t xml:space="preserve"> </w:t>
            </w:r>
            <w:r>
              <w:rPr>
                <w:rFonts w:ascii="Times New Roman;Times;serif" w:hAnsi="Times New Roman;Times;serif"/>
                <w:b w:val="false"/>
                <w:i w:val="false"/>
                <w:caps w:val="false"/>
                <w:smallCaps w:val="false"/>
                <w:sz w:val="20"/>
              </w:rPr>
              <w:t>future obligations to Rock County Wind Fuel, LLC (“RCWF”), a Zero6 subsidiary. See Note 19, Commitments and Contingencies, for additional information.</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0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Deposits provided to a developer of certain wind-farm projects and power utility contractor to induce to design and construct the power generation, transmission and distribution facilities that will serve ATJ-60, $5.5</w:t>
            </w:r>
            <w:r>
              <w:rPr>
                <w:caps w:val="false"/>
                <w:smallCaps w:val="false"/>
              </w:rPr>
              <w:t xml:space="preserve"> </w:t>
            </w:r>
            <w:r>
              <w:rPr>
                <w:rFonts w:ascii="Times New Roman;Times;serif" w:hAnsi="Times New Roman;Times;serif"/>
                <w:b w:val="false"/>
                <w:i w:val="false"/>
                <w:caps w:val="false"/>
                <w:smallCaps w:val="false"/>
                <w:sz w:val="20"/>
              </w:rPr>
              <w:t>million of which will be either reimbursed or used as an investment into the wind generation facility and the remaining $46.7</w:t>
            </w:r>
            <w:r>
              <w:rPr>
                <w:caps w:val="false"/>
                <w:smallCaps w:val="false"/>
              </w:rPr>
              <w:t xml:space="preserve"> </w:t>
            </w:r>
            <w:r>
              <w:rPr>
                <w:rFonts w:ascii="Times New Roman;Times;serif" w:hAnsi="Times New Roman;Times;serif"/>
                <w:b w:val="false"/>
                <w:i w:val="false"/>
                <w:caps w:val="false"/>
                <w:smallCaps w:val="false"/>
                <w:sz w:val="20"/>
              </w:rPr>
              <w:t>million is expected to be fully reimbursed upon completion of the project. Gevo has contractual priority liens against the equipment and constructed facilities under the contracts.</w:t>
            </w:r>
          </w:p>
        </w:tc>
      </w:tr>
    </w:tbl>
    <w:tbl>
      <w:tblPr>
        <w:tblW w:w="10205" w:type="dxa"/>
        <w:jc w:val="left"/>
        <w:tblInd w:w="0" w:type="dxa"/>
        <w:tblLayout w:type="fixed"/>
        <w:tblCellMar>
          <w:top w:w="0" w:type="dxa"/>
          <w:left w:w="0" w:type="dxa"/>
          <w:bottom w:w="0" w:type="dxa"/>
          <w:right w:w="0" w:type="dxa"/>
        </w:tblCellMar>
      </w:tblPr>
      <w:tblGrid>
        <w:gridCol w:w="332"/>
        <w:gridCol w:w="9873"/>
      </w:tblGrid>
      <w:tr>
        <w:trPr/>
        <w:tc>
          <w:tcPr>
            <w:tcW w:w="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Earnest money deposited in connection with the Red Trail Energy purchase agreement. See Note 2, Business Combinations, for additional information.</w:t>
            </w:r>
          </w:p>
        </w:tc>
      </w:tr>
    </w:tbl>
    <w:tbl>
      <w:tblPr>
        <w:tblW w:w="10205" w:type="dxa"/>
        <w:jc w:val="left"/>
        <w:tblInd w:w="0" w:type="dxa"/>
        <w:tblLayout w:type="fixed"/>
        <w:tblCellMar>
          <w:top w:w="0" w:type="dxa"/>
          <w:left w:w="0" w:type="dxa"/>
          <w:bottom w:w="0" w:type="dxa"/>
          <w:right w:w="0" w:type="dxa"/>
        </w:tblCellMar>
      </w:tblPr>
      <w:tblGrid>
        <w:gridCol w:w="342"/>
        <w:gridCol w:w="9863"/>
      </w:tblGrid>
      <w:tr>
        <w:trPr/>
        <w:tc>
          <w:tcPr>
            <w:tcW w:w="3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Expenditures related to the installation of infrastructure and equipment necessary to support the feedstock processing facilities.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ind w:left="0" w:right="0" w:hanging="0"/>
        <w:jc w:val="left"/>
        <w:rPr>
          <w:sz w:val="4"/>
          <w:szCs w:val="4"/>
        </w:rPr>
      </w:pPr>
      <w:r>
        <w:rPr>
          <w:sz w:val="4"/>
          <w:szCs w:val="4"/>
        </w:rPr>
      </w:r>
      <w:bookmarkStart w:id="1228" w:name="Tc_NuiRMt3VykacS4MVTXrqTA_7_5"/>
      <w:bookmarkStart w:id="1229" w:name="Tc_NQ-CL1BQzUCSNHG1KIIm-A_7_2"/>
      <w:bookmarkStart w:id="1230" w:name="Tc_DCl56FQpcESgU-yvpbl5FA_7_0"/>
      <w:bookmarkStart w:id="1231" w:name="Tc_N44ZWJKGlUCaWjTlr0_uxA_6_0"/>
      <w:bookmarkStart w:id="1232" w:name="Tc_I4ByQdjN1EGCBuPeF-MmaQ_5_0"/>
      <w:bookmarkStart w:id="1233" w:name="Tc_-uR93XJ24kOO6f1QpM5S2g_4_0"/>
      <w:bookmarkStart w:id="1234" w:name="Tc_u9L_Tj9_9Ee9V3pH9H38bg_3_5"/>
      <w:bookmarkStart w:id="1235" w:name="Tc_E9nyyqe2Tke-zfLnp4aJVg_3_2"/>
      <w:bookmarkStart w:id="1236" w:name="Tc_Ik3wqXbzGUu0FfVSYzqV3g_3_0"/>
      <w:bookmarkStart w:id="1237" w:name="Tc_-4rRMXHNWEi28CbiUBlS8g_2_5"/>
      <w:bookmarkStart w:id="1238" w:name="Tc_JnRvLYvtZUW93SQPU9nXMw_2_2"/>
      <w:bookmarkStart w:id="1239" w:name="_e47aa786_3f8e_4bbf_85a7_01a6b4c392a5"/>
      <w:bookmarkStart w:id="1240" w:name="Tc_NuiRMt3VykacS4MVTXrqTA_7_5"/>
      <w:bookmarkStart w:id="1241" w:name="Tc_NQ-CL1BQzUCSNHG1KIIm-A_7_2"/>
      <w:bookmarkStart w:id="1242" w:name="Tc_DCl56FQpcESgU-yvpbl5FA_7_0"/>
      <w:bookmarkStart w:id="1243" w:name="Tc_N44ZWJKGlUCaWjTlr0_uxA_6_0"/>
      <w:bookmarkStart w:id="1244" w:name="Tc_I4ByQdjN1EGCBuPeF-MmaQ_5_0"/>
      <w:bookmarkStart w:id="1245" w:name="Tc_-uR93XJ24kOO6f1QpM5S2g_4_0"/>
      <w:bookmarkStart w:id="1246" w:name="Tc_u9L_Tj9_9Ee9V3pH9H38bg_3_5"/>
      <w:bookmarkStart w:id="1247" w:name="Tc_E9nyyqe2Tke-zfLnp4aJVg_3_2"/>
      <w:bookmarkStart w:id="1248" w:name="Tc_Ik3wqXbzGUu0FfVSYzqV3g_3_0"/>
      <w:bookmarkStart w:id="1249" w:name="Tc_-4rRMXHNWEi28CbiUBlS8g_2_5"/>
      <w:bookmarkStart w:id="1250" w:name="Tc_JnRvLYvtZUW93SQPU9nXMw_2_2"/>
      <w:bookmarkStart w:id="1251" w:name="_e47aa786_3f8e_4bbf_85a7_01a6b4c392a5"/>
      <w:bookmarkEnd w:id="1240"/>
      <w:bookmarkEnd w:id="1241"/>
      <w:bookmarkEnd w:id="1242"/>
      <w:bookmarkEnd w:id="1243"/>
      <w:bookmarkEnd w:id="1244"/>
      <w:bookmarkEnd w:id="1245"/>
      <w:bookmarkEnd w:id="1246"/>
      <w:bookmarkEnd w:id="1247"/>
      <w:bookmarkEnd w:id="1248"/>
      <w:bookmarkEnd w:id="1249"/>
      <w:bookmarkEnd w:id="1250"/>
      <w:bookmarkEnd w:id="1251"/>
    </w:p>
    <w:tbl>
      <w:tblPr>
        <w:tblW w:w="4052" w:type="dxa"/>
        <w:jc w:val="left"/>
        <w:tblInd w:w="0" w:type="dxa"/>
        <w:tblLayout w:type="fixed"/>
        <w:tblCellMar>
          <w:top w:w="0" w:type="dxa"/>
          <w:left w:w="0" w:type="dxa"/>
          <w:bottom w:w="0" w:type="dxa"/>
          <w:right w:w="0" w:type="dxa"/>
        </w:tblCellMar>
      </w:tblPr>
      <w:tblGrid>
        <w:gridCol w:w="376"/>
        <w:gridCol w:w="367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14.</w:t>
            </w:r>
          </w:p>
        </w:tc>
        <w:tc>
          <w:tcPr>
            <w:tcW w:w="36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Accounts Payable and Accrued Liabilities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components of the Company’s accounts payable and accrued liabilities (in thousands) as of:</w:t>
      </w:r>
    </w:p>
    <w:tbl>
      <w:tblPr>
        <w:tblW w:w="7180" w:type="dxa"/>
        <w:jc w:val="left"/>
        <w:tblInd w:w="0" w:type="dxa"/>
        <w:tblLayout w:type="fixed"/>
        <w:tblCellMar>
          <w:top w:w="0" w:type="dxa"/>
          <w:left w:w="0" w:type="dxa"/>
          <w:bottom w:w="0" w:type="dxa"/>
          <w:right w:w="0" w:type="dxa"/>
        </w:tblCellMar>
      </w:tblPr>
      <w:tblGrid>
        <w:gridCol w:w="3856"/>
        <w:gridCol w:w="326"/>
        <w:gridCol w:w="267"/>
        <w:gridCol w:w="859"/>
        <w:gridCol w:w="326"/>
        <w:gridCol w:w="328"/>
        <w:gridCol w:w="1218"/>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448560" cy="175260"/>
                      <wp:effectExtent l="0" t="0" r="0" b="0"/>
                      <wp:wrapNone/>
                      <wp:docPr id="283" name="Frame283"/>
                      <a:graphic xmlns:a="http://schemas.openxmlformats.org/drawingml/2006/main">
                        <a:graphicData uri="http://schemas.microsoft.com/office/word/2010/wordprocessingShape">
                          <wps:wsp>
                            <wps:cNvSpPr txBox="1"/>
                            <wps:spPr>
                              <a:xfrm>
                                <a:off x="0" y="0"/>
                                <a:ext cx="2448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07010" cy="175260"/>
                      <wp:effectExtent l="0" t="0" r="0" b="0"/>
                      <wp:wrapNone/>
                      <wp:docPr id="284" name="Frame2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69545" cy="175260"/>
                      <wp:effectExtent l="0" t="0" r="0" b="0"/>
                      <wp:wrapNone/>
                      <wp:docPr id="285" name="Frame285"/>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545465" cy="175260"/>
                      <wp:effectExtent l="0" t="0" r="0" b="0"/>
                      <wp:wrapNone/>
                      <wp:docPr id="286" name="Frame286"/>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07010" cy="175260"/>
                      <wp:effectExtent l="0" t="0" r="0" b="0"/>
                      <wp:wrapNone/>
                      <wp:docPr id="287" name="Frame2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8280" cy="175260"/>
                      <wp:effectExtent l="0" t="0" r="0" b="0"/>
                      <wp:wrapNone/>
                      <wp:docPr id="288" name="Frame288"/>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773430" cy="175260"/>
                      <wp:effectExtent l="0" t="0" r="0" b="0"/>
                      <wp:wrapNone/>
                      <wp:docPr id="289" name="Frame289"/>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67"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left"/>
              <w:rPr/>
            </w:pPr>
            <w:r>
              <w:rPr/>
              <w:t>​</w:t>
            </w:r>
          </w:p>
        </w:tc>
      </w:tr>
      <w:tr>
        <w:trPr/>
        <w:tc>
          <w:tcPr>
            <w:tcW w:w="38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7,574</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22,675</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9,873</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construction in progress</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6,317</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2,595</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payroll and related benefits</w:t>
            </w:r>
          </w:p>
        </w:tc>
        <w:tc>
          <w:tcPr>
            <w:tcW w:w="32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6,884</w:t>
            </w:r>
          </w:p>
        </w:tc>
        <w:tc>
          <w:tcPr>
            <w:tcW w:w="326" w:type="dxa"/>
            <w:tcBorders/>
            <w:vAlign w:val="center"/>
          </w:tcPr>
          <w:p>
            <w:pPr>
              <w:pStyle w:val="TableContents"/>
              <w:bidi w:val="0"/>
              <w:spacing w:before="0" w:after="1"/>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8,999</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accounts payable and accrued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43,450</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22,006</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bookmarkStart w:id="1252" w:name="Tc_cxKQuilHnkyHkF10roOeoQ_6_2"/>
      <w:bookmarkStart w:id="1253" w:name="Tc_KEBzaKv8cEyDbZPnKHpAGQ_6_0"/>
      <w:bookmarkStart w:id="1254" w:name="Tc_8X1yzAHDKEuObx07-Njeqg_5_0"/>
      <w:bookmarkStart w:id="1255" w:name="Tc_clFZ6o-ANkqb9jszA7AAaA_4_0"/>
      <w:bookmarkStart w:id="1256" w:name="Tc_ZOTXhn5N7kWUlVf5_lpIFg_3_0"/>
      <w:bookmarkStart w:id="1257" w:name="Tc_-YfXO5BEkUO7VAt4ykAT6g_2_3"/>
      <w:bookmarkStart w:id="1258" w:name="Tc_dBvuWVP5kEOjQCGcoqpVNg_2_2"/>
      <w:bookmarkStart w:id="1259" w:name="Tc_FF-iaJgWz0OAbatvjEoPlQ_2_0"/>
      <w:bookmarkStart w:id="1260" w:name="Tc_t8jlONyS70qGsEpWjbsYwQ_1_2"/>
      <w:bookmarkStart w:id="1261" w:name="_6bea270a_3345_43c5_83b7_5febaffcae38"/>
      <w:bookmarkEnd w:id="1252"/>
      <w:bookmarkEnd w:id="1253"/>
      <w:bookmarkEnd w:id="1254"/>
      <w:bookmarkEnd w:id="1255"/>
      <w:bookmarkEnd w:id="1256"/>
      <w:bookmarkEnd w:id="1257"/>
      <w:bookmarkEnd w:id="1258"/>
      <w:bookmarkEnd w:id="1259"/>
      <w:bookmarkEnd w:id="1260"/>
      <w:bookmarkEnd w:id="1261"/>
      <w:r>
        <w:rPr/>
        <w:t>​</w:t>
      </w:r>
    </w:p>
    <w:tbl>
      <w:tblPr>
        <w:tblW w:w="2912" w:type="dxa"/>
        <w:jc w:val="left"/>
        <w:tblInd w:w="0" w:type="dxa"/>
        <w:tblLayout w:type="fixed"/>
        <w:tblCellMar>
          <w:top w:w="0" w:type="dxa"/>
          <w:left w:w="0" w:type="dxa"/>
          <w:bottom w:w="0" w:type="dxa"/>
          <w:right w:w="0" w:type="dxa"/>
        </w:tblCellMar>
      </w:tblPr>
      <w:tblGrid>
        <w:gridCol w:w="376"/>
        <w:gridCol w:w="253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15.</w:t>
            </w:r>
          </w:p>
        </w:tc>
        <w:tc>
          <w:tcPr>
            <w:tcW w:w="25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Asset Retirement Obligation</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six months ended June 30, 2025, the Company recognized a liability for the estimated costs associated with the retirement of certain assets that are subject to legal or contractual obligations. These assets primarily relate to the decommissioning of RNG production facilities, landfill gas recovery systems, and associated infrastructure at our RNG plant. Additionally, the Company recognized an ARO related to the closure plan for our Class VI injection and monitoring wells at the GevoND operation.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estimates the fair value of the ARO based on current regulatory requirements and historical cost data, considering appropriate inflation and discount rates for the estimated timeline of asset removal. The fair value of the estimated ARO is recorded as a long-term liability, with a corresponding increase in the carrying amount of the related asset.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summarizes the Company’s asset retirement obligation (in thousands) as of:</w:t>
      </w:r>
    </w:p>
    <w:tbl>
      <w:tblPr>
        <w:tblW w:w="5316" w:type="dxa"/>
        <w:jc w:val="left"/>
        <w:tblInd w:w="0" w:type="dxa"/>
        <w:tblLayout w:type="fixed"/>
        <w:tblCellMar>
          <w:top w:w="0" w:type="dxa"/>
          <w:left w:w="0" w:type="dxa"/>
          <w:bottom w:w="0" w:type="dxa"/>
          <w:right w:w="0" w:type="dxa"/>
        </w:tblCellMar>
      </w:tblPr>
      <w:tblGrid>
        <w:gridCol w:w="4036"/>
        <w:gridCol w:w="109"/>
        <w:gridCol w:w="278"/>
        <w:gridCol w:w="893"/>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562860" cy="175260"/>
                      <wp:effectExtent l="0" t="0" r="0" b="0"/>
                      <wp:wrapNone/>
                      <wp:docPr id="290" name="Frame290"/>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9215" cy="175260"/>
                      <wp:effectExtent l="0" t="0" r="0" b="0"/>
                      <wp:wrapNone/>
                      <wp:docPr id="291" name="Frame2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76530" cy="175260"/>
                      <wp:effectExtent l="0" t="0" r="0" b="0"/>
                      <wp:wrapNone/>
                      <wp:docPr id="292" name="Frame292"/>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567055" cy="175260"/>
                      <wp:effectExtent l="0" t="0" r="0" b="0"/>
                      <wp:wrapNone/>
                      <wp:docPr id="293" name="Frame293"/>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1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 retirement obligation, beginning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1"/>
              <w:ind w:left="0" w:right="0" w:hanging="0"/>
              <w:jc w:val="right"/>
              <w:rPr/>
            </w:pPr>
            <w:r>
              <w:rPr/>
              <w:t>—</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 assumed upon acquisition</w:t>
            </w:r>
          </w:p>
        </w:tc>
        <w:tc>
          <w:tcPr>
            <w:tcW w:w="109"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1,018</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 incurred</w:t>
            </w:r>
          </w:p>
        </w:tc>
        <w:tc>
          <w:tcPr>
            <w:tcW w:w="109"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1,093</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Accretion expense</w:t>
            </w:r>
          </w:p>
        </w:tc>
        <w:tc>
          <w:tcPr>
            <w:tcW w:w="109" w:type="dxa"/>
            <w:tcBorders/>
            <w:vAlign w:val="center"/>
          </w:tcPr>
          <w:p>
            <w:pPr>
              <w:pStyle w:val="TableContents"/>
              <w:bidi w:val="0"/>
              <w:spacing w:before="0" w:after="1"/>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 retirement obligation, end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2,177</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Any changes in the assumptions used to calculate the fair value of the asset retirement obligation are recorded as an offset to the related asset. Surety bonds have been established to cover the cost of a portion of the facility closure plan.</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tbl>
      <w:tblPr>
        <w:tblW w:w="917" w:type="dxa"/>
        <w:jc w:val="left"/>
        <w:tblInd w:w="0" w:type="dxa"/>
        <w:tblLayout w:type="fixed"/>
        <w:tblCellMar>
          <w:top w:w="0" w:type="dxa"/>
          <w:left w:w="0" w:type="dxa"/>
          <w:bottom w:w="0" w:type="dxa"/>
          <w:right w:w="0" w:type="dxa"/>
        </w:tblCellMar>
      </w:tblPr>
      <w:tblGrid>
        <w:gridCol w:w="376"/>
        <w:gridCol w:w="54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16.</w:t>
            </w:r>
          </w:p>
        </w:tc>
        <w:tc>
          <w:tcPr>
            <w:tcW w:w="5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Debt</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2021 Bond Issuance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April 15, 2021, on behalf of Gevo NW Iowa RNG, LLC, the Iowa Finance Authority (the “Issuer”) issued $68,155,000 of its non-recourse Solid Waste Facility Revenue Bonds (Gevo NW Iowa RNG, LLC Renewable Natural Gas Project), Series 2021 (Green Bonds) (the “2021 Bonds”) for NW Iowa RNG. The bond proceeds were used as a source of construction financing alongside equity from the Company. The 2021 Bonds were issued under a Trust Indenture dated April 1, 2021 (the “Indenture”) between the Issuer and Citibank, N.A. as trustee (the “Trustee”). The 2021 Bonds had a maturity date of January 1, 2042. The bonds bore interest at 1.5% per annum during the Initial Term Rate Period (as defined in the Indenture), payable semi-annually on January 1 and July 1 of each year. The effective interest rate was 1.1%. The 2021 Bonds were supported by the $71.2 million Bond Letter of Credit; see Note 6, Restricted Cash. The Trustee could draw sufficient amounts on the Bond Letter of Credit to pay the principal and interest until the first mandatory tender date of April 1, 2024. The 2021 Bonds were callable and re-marketable on or after October 1,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2021 Bonds were issued at a premium of $0.8 million and debt issuance costs were $3.0 million. As of the Conversion Date (defined below) all premiums and debt issuance costs were fully amortized.</w:t>
      </w:r>
    </w:p>
    <w:p>
      <w:pPr>
        <w:pStyle w:val="TextBody"/>
        <w:bidi w:val="0"/>
        <w:spacing w:before="200" w:after="200"/>
        <w:ind w:left="0" w:right="0" w:hanging="0"/>
        <w:jc w:val="left"/>
        <w:rPr>
          <w:rFonts w:ascii="Times New Roman;Times;serif" w:hAnsi="Times New Roman;Times;serif"/>
          <w:sz w:val="20"/>
        </w:rPr>
      </w:pPr>
      <w:r>
        <w:rPr>
          <w:rFonts w:ascii="Times New Roman;Times;serif" w:hAnsi="Times New Roman;Times;serif"/>
          <w:sz w:val="20"/>
        </w:rPr>
        <w:t>2024 Bond Remarketing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April 1, 2024 (the “Conversion Date”), the 2021 Bonds became subject to mandatory tender for purchase and have been remarketed to bear interest in a new term rate period (the “Remarketed Bonds”). In connection with the conversion and remarketing of the 2021 Bonds on the Conversion Date, the original Indenture was amended by a First Supplemental Indenture dated April 1, 2024 (together with the original Indenture the “First Supplemental Indenture,”) between the Issuer and the Trustee. The original bond financing agreement was amended by a First Supplemental Bond Financing Agreement dated April 1, 2024 (together with the original bond financing Agreement, the “First Supplemental Bond Financing Agreement”) between the Issuer and the Company. The Remarketed Bonds were accounted for as a debt extinguishment, with no gain or loss recognized from extinguishment.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Remarketed Bonds retained the same principal and maturity date of January 1, 2042. The Remarketed Bonds now bear interest of 3.875% per annum during the Initial Term Rate Period (as defined in the Indenture), payable semi-annually. The effective interest rate is 1.2%. The Company incurred $1.7 million of debt issuance costs associated with the remarketing. As of June 30, 2025, debt issuance costs net of amortization were $5.7 million.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Remarketed Bonds are supported by a $69.6 million New Bond Letter of Credit; see Note 6, Restricted Cash, issued to the incumbent Trustee that can draw sufficient amounts on the New Bond Letter of Credit to pay the principal and interest, in case of default, until the first mandatory tender date of April 1, 2026. The current portion of the Remarketed Bonds as of June 30, 2025, was $27.9 million. The Remarketed Bonds are subject to redemption and re-marketable on or after November 1, 2024. If the Remarketed Bonds have not been called and re-marketed by the first mandatory tender date, the Trustee may draw on the New Bond Letter of Credit to repay the bonds in their entirety at the purchase price. As of June 30, 2025, no amounts have been drawn under the New Bond Letter of Credit.</w:t>
      </w:r>
    </w:p>
    <w:p>
      <w:pPr>
        <w:pStyle w:val="TextBody"/>
        <w:bidi w:val="0"/>
        <w:spacing w:before="200" w:after="200"/>
        <w:ind w:left="0" w:right="0" w:hanging="0"/>
        <w:jc w:val="left"/>
        <w:rPr>
          <w:rFonts w:ascii="Times New Roman;Times;serif" w:hAnsi="Times New Roman;Times;serif"/>
          <w:sz w:val="20"/>
        </w:rPr>
      </w:pPr>
      <w:r>
        <w:rPr>
          <w:rFonts w:ascii="Times New Roman;Times;serif" w:hAnsi="Times New Roman;Times;serif"/>
          <w:sz w:val="20"/>
        </w:rPr>
        <w:t>Credit Agreement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January 31, 2025, the Company, through its subsidiaries Net-Zero North HoldCo, LLC, Richardton-CCS, Net-Zero-Richardton, and other affiliates (the “Borrower”), entered into a Credit Agreement (the “Agreement”) with OIC Investment Agent, LLC as the administrative agent and collateral agent for the secured parties (“Lenders”), in connection with the Red Trail Energy acquisition transaction. The Agreement provides for a $105 million senior secured term loan (the “Term Loan”) that was funded on the Closing Date with a maturity of January 31, 2030. The proceeds of the Term Loan were used to partially fund the transaction and the payment of fees under the Agreement. The Agreement also provides for additional uncommitted term loans in an aggregate amount to be mutually agreed upon by the Borrower, the Guarantors and the Lenders for use for certain future growth opportunities after the Closing Date. Interest on the Term Loan will accrue at a rate of (i) 10.00% per annum if the net leverage ratio as of the last day of the quarter for the measurement period (the “Measurement Period”) consisting of the prior four consecutive fiscal quarters of the Borrower (“Leverage Ratio”) is less than 1.5x, (ii) 10.75% per annum if the Leverage Ratio is equal to or greater than 1.5x, but less than 3.0x, and (iii) 11.50% per annum if the Leverage Ratio is equal to or greater than 3.0x and shall initially be set at 11.50% per annum until the next quarterly adjustment date. The Leverage Ratio is defined as the ratio of the combined indebtedness of the Borrower and the Guarantors (other than any indebtedness pursuant to any permitted working capital facility) less any cash equivalent investments in any collateral accounts to the consolidated EBITDA of the Borrower and Guarantors for the relevant Measurement Period. Interest will be due and payable in cash at the end of each quarter.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connection with the Term Loan, and subject to the other terms under the Agreement, Lenders made an equity investment in Gevo Intermediate HoldCo, LLC (“Holdings”) equal to $5 million on the Closing Date. The organizational documents of Holdings also provide Lenders with the right to appoint two non-voting observers to the board of managers of Holdings.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Term Loan is secured by a first-lien security interest subject only to reasonable and customary permitted liens and encumbrances, in all the Borrower’s and each Guarantor’s tangible and intangible assets, properties controlled by Borrower and Guarantors, and contracts, including deposit accounts and collateral assignment of material contracts and certain real estate assets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sz w:val="20"/>
        </w:rPr>
      </w:pPr>
      <w:bookmarkStart w:id="1262" w:name="Tc_RNtHc2yLCEu1eWvuQmp4Nw_8_2"/>
      <w:bookmarkStart w:id="1263" w:name="Tc_zTP1E_pm4ky5fZ7RwEaUyQ_8_0"/>
      <w:bookmarkStart w:id="1264" w:name="Tc_1lTNg_BRSkCKqhZDL4bTSg_7_0"/>
      <w:bookmarkStart w:id="1265" w:name="Tc_8N-pd70T20yIoE58T1Cirg_6_3"/>
      <w:bookmarkStart w:id="1266" w:name="Tc_hMo9PUI4Hk6Dw3C8Ozgh_w_6_0"/>
      <w:bookmarkStart w:id="1267" w:name="Tc_yanlE7M1V0KWdqaal-fxKw_5_3"/>
      <w:bookmarkStart w:id="1268" w:name="Tc_hHLla2bja06JqCtwCNrEug_5_0"/>
      <w:bookmarkStart w:id="1269" w:name="Tc_WU5tvJo700Ws2HAl7FfZVA_4_3"/>
      <w:bookmarkStart w:id="1270" w:name="Tc_0B_rGdk89kC6CK6TWmxvog_4_0"/>
      <w:bookmarkStart w:id="1271" w:name="Tc_F7rBk3rOHUOzGWEIg-4VmA_3_0"/>
      <w:bookmarkStart w:id="1272" w:name="Tc_ptNccDIhG0ew_hpm46hv7w_2_3"/>
      <w:bookmarkStart w:id="1273" w:name="Tc_-xKr2ahgVEeA_rKgCqlNMQ_2_2"/>
      <w:bookmarkStart w:id="1274" w:name="Tc_YGuGdhK8P0OPS0QPeyktoQ_2_0"/>
      <w:bookmarkStart w:id="1275" w:name="Tc_0YahElBvoU2ia5_KPQ1_7g_1_2"/>
      <w:bookmarkStart w:id="1276" w:name="Tc_-1xrEEU2ikCRHRIAMlMzUg_1_0"/>
      <w:bookmarkStart w:id="1277" w:name="_564897e9_b547_43c8_8642_b94699b0d0d1"/>
      <w:bookmarkStart w:id="1278" w:name="Tc_NbHCiVkdmUuDkHquJRygzw_10_9"/>
      <w:bookmarkStart w:id="1279" w:name="Tc_k5N8s9Q9CEWcHlmTwakHZg_10_6"/>
      <w:bookmarkStart w:id="1280" w:name="Tc_NlEfTIsOR0qTMzaAeGURfQ_10_0"/>
      <w:bookmarkStart w:id="1281" w:name="Tc_WfZvf0tcLUiKkRLsfrPluw_9_0"/>
      <w:bookmarkStart w:id="1282" w:name="Tc_PqqxXRfc0UC0GX6GGrbhEQ_8_9"/>
      <w:bookmarkStart w:id="1283" w:name="Tc_8Iaypk5B3E6euri4mE8s6Q_8_6"/>
      <w:bookmarkStart w:id="1284" w:name="Tc_90q_BUdqQk-BZhABVgUgXQ_8_0"/>
      <w:bookmarkStart w:id="1285" w:name="Tc_cHPNc0EzpE2TOfcPafjbIQ_7_0"/>
      <w:bookmarkStart w:id="1286" w:name="Tc_0BZZjn8jSkaTtOJ6AZGq9w_6_0"/>
      <w:bookmarkStart w:id="1287" w:name="Tc_A4--pfhq60aQTm_JoGCrGA_5_7"/>
      <w:bookmarkStart w:id="1288" w:name="Tc_y25VdlIDW0yKDPj86kgXXg_5_4"/>
      <w:bookmarkStart w:id="1289" w:name="Tc_DGQMR5teYEamUjS73ed20Q_5_0"/>
      <w:bookmarkStart w:id="1290" w:name="Tc_6Jd0F5m5YkmzwTFJ2cgzbA_4_4"/>
      <w:bookmarkStart w:id="1291" w:name="Tc_4u1SU2wwE0qVGVCI7QyDwQ_4_0"/>
      <w:bookmarkStart w:id="1292" w:name="Tc_fouT8iPmcEKhrT5nc7lwqQ_3_10"/>
      <w:bookmarkStart w:id="1293" w:name="Tc_2i6T8d_ZOk-mgsdnVHklTA_3_9"/>
      <w:bookmarkStart w:id="1294" w:name="Tc_S4VHzcQKH0CiZPRhob498Q_3_6"/>
      <w:bookmarkStart w:id="1295" w:name="Tc_x6XcgMYTjU2V-X2lNvH7-w_3_4"/>
      <w:bookmarkStart w:id="1296" w:name="Tc_bfG_rRqGsE-F-Y7U3fEbBA_3_0"/>
      <w:bookmarkStart w:id="1297" w:name="Tc_JtvXkmn2gECeyAQL6OEKng_2_9"/>
      <w:bookmarkStart w:id="1298" w:name="Tc_iBASGK3Wk0O57LAs9MZSjQ_2_6"/>
      <w:bookmarkStart w:id="1299" w:name="Tc_KKZ93JctwUm6g4uqXkx9EQ_2_4"/>
      <w:bookmarkStart w:id="1300" w:name="Tc_Q0lHJr_iwUy8SN9CdCH2FQ_2_2"/>
      <w:bookmarkStart w:id="1301" w:name="_91deaaf2_7188_45d5_af8e_f08703d61fab"/>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r>
        <w:rPr>
          <w:rFonts w:ascii="Times New Roman;Times;serif" w:hAnsi="Times New Roman;Times;serif"/>
          <w:sz w:val="20"/>
        </w:rPr>
        <w:t>be determined, and includes a pledge of all equity interests in the Borrower and its subsidiaries. The Agreement also contains customary affirmative and negative covenants, events of default, mandatory prepayments (including an excess cash flow sweep), conditions precedent, representations, and warranties.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Loans Payable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April 2020, the Company entered into loan agreements with Live Oak Banking Company, pursuant to which the Company obtained loans from the Small Business Administration’s Paycheck Protection Program (“SBA PPP”) totaling $1.0 million (the “SBA Loans”).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April 2021, the balance of $0.6 million of loans and accrued interest obtained through the SBA PPP were forgiven. The remaining SBA Loan totals $0.2 million, bears interest at 1.0% per annum and matures in April 2025. Monthly payments of $8,230, including interest, began on June 5, 2021, and are payable through April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summary of the Company’s long-term debt is as follows (in thousands) as of:</w:t>
      </w:r>
    </w:p>
    <w:tbl>
      <w:tblPr>
        <w:tblW w:w="8359" w:type="dxa"/>
        <w:jc w:val="left"/>
        <w:tblInd w:w="0" w:type="dxa"/>
        <w:tblLayout w:type="fixed"/>
        <w:tblCellMar>
          <w:top w:w="0" w:type="dxa"/>
          <w:left w:w="0" w:type="dxa"/>
          <w:bottom w:w="0" w:type="dxa"/>
          <w:right w:w="0" w:type="dxa"/>
        </w:tblCellMar>
      </w:tblPr>
      <w:tblGrid>
        <w:gridCol w:w="2131"/>
        <w:gridCol w:w="326"/>
        <w:gridCol w:w="1051"/>
        <w:gridCol w:w="326"/>
        <w:gridCol w:w="1201"/>
        <w:gridCol w:w="326"/>
        <w:gridCol w:w="239"/>
        <w:gridCol w:w="887"/>
        <w:gridCol w:w="326"/>
        <w:gridCol w:w="328"/>
        <w:gridCol w:w="1218"/>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353185" cy="175260"/>
                      <wp:effectExtent l="0" t="0" r="0" b="0"/>
                      <wp:wrapNone/>
                      <wp:docPr id="294" name="Frame294"/>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07010" cy="175260"/>
                      <wp:effectExtent l="0" t="0" r="0" b="0"/>
                      <wp:wrapNone/>
                      <wp:docPr id="295" name="Frame2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67385" cy="175260"/>
                      <wp:effectExtent l="0" t="0" r="0" b="0"/>
                      <wp:wrapNone/>
                      <wp:docPr id="296" name="Frame296"/>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07010" cy="175260"/>
                      <wp:effectExtent l="0" t="0" r="0" b="0"/>
                      <wp:wrapNone/>
                      <wp:docPr id="297" name="Frame2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762635" cy="175260"/>
                      <wp:effectExtent l="0" t="0" r="0" b="0"/>
                      <wp:wrapNone/>
                      <wp:docPr id="298" name="Frame298"/>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07010" cy="175260"/>
                      <wp:effectExtent l="0" t="0" r="0" b="0"/>
                      <wp:wrapNone/>
                      <wp:docPr id="299" name="Frame2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51765" cy="175260"/>
                      <wp:effectExtent l="0" t="0" r="0" b="0"/>
                      <wp:wrapNone/>
                      <wp:docPr id="300" name="Frame300"/>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563245" cy="175260"/>
                      <wp:effectExtent l="0" t="0" r="0" b="0"/>
                      <wp:wrapNone/>
                      <wp:docPr id="301" name="Frame301"/>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07010" cy="175260"/>
                      <wp:effectExtent l="0" t="0" r="0" b="0"/>
                      <wp:wrapNone/>
                      <wp:docPr id="302" name="Frame3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08280" cy="175260"/>
                      <wp:effectExtent l="0" t="0" r="0" b="0"/>
                      <wp:wrapNone/>
                      <wp:docPr id="303" name="Frame303"/>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773430" cy="175260"/>
                      <wp:effectExtent l="0" t="0" r="0" b="0"/>
                      <wp:wrapNone/>
                      <wp:docPr id="304" name="Frame304"/>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20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w:t>
            </w:r>
          </w:p>
        </w:tc>
        <w:tc>
          <w:tcPr>
            <w:tcW w:w="239"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 Rate</w:t>
            </w:r>
          </w:p>
        </w:tc>
        <w:tc>
          <w:tcPr>
            <w:tcW w:w="326" w:type="dxa"/>
            <w:tcBorders/>
            <w:vAlign w:val="center"/>
          </w:tcPr>
          <w:p>
            <w:pPr>
              <w:pStyle w:val="TableContents"/>
              <w:bidi w:val="0"/>
              <w:spacing w:before="0" w:after="1"/>
              <w:ind w:left="0" w:right="0" w:hanging="0"/>
              <w:jc w:val="center"/>
              <w:rPr/>
            </w:pPr>
            <w:r>
              <w:rPr/>
              <w:t>​</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Maturity Date</w:t>
            </w:r>
          </w:p>
        </w:tc>
        <w:tc>
          <w:tcPr>
            <w:tcW w:w="326" w:type="dxa"/>
            <w:tcBorders/>
            <w:vAlign w:val="center"/>
          </w:tcPr>
          <w:p>
            <w:pPr>
              <w:pStyle w:val="TableContents"/>
              <w:bidi w:val="0"/>
              <w:spacing w:before="0" w:after="1"/>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Loan</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11.5%</w:t>
            </w:r>
          </w:p>
        </w:tc>
        <w:tc>
          <w:tcPr>
            <w:tcW w:w="326"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January 2030</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105,000</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1"/>
              <w:ind w:left="0" w:right="0" w:hanging="0"/>
              <w:jc w:val="right"/>
              <w:rPr/>
            </w:pPr>
            <w:r>
              <w:rPr/>
              <w:t>—</w:t>
            </w:r>
          </w:p>
        </w:tc>
      </w:tr>
      <w:tr>
        <w:trPr/>
        <w:tc>
          <w:tcPr>
            <w:tcW w:w="213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Remarketed Bonds </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April 2026</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68,155</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68,155</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SBA loans</w:t>
            </w:r>
          </w:p>
        </w:tc>
        <w:tc>
          <w:tcPr>
            <w:tcW w:w="32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1"/>
              <w:ind w:left="0" w:right="0" w:hanging="0"/>
              <w:jc w:val="left"/>
              <w:rPr/>
            </w:pPr>
            <w:r>
              <w:rPr/>
              <w:t> </w:t>
            </w:r>
          </w:p>
        </w:tc>
        <w:tc>
          <w:tcPr>
            <w:tcW w:w="120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April 2025</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173,155</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68,176</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debt issuance costs</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0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(5,663)</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(1,046)</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 net</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167,492</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67,130</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current portion</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(27,895)</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non-current debt</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139,597</w:t>
            </w:r>
          </w:p>
        </w:tc>
        <w:tc>
          <w:tcPr>
            <w:tcW w:w="326" w:type="dxa"/>
            <w:tcBorders/>
            <w:vAlign w:val="center"/>
          </w:tcPr>
          <w:p>
            <w:pPr>
              <w:pStyle w:val="TableContents"/>
              <w:bidi w:val="0"/>
              <w:spacing w:before="0" w:after="1"/>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67,109</w:t>
            </w:r>
          </w:p>
        </w:tc>
      </w:tr>
    </w:tbl>
    <w:tbl>
      <w:tblPr>
        <w:tblW w:w="10205" w:type="dxa"/>
        <w:jc w:val="left"/>
        <w:tblInd w:w="0" w:type="dxa"/>
        <w:tblLayout w:type="fixed"/>
        <w:tblCellMar>
          <w:top w:w="28" w:type="dxa"/>
          <w:left w:w="28" w:type="dxa"/>
          <w:bottom w:w="28" w:type="dxa"/>
          <w:right w:w="28" w:type="dxa"/>
        </w:tblCellMar>
      </w:tblPr>
      <w:tblGrid>
        <w:gridCol w:w="124"/>
        <w:gridCol w:w="281"/>
        <w:gridCol w:w="9800"/>
      </w:tblGrid>
      <w:tr>
        <w:trPr/>
        <w:tc>
          <w:tcPr>
            <w:tcW w:w="124" w:type="dxa"/>
            <w:tcBorders/>
            <w:vAlign w:val="center"/>
          </w:tcPr>
          <w:p>
            <w:pPr>
              <w:pStyle w:val="TableContents"/>
              <w:bidi w:val="0"/>
              <w:spacing w:before="0" w:after="283"/>
              <w:jc w:val="left"/>
              <w:rPr>
                <w:sz w:val="4"/>
                <w:szCs w:val="4"/>
              </w:rPr>
            </w:pPr>
            <w:r>
              <w:rPr>
                <w:sz w:val="4"/>
                <w:szCs w:val="4"/>
              </w:rPr>
            </w:r>
          </w:p>
        </w:tc>
        <w:tc>
          <w:tcPr>
            <w:tcW w:w="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0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On July 10, 2025, $40.0</w:t>
            </w:r>
            <w:r>
              <w:rPr>
                <w:caps w:val="false"/>
                <w:smallCaps w:val="false"/>
              </w:rPr>
              <w:t xml:space="preserve"> </w:t>
            </w:r>
            <w:r>
              <w:rPr>
                <w:rFonts w:ascii="Times New Roman;Times;serif" w:hAnsi="Times New Roman;Times;serif"/>
                <w:b w:val="false"/>
                <w:i w:val="false"/>
                <w:caps w:val="false"/>
                <w:smallCaps w:val="false"/>
                <w:sz w:val="20"/>
              </w:rPr>
              <w:t>million of the Remarketed Bonds were refinanced by Barclays Capital Inc. and replaced by new bonds (the “2025 Bonds”). As such, as of June 30, 2025, $40.0</w:t>
            </w:r>
            <w:r>
              <w:rPr>
                <w:caps w:val="false"/>
                <w:smallCaps w:val="false"/>
              </w:rPr>
              <w:t xml:space="preserve"> </w:t>
            </w:r>
            <w:r>
              <w:rPr>
                <w:rFonts w:ascii="Times New Roman;Times;serif" w:hAnsi="Times New Roman;Times;serif"/>
                <w:b w:val="false"/>
                <w:i w:val="false"/>
                <w:caps w:val="false"/>
                <w:smallCaps w:val="false"/>
                <w:sz w:val="20"/>
              </w:rPr>
              <w:t>million of the Remarketed Bonds have been classified as non-current. The 2025 Bonds require principal payments of $13.8</w:t>
            </w:r>
            <w:r>
              <w:rPr>
                <w:caps w:val="false"/>
                <w:smallCaps w:val="false"/>
              </w:rPr>
              <w:t xml:space="preserve"> </w:t>
            </w:r>
            <w:r>
              <w:rPr>
                <w:rFonts w:ascii="Times New Roman;Times;serif" w:hAnsi="Times New Roman;Times;serif"/>
                <w:b w:val="false"/>
                <w:i w:val="false"/>
                <w:caps w:val="false"/>
                <w:smallCaps w:val="false"/>
                <w:sz w:val="20"/>
              </w:rPr>
              <w:t>million on July 1, 2030 and $26.2</w:t>
            </w:r>
            <w:r>
              <w:rPr>
                <w:caps w:val="false"/>
                <w:smallCaps w:val="false"/>
              </w:rPr>
              <w:t xml:space="preserve"> </w:t>
            </w:r>
            <w:r>
              <w:rPr>
                <w:rFonts w:ascii="Times New Roman;Times;serif" w:hAnsi="Times New Roman;Times;serif"/>
                <w:b w:val="false"/>
                <w:i w:val="false"/>
                <w:caps w:val="false"/>
                <w:smallCaps w:val="false"/>
                <w:sz w:val="20"/>
              </w:rPr>
              <w:t>million on July 1, 2036. The interest rate on the 2025 Bonds maturing on July 1, 2030 is 8.125%</w:t>
            </w:r>
            <w:r>
              <w:rPr>
                <w:caps w:val="false"/>
                <w:smallCaps w:val="false"/>
              </w:rPr>
              <w:t xml:space="preserve"> </w:t>
            </w:r>
            <w:r>
              <w:rPr>
                <w:rFonts w:ascii="Times New Roman;Times;serif" w:hAnsi="Times New Roman;Times;serif"/>
                <w:b w:val="false"/>
                <w:i w:val="false"/>
                <w:caps w:val="false"/>
                <w:smallCaps w:val="false"/>
                <w:sz w:val="20"/>
              </w:rPr>
              <w:t>per annum and the interest rate on the 2025 Bonds maturing on July 1, 2036 is 8.50%</w:t>
            </w:r>
            <w:r>
              <w:rPr>
                <w:caps w:val="false"/>
                <w:smallCaps w:val="false"/>
              </w:rPr>
              <w:t xml:space="preserve"> </w:t>
            </w:r>
            <w:r>
              <w:rPr>
                <w:rFonts w:ascii="Times New Roman;Times;serif" w:hAnsi="Times New Roman;Times;serif"/>
                <w:b w:val="false"/>
                <w:i w:val="false"/>
                <w:caps w:val="false"/>
                <w:smallCaps w:val="false"/>
                <w:sz w:val="20"/>
              </w:rPr>
              <w:t>per annum. The remaining principal balance of the Remarketed Bonds of $27.9</w:t>
            </w:r>
            <w:r>
              <w:rPr>
                <w:caps w:val="false"/>
                <w:smallCaps w:val="false"/>
              </w:rPr>
              <w:t xml:space="preserve"> </w:t>
            </w:r>
            <w:r>
              <w:rPr>
                <w:rFonts w:ascii="Times New Roman;Times;serif" w:hAnsi="Times New Roman;Times;serif"/>
                <w:b w:val="false"/>
                <w:i w:val="false"/>
                <w:caps w:val="false"/>
                <w:smallCaps w:val="false"/>
                <w:sz w:val="20"/>
              </w:rPr>
              <w:t>million has been classified as current.</w:t>
            </w:r>
          </w:p>
        </w:tc>
      </w:tr>
    </w:tbl>
    <w:p>
      <w:pPr>
        <w:pStyle w:val="TextBody"/>
        <w:bidi w:val="0"/>
        <w:spacing w:before="240" w:after="240"/>
        <w:ind w:left="720" w:right="0" w:hanging="0"/>
        <w:jc w:val="left"/>
        <w:rPr>
          <w:rFonts w:ascii="Times New Roman;Times;serif" w:hAnsi="Times New Roman;Times;serif"/>
          <w:sz w:val="20"/>
        </w:rPr>
      </w:pPr>
      <w:r>
        <w:rPr>
          <w:rFonts w:ascii="Times New Roman;Times;serif" w:hAnsi="Times New Roman;Times;serif"/>
          <w:sz w:val="20"/>
        </w:rPr>
        <w:t>Future payments for the Company’s long-term debt are as follows (in thousands):</w:t>
      </w:r>
    </w:p>
    <w:tbl>
      <w:tblPr>
        <w:tblW w:w="3539" w:type="dxa"/>
        <w:jc w:val="left"/>
        <w:tblInd w:w="0" w:type="dxa"/>
        <w:tblLayout w:type="fixed"/>
        <w:tblCellMar>
          <w:top w:w="0" w:type="dxa"/>
          <w:left w:w="0" w:type="dxa"/>
          <w:bottom w:w="0" w:type="dxa"/>
          <w:right w:w="0" w:type="dxa"/>
        </w:tblCellMar>
      </w:tblPr>
      <w:tblGrid>
        <w:gridCol w:w="2116"/>
        <w:gridCol w:w="326"/>
        <w:gridCol w:w="211"/>
        <w:gridCol w:w="886"/>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343660" cy="175260"/>
                      <wp:effectExtent l="0" t="0" r="0" b="0"/>
                      <wp:wrapNone/>
                      <wp:docPr id="305" name="Frame305"/>
                      <a:graphic xmlns:a="http://schemas.openxmlformats.org/drawingml/2006/main">
                        <a:graphicData uri="http://schemas.microsoft.com/office/word/2010/wordprocessingShape">
                          <wps:wsp>
                            <wps:cNvSpPr txBox="1"/>
                            <wps:spPr>
                              <a:xfrm>
                                <a:off x="0" y="0"/>
                                <a:ext cx="1343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07010" cy="175260"/>
                      <wp:effectExtent l="0" t="0" r="0" b="0"/>
                      <wp:wrapNone/>
                      <wp:docPr id="306" name="Frame3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33985" cy="175260"/>
                      <wp:effectExtent l="0" t="0" r="0" b="0"/>
                      <wp:wrapNone/>
                      <wp:docPr id="307" name="Frame3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562610" cy="175260"/>
                      <wp:effectExtent l="0" t="0" r="0" b="0"/>
                      <wp:wrapNone/>
                      <wp:docPr id="308" name="Frame30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 Ending December 31, </w:t>
            </w:r>
          </w:p>
        </w:tc>
        <w:tc>
          <w:tcPr>
            <w:tcW w:w="326" w:type="dxa"/>
            <w:tcBorders/>
            <w:vAlign w:val="center"/>
          </w:tcPr>
          <w:p>
            <w:pPr>
              <w:pStyle w:val="TableContents"/>
              <w:bidi w:val="0"/>
              <w:spacing w:before="0" w:after="1"/>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Debt</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 (remaining)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28,155</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 and thereafter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145,000</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173,155</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240"/>
        <w:ind w:left="0" w:right="0" w:firstLine="360"/>
        <w:jc w:val="left"/>
        <w:rPr/>
      </w:pPr>
      <w:r>
        <w:rPr/>
        <w:t>​</w:t>
      </w:r>
    </w:p>
    <w:tbl>
      <w:tblPr>
        <w:tblW w:w="2822" w:type="dxa"/>
        <w:jc w:val="left"/>
        <w:tblInd w:w="0" w:type="dxa"/>
        <w:tblLayout w:type="fixed"/>
        <w:tblCellMar>
          <w:top w:w="0" w:type="dxa"/>
          <w:left w:w="0" w:type="dxa"/>
          <w:bottom w:w="0" w:type="dxa"/>
          <w:right w:w="0" w:type="dxa"/>
        </w:tblCellMar>
      </w:tblPr>
      <w:tblGrid>
        <w:gridCol w:w="376"/>
        <w:gridCol w:w="244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17.</w:t>
            </w:r>
          </w:p>
        </w:tc>
        <w:tc>
          <w:tcPr>
            <w:tcW w:w="24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Stock-Based Compensation</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Equity incentive plans</w:t>
      </w:r>
      <w:r>
        <w:rPr>
          <w:rFonts w:ascii="Times New Roman;Times;serif" w:hAnsi="Times New Roman;Times;serif"/>
          <w:sz w:val="20"/>
        </w:rPr>
        <w:t>. In February 2011, the Company’s stockholders approved the Gevo, Inc. 2010 Stock Incentive Plan (as amended and restated to date, the “2010 Plan”), and the Employee Stock Purchase Plan.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1302" w:name="Tc_7FEZd60bZki1wlTdSPIHTg_12_13"/>
      <w:bookmarkStart w:id="1303" w:name="Tc_xzB1OKfl0UW_egiJsQvFCg_12_10"/>
      <w:bookmarkStart w:id="1304" w:name="Tc_g4HUg2J1rUiLzd-Jkbk1Hw_12_4"/>
      <w:bookmarkStart w:id="1305" w:name="Tc_ohdQGo3CiUmAuZYacyXLsQ_12_0"/>
      <w:bookmarkStart w:id="1306" w:name="Tc_6m6r0IQI1EOBnJEeR8ZN1w_11_13"/>
      <w:bookmarkStart w:id="1307" w:name="Tc_1xBZwjSqXUSaj_fSfUY_Og_11_10"/>
      <w:bookmarkStart w:id="1308" w:name="Tc_OLE_8AAyfESUyIkoE1kBxw_11_4"/>
      <w:bookmarkStart w:id="1309" w:name="Tc_OVSvZEw6TEiu291C2vxhhg_11_0"/>
      <w:bookmarkStart w:id="1310" w:name="Tc_b_LnTTPkJkmEesKFG10reQ_10_0"/>
      <w:bookmarkStart w:id="1311" w:name="Tc_Bqk7pA7gs0-ixJJCcijcDw_9_0"/>
      <w:bookmarkStart w:id="1312" w:name="Tc_SS48mQsbvESmxAkCzOSlJg_8_0"/>
      <w:bookmarkStart w:id="1313" w:name="Tc_JkLac3DuUEipkPrlKJbE-w_7_13"/>
      <w:bookmarkStart w:id="1314" w:name="Tc_9-fxg4L9l0qa4mnyj4hqmg_7_10"/>
      <w:bookmarkStart w:id="1315" w:name="Tc_gkNrsFyHD0OlscNixSQ8pQ_7_4"/>
      <w:bookmarkStart w:id="1316" w:name="Tc_G5VTct6AgUiigoxZmxgaSg_7_0"/>
      <w:bookmarkStart w:id="1317" w:name="Tc_ymS-kRO4ukGp_HfZqkchrQ_6_13"/>
      <w:bookmarkStart w:id="1318" w:name="Tc_THTWTduEQkeM3Gzup3Fkqg_6_10"/>
      <w:bookmarkStart w:id="1319" w:name="Tc_DuINFrGIZ0mmGYXyte4-tQ_6_7"/>
      <w:bookmarkStart w:id="1320" w:name="Tc_9Z_I3IyyyEimO7GiPLdpAg_6_4"/>
      <w:bookmarkStart w:id="1321" w:name="Tc_daGT86o5Ik2oFgZ6RZ5eTg_6_2"/>
      <w:bookmarkStart w:id="1322" w:name="Tc_wmUSLuBvR0ut3INzGxbLYg_5_13"/>
      <w:bookmarkStart w:id="1323" w:name="Tc_INjRlscyh0GnNvDc8WMxDA_5_10"/>
      <w:bookmarkStart w:id="1324" w:name="Tc_bD29_ymBskuOFtHUcdDOeg_5_7"/>
      <w:bookmarkStart w:id="1325" w:name="Tc_rxaL-z8dfUapIk_uDcpAZw_5_4"/>
      <w:bookmarkStart w:id="1326" w:name="Tc_ZZWURlnJKUK9pGjATiDWfQ_5_2"/>
      <w:bookmarkStart w:id="1327" w:name="Tc_obFGstxCdUetAge65xJsEw_4_13"/>
      <w:bookmarkStart w:id="1328" w:name="Tc_Bz7uPny6GkmO3ToxELvPdA_4_10"/>
      <w:bookmarkStart w:id="1329" w:name="Tc_k3uvrRyntkawBtHfsijOFw_4_7"/>
      <w:bookmarkStart w:id="1330" w:name="Tc_N6mplzFPIUSUqkv463Qxkw_4_4"/>
      <w:bookmarkStart w:id="1331" w:name="Tc_XimBW3EZgECMf8fpqEpK5Q_3_10"/>
      <w:bookmarkStart w:id="1332" w:name="Tc_IqKq_ObpL06oUS0ZLIrN0g_3_7"/>
      <w:bookmarkStart w:id="1333" w:name="Tc_BJcxJcsNBk29vSnEe95ROg_3_4"/>
      <w:bookmarkStart w:id="1334" w:name="Tc_soJ38Zm9yEuUbtJLetne6g_2_7"/>
      <w:bookmarkStart w:id="1335" w:name="Tc_aCuOaQMw3kKKjAMr4cYMUQ_1_7"/>
      <w:bookmarkStart w:id="1336" w:name="_a3373411_05b3_44ff_84af_5f6de767f8bf"/>
      <w:bookmarkStart w:id="1337" w:name="Tc_-Pibgl-ZoE-VXDY1yPnzLg_6_11"/>
      <w:bookmarkStart w:id="1338" w:name="Tc_ViQoHwvPTU2Zgj05515XQQ_6_8"/>
      <w:bookmarkStart w:id="1339" w:name="Tc_KmUQ5WYSvkSD1oPgucQW4w_6_5"/>
      <w:bookmarkStart w:id="1340" w:name="Tc_qpVGZdgAbEaQEqVbXFWOrw_6_2"/>
      <w:bookmarkStart w:id="1341" w:name="Tc_BwLvM6DJyUeJ1UeeEbyyWw_6_0"/>
      <w:bookmarkStart w:id="1342" w:name="Tc_aTJfF37q2Ey597SHRvD0Kw_5_0"/>
      <w:bookmarkStart w:id="1343" w:name="Tc_e4jDDpg_T0S7bLpRPpuSZQ_4_0"/>
      <w:bookmarkStart w:id="1344" w:name="Tc_z7FClNzP20KSWUS6pE-FdA_3_11"/>
      <w:bookmarkStart w:id="1345" w:name="Tc_e6zy0uO9y0WFLrQzOyo0Qw_3_8"/>
      <w:bookmarkStart w:id="1346" w:name="Tc_pGKnkUJOBUOzdymNMgeaPQ_3_5"/>
      <w:bookmarkStart w:id="1347" w:name="Tc_ZDpU7Ns_8Uaf5kpfcBc2eg_3_2"/>
      <w:bookmarkStart w:id="1348" w:name="Tc_ss8v4WTr5kOaup8iwitpYw_3_0"/>
      <w:bookmarkStart w:id="1349" w:name="Tc_Vx0bSAxbT0uKxdAt4y7rgw_2_11"/>
      <w:bookmarkStart w:id="1350" w:name="Tc_o6Lp05z9ekeqnZB48Sgc8w_2_8"/>
      <w:bookmarkStart w:id="1351" w:name="Tc_bfsEZUMzI0SbbNgqI2dctQ_2_5"/>
      <w:bookmarkStart w:id="1352" w:name="Tc_r8R4e55UjUuamC7QZDccHw_2_2"/>
      <w:bookmarkStart w:id="1353" w:name="Tc_C3hN48CAoUyCtA88mIg4Ow_1_8"/>
      <w:bookmarkStart w:id="1354" w:name="Tc_vt7c9aCHYka0Pv-G7vWIow_1_2"/>
      <w:bookmarkStart w:id="1355" w:name="_24de8d6f_7275_432e_836d_4f69b09015db"/>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r>
        <w:rPr>
          <w:rFonts w:ascii="Times New Roman;Times;serif" w:hAnsi="Times New Roman;Times;serif"/>
          <w:sz w:val="20"/>
        </w:rPr>
        <w:t xml:space="preserve">The 2010 Plan provides for the grant of non-qualified stock options, incentive stock options, stock appreciation rights, restricted stock awards, restricted stock units and other equity awards to employees and directors of the Company. In May 2025, upon approval of stockholders at the 2025 Annual Meeting of Stockholders, the 2010 Plan was amended and restated to (1) increase the number of shares of common stock reserved for issuance under the 2010 Plan </w:t>
      </w:r>
      <w:r>
        <w:rPr>
          <w:rFonts w:ascii="Times New Roman" w:hAnsi="Times New Roman"/>
          <w:sz w:val="20"/>
        </w:rPr>
        <w:t>by 15,000,000</w:t>
      </w:r>
      <w:r>
        <w:rPr>
          <w:rFonts w:ascii="Times New Roman;Times;serif" w:hAnsi="Times New Roman;Times;serif"/>
          <w:sz w:val="20"/>
        </w:rPr>
        <w:t xml:space="preserve"> </w:t>
      </w:r>
      <w:r>
        <w:rPr>
          <w:rFonts w:ascii="Times New Roman" w:hAnsi="Times New Roman"/>
          <w:sz w:val="20"/>
        </w:rPr>
        <w:t>shares (providing for a total of 52,980,074</w:t>
      </w:r>
      <w:r>
        <w:rPr>
          <w:rFonts w:ascii="Times New Roman;Times;serif" w:hAnsi="Times New Roman;Times;serif"/>
          <w:sz w:val="20"/>
        </w:rPr>
        <w:t xml:space="preserve"> shares under the 2010 Plan), </w:t>
      </w:r>
      <w:r>
        <w:rPr>
          <w:rFonts w:ascii="Times New Roman" w:hAnsi="Times New Roman"/>
          <w:sz w:val="20"/>
        </w:rPr>
        <w:t>and (2) extend the term of the 2010 Plan to May 21, 2035.</w:t>
      </w:r>
      <w:r>
        <w:rPr>
          <w:rFonts w:ascii="Times New Roman;Times;serif" w:hAnsi="Times New Roman;Times;serif"/>
          <w:sz w:val="20"/>
        </w:rPr>
        <w:t xml:space="preserve"> At June 30, 2025, 9,022,235 shares were available for future issuance under the 2010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Stock-based compensation expense</w:t>
      </w:r>
      <w:r>
        <w:rPr>
          <w:rFonts w:ascii="Times New Roman;Times;serif" w:hAnsi="Times New Roman;Times;serif"/>
          <w:sz w:val="20"/>
        </w:rPr>
        <w:t>. The Company records stock-based compensation expense during the requisite service period for share-based payment awards granted to employees and non-employees.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Company’s equity classified stock-based compensation expense for the periods indicated (in thousands):</w:t>
      </w:r>
    </w:p>
    <w:tbl>
      <w:tblPr>
        <w:tblW w:w="7650" w:type="dxa"/>
        <w:jc w:val="left"/>
        <w:tblInd w:w="0" w:type="dxa"/>
        <w:tblLayout w:type="fixed"/>
        <w:tblCellMar>
          <w:top w:w="0" w:type="dxa"/>
          <w:left w:w="0" w:type="dxa"/>
          <w:bottom w:w="0" w:type="dxa"/>
          <w:right w:w="0" w:type="dxa"/>
        </w:tblCellMar>
      </w:tblPr>
      <w:tblGrid>
        <w:gridCol w:w="2746"/>
        <w:gridCol w:w="326"/>
        <w:gridCol w:w="258"/>
        <w:gridCol w:w="698"/>
        <w:gridCol w:w="398"/>
        <w:gridCol w:w="258"/>
        <w:gridCol w:w="698"/>
        <w:gridCol w:w="109"/>
        <w:gridCol w:w="228"/>
        <w:gridCol w:w="618"/>
        <w:gridCol w:w="353"/>
        <w:gridCol w:w="228"/>
        <w:gridCol w:w="732"/>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743710" cy="175260"/>
                      <wp:effectExtent l="0" t="0" r="0" b="0"/>
                      <wp:wrapNone/>
                      <wp:docPr id="309" name="Frame309"/>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7010" cy="175260"/>
                      <wp:effectExtent l="0" t="0" r="0" b="0"/>
                      <wp:wrapNone/>
                      <wp:docPr id="310" name="Frame3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63830" cy="175260"/>
                      <wp:effectExtent l="0" t="0" r="0" b="0"/>
                      <wp:wrapNone/>
                      <wp:docPr id="311" name="Frame311"/>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443230" cy="175260"/>
                      <wp:effectExtent l="0" t="0" r="0" b="0"/>
                      <wp:wrapNone/>
                      <wp:docPr id="312" name="Frame312"/>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52730" cy="175260"/>
                      <wp:effectExtent l="0" t="0" r="0" b="0"/>
                      <wp:wrapNone/>
                      <wp:docPr id="313" name="Frame313"/>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63830" cy="175260"/>
                      <wp:effectExtent l="0" t="0" r="0" b="0"/>
                      <wp:wrapNone/>
                      <wp:docPr id="314" name="Frame314"/>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443230" cy="175260"/>
                      <wp:effectExtent l="0" t="0" r="0" b="0"/>
                      <wp:wrapNone/>
                      <wp:docPr id="315" name="Frame315"/>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9215" cy="175260"/>
                      <wp:effectExtent l="0" t="0" r="0" b="0"/>
                      <wp:wrapNone/>
                      <wp:docPr id="316" name="Frame3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44780" cy="175260"/>
                      <wp:effectExtent l="0" t="0" r="0" b="0"/>
                      <wp:wrapNone/>
                      <wp:docPr id="317" name="Frame317"/>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392430" cy="175260"/>
                      <wp:effectExtent l="0" t="0" r="0" b="0"/>
                      <wp:wrapNone/>
                      <wp:docPr id="318" name="Frame318"/>
                      <a:graphic xmlns:a="http://schemas.openxmlformats.org/drawingml/2006/main">
                        <a:graphicData uri="http://schemas.microsoft.com/office/word/2010/wordprocessingShape">
                          <wps:wsp>
                            <wps:cNvSpPr txBox="1"/>
                            <wps:spPr>
                              <a:xfrm>
                                <a:off x="0" y="0"/>
                                <a:ext cx="392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24155" cy="175260"/>
                      <wp:effectExtent l="0" t="0" r="0" b="0"/>
                      <wp:wrapNone/>
                      <wp:docPr id="319" name="Frame319"/>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44780" cy="175260"/>
                      <wp:effectExtent l="0" t="0" r="0" b="0"/>
                      <wp:wrapNone/>
                      <wp:docPr id="320" name="Frame320"/>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464820" cy="175260"/>
                      <wp:effectExtent l="0" t="0" r="0" b="0"/>
                      <wp:wrapNone/>
                      <wp:docPr id="321" name="Frame321"/>
                      <a:graphic xmlns:a="http://schemas.openxmlformats.org/drawingml/2006/main">
                        <a:graphicData uri="http://schemas.microsoft.com/office/word/2010/wordprocessingShape">
                          <wps:wsp>
                            <wps:cNvSpPr txBox="1"/>
                            <wps:spPr>
                              <a:xfrm>
                                <a:off x="0" y="0"/>
                                <a:ext cx="464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3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1"/>
              <w:ind w:left="0" w:right="0" w:hanging="0"/>
              <w:jc w:val="center"/>
              <w:rPr/>
            </w:pPr>
            <w:r>
              <w:rPr/>
              <w:t>​</w:t>
            </w:r>
          </w:p>
        </w:tc>
        <w:tc>
          <w:tcPr>
            <w:tcW w:w="215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7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8" w:type="dxa"/>
            <w:tcBorders/>
            <w:vAlign w:val="center"/>
          </w:tcPr>
          <w:p>
            <w:pPr>
              <w:pStyle w:val="TableContents"/>
              <w:bidi w:val="0"/>
              <w:spacing w:before="0" w:after="1"/>
              <w:ind w:left="0" w:right="0" w:hanging="0"/>
              <w:jc w:val="center"/>
              <w:rPr/>
            </w:pPr>
            <w:r>
              <w:rPr/>
              <w:t>    </w:t>
            </w:r>
          </w:p>
        </w:tc>
        <w:tc>
          <w:tcPr>
            <w:tcW w:w="9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center"/>
              <w:rPr/>
            </w:pPr>
            <w:r>
              <w:rPr/>
              <w:t>​</w:t>
            </w:r>
          </w:p>
        </w:tc>
        <w:tc>
          <w:tcPr>
            <w:tcW w:w="8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53" w:type="dxa"/>
            <w:tcBorders/>
            <w:vAlign w:val="center"/>
          </w:tcPr>
          <w:p>
            <w:pPr>
              <w:pStyle w:val="TableContents"/>
              <w:bidi w:val="0"/>
              <w:spacing w:before="0" w:after="1"/>
              <w:ind w:left="0" w:right="0" w:hanging="0"/>
              <w:jc w:val="center"/>
              <w:rPr/>
            </w:pPr>
            <w:r>
              <w:rPr/>
              <w:t>    </w:t>
            </w:r>
          </w:p>
        </w:tc>
        <w:tc>
          <w:tcPr>
            <w:tcW w:w="9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production</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98"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53"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6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1,844</w:t>
            </w:r>
          </w:p>
        </w:tc>
        <w:tc>
          <w:tcPr>
            <w:tcW w:w="398"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6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3,971</w:t>
            </w:r>
          </w:p>
        </w:tc>
        <w:tc>
          <w:tcPr>
            <w:tcW w:w="109"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6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3,395</w:t>
            </w:r>
          </w:p>
        </w:tc>
        <w:tc>
          <w:tcPr>
            <w:tcW w:w="353"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7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7,659</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w:t>
            </w:r>
          </w:p>
        </w:tc>
        <w:tc>
          <w:tcPr>
            <w:tcW w:w="398" w:type="dxa"/>
            <w:tcBorders/>
            <w:shd w:fill="CCEEFF" w:val="clear"/>
            <w:vAlign w:val="center"/>
          </w:tcPr>
          <w:p>
            <w:pPr>
              <w:pStyle w:val="TableContents"/>
              <w:bidi w:val="0"/>
              <w:spacing w:before="0" w:after="1"/>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477</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731</w:t>
            </w:r>
          </w:p>
        </w:tc>
        <w:tc>
          <w:tcPr>
            <w:tcW w:w="353"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1,009</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stock-based compensation</w:t>
            </w:r>
          </w:p>
        </w:tc>
        <w:tc>
          <w:tcPr>
            <w:tcW w:w="326" w:type="dxa"/>
            <w:tcBorders/>
            <w:vAlign w:val="center"/>
          </w:tcPr>
          <w:p>
            <w:pPr>
              <w:pStyle w:val="TableContents"/>
              <w:bidi w:val="0"/>
              <w:spacing w:before="0" w:after="1"/>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2,244</w:t>
            </w:r>
          </w:p>
        </w:tc>
        <w:tc>
          <w:tcPr>
            <w:tcW w:w="398" w:type="dxa"/>
            <w:tcBorders/>
            <w:vAlign w:val="center"/>
          </w:tcPr>
          <w:p>
            <w:pPr>
              <w:pStyle w:val="TableContents"/>
              <w:bidi w:val="0"/>
              <w:spacing w:before="0" w:after="1"/>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4,466</w:t>
            </w:r>
          </w:p>
        </w:tc>
        <w:tc>
          <w:tcPr>
            <w:tcW w:w="109" w:type="dxa"/>
            <w:tcBorders/>
            <w:vAlign w:val="center"/>
          </w:tcPr>
          <w:p>
            <w:pPr>
              <w:pStyle w:val="TableContents"/>
              <w:bidi w:val="0"/>
              <w:spacing w:before="0" w:after="1"/>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4,142</w:t>
            </w:r>
          </w:p>
        </w:tc>
        <w:tc>
          <w:tcPr>
            <w:tcW w:w="353" w:type="dxa"/>
            <w:tcBorders/>
            <w:vAlign w:val="center"/>
          </w:tcPr>
          <w:p>
            <w:pPr>
              <w:pStyle w:val="TableContents"/>
              <w:bidi w:val="0"/>
              <w:spacing w:before="0" w:after="1"/>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8,699</w:t>
            </w:r>
          </w:p>
        </w:tc>
      </w:tr>
    </w:tbl>
    <w:p>
      <w:pPr>
        <w:pStyle w:val="TextBody"/>
        <w:bidi w:val="0"/>
        <w:spacing w:before="0" w:after="240"/>
        <w:ind w:left="0" w:right="0" w:firstLine="360"/>
        <w:jc w:val="left"/>
        <w:rPr/>
      </w:pPr>
      <w:r>
        <w:rPr/>
        <w:t>​</w:t>
      </w:r>
    </w:p>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i/>
          <w:sz w:val="20"/>
        </w:rPr>
        <w:t>Stock option award activity</w:t>
      </w:r>
      <w:r>
        <w:rPr>
          <w:rFonts w:ascii="Times New Roman;Times;serif" w:hAnsi="Times New Roman;Times;serif"/>
          <w:sz w:val="20"/>
        </w:rPr>
        <w:t>. Stock option activity under the Company’s stock incentive plans and changes during the six months ended June 30, 2025, were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828"/>
        <w:gridCol w:w="326"/>
        <w:gridCol w:w="1036"/>
        <w:gridCol w:w="326"/>
        <w:gridCol w:w="262"/>
        <w:gridCol w:w="580"/>
        <w:gridCol w:w="326"/>
        <w:gridCol w:w="284"/>
        <w:gridCol w:w="707"/>
        <w:gridCol w:w="326"/>
        <w:gridCol w:w="299"/>
        <w:gridCol w:w="662"/>
        <w:gridCol w:w="326"/>
        <w:gridCol w:w="217"/>
        <w:gridCol w:w="700"/>
      </w:tblGrid>
      <w:tr>
        <w:trPr/>
        <w:tc>
          <w:tcPr>
            <w:tcW w:w="3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430780" cy="175260"/>
                      <wp:effectExtent l="0" t="0" r="0" b="0"/>
                      <wp:wrapNone/>
                      <wp:docPr id="322" name="Frame322"/>
                      <a:graphic xmlns:a="http://schemas.openxmlformats.org/drawingml/2006/main">
                        <a:graphicData uri="http://schemas.microsoft.com/office/word/2010/wordprocessingShape">
                          <wps:wsp>
                            <wps:cNvSpPr txBox="1"/>
                            <wps:spPr>
                              <a:xfrm>
                                <a:off x="0" y="0"/>
                                <a:ext cx="2430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07010" cy="175260"/>
                      <wp:effectExtent l="0" t="0" r="0" b="0"/>
                      <wp:wrapNone/>
                      <wp:docPr id="323" name="Frame3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57860" cy="175260"/>
                      <wp:effectExtent l="0" t="0" r="0" b="0"/>
                      <wp:wrapNone/>
                      <wp:docPr id="324" name="Frame32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07010" cy="175260"/>
                      <wp:effectExtent l="0" t="0" r="0" b="0"/>
                      <wp:wrapNone/>
                      <wp:docPr id="325" name="Frame3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66370" cy="175260"/>
                      <wp:effectExtent l="0" t="0" r="0" b="0"/>
                      <wp:wrapNone/>
                      <wp:docPr id="326" name="Frame326"/>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368300" cy="175260"/>
                      <wp:effectExtent l="0" t="0" r="0" b="0"/>
                      <wp:wrapNone/>
                      <wp:docPr id="327" name="Frame327"/>
                      <a:graphic xmlns:a="http://schemas.openxmlformats.org/drawingml/2006/main">
                        <a:graphicData uri="http://schemas.microsoft.com/office/word/2010/wordprocessingShape">
                          <wps:wsp>
                            <wps:cNvSpPr txBox="1"/>
                            <wps:spPr>
                              <a:xfrm>
                                <a:off x="0" y="0"/>
                                <a:ext cx="368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07010" cy="175260"/>
                      <wp:effectExtent l="0" t="0" r="0" b="0"/>
                      <wp:wrapNone/>
                      <wp:docPr id="328" name="Frame3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80340" cy="175260"/>
                      <wp:effectExtent l="0" t="0" r="0" b="0"/>
                      <wp:wrapNone/>
                      <wp:docPr id="329" name="Frame329"/>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448945" cy="175260"/>
                      <wp:effectExtent l="0" t="0" r="0" b="0"/>
                      <wp:wrapNone/>
                      <wp:docPr id="330" name="Frame330"/>
                      <a:graphic xmlns:a="http://schemas.openxmlformats.org/drawingml/2006/main">
                        <a:graphicData uri="http://schemas.microsoft.com/office/word/2010/wordprocessingShape">
                          <wps:wsp>
                            <wps:cNvSpPr txBox="1"/>
                            <wps:spPr>
                              <a:xfrm>
                                <a:off x="0" y="0"/>
                                <a:ext cx="448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07010" cy="175260"/>
                      <wp:effectExtent l="0" t="0" r="0" b="0"/>
                      <wp:wrapNone/>
                      <wp:docPr id="331" name="Frame3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89865" cy="175260"/>
                      <wp:effectExtent l="0" t="0" r="0" b="0"/>
                      <wp:wrapNone/>
                      <wp:docPr id="332" name="Frame332"/>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420370" cy="175260"/>
                      <wp:effectExtent l="0" t="0" r="0" b="0"/>
                      <wp:wrapNone/>
                      <wp:docPr id="333" name="Frame333"/>
                      <a:graphic xmlns:a="http://schemas.openxmlformats.org/drawingml/2006/main">
                        <a:graphicData uri="http://schemas.microsoft.com/office/word/2010/wordprocessingShape">
                          <wps:wsp>
                            <wps:cNvSpPr txBox="1"/>
                            <wps:spPr>
                              <a:xfrm>
                                <a:off x="0" y="0"/>
                                <a:ext cx="420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07010" cy="175260"/>
                      <wp:effectExtent l="0" t="0" r="0" b="0"/>
                      <wp:wrapNone/>
                      <wp:docPr id="334" name="Frame3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37795" cy="175260"/>
                      <wp:effectExtent l="0" t="0" r="0" b="0"/>
                      <wp:wrapNone/>
                      <wp:docPr id="335" name="Frame335"/>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444500" cy="175260"/>
                      <wp:effectExtent l="0" t="0" r="0" b="0"/>
                      <wp:wrapNone/>
                      <wp:docPr id="336" name="Frame336"/>
                      <a:graphic xmlns:a="http://schemas.openxmlformats.org/drawingml/2006/main">
                        <a:graphicData uri="http://schemas.microsoft.com/office/word/2010/wordprocessingShape">
                          <wps:wsp>
                            <wps:cNvSpPr txBox="1"/>
                            <wps:spPr>
                              <a:xfrm>
                                <a:off x="0" y="0"/>
                                <a:ext cx="444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2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842"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center"/>
              <w:rPr/>
            </w:pPr>
            <w:r>
              <w:rPr/>
              <w:t>    </w:t>
            </w:r>
          </w:p>
        </w:tc>
        <w:tc>
          <w:tcPr>
            <w:tcW w:w="96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17" w:type="dxa"/>
            <w:tcBorders/>
            <w:vAlign w:val="center"/>
          </w:tcPr>
          <w:p>
            <w:pPr>
              <w:pStyle w:val="TableContents"/>
              <w:bidi w:val="0"/>
              <w:spacing w:before="0" w:after="1"/>
              <w:ind w:left="0" w:right="0" w:hanging="0"/>
              <w:jc w:val="center"/>
              <w:rPr/>
            </w:pPr>
            <w:r>
              <w:rPr/>
              <w:t>​</w:t>
            </w:r>
          </w:p>
        </w:tc>
        <w:tc>
          <w:tcPr>
            <w:tcW w:w="700" w:type="dxa"/>
            <w:tcBorders/>
            <w:vAlign w:val="center"/>
          </w:tcPr>
          <w:p>
            <w:pPr>
              <w:pStyle w:val="TableContents"/>
              <w:bidi w:val="0"/>
              <w:spacing w:before="0" w:after="1"/>
              <w:ind w:left="0" w:right="0" w:hanging="0"/>
              <w:jc w:val="center"/>
              <w:rPr/>
            </w:pPr>
            <w:r>
              <w:rPr/>
              <w:t>​</w:t>
            </w:r>
          </w:p>
        </w:tc>
      </w:tr>
      <w:tr>
        <w:trPr/>
        <w:tc>
          <w:tcPr>
            <w:tcW w:w="382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42"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center"/>
              <w:rPr/>
            </w:pPr>
            <w:r>
              <w:rPr/>
              <w:t>​</w:t>
            </w:r>
          </w:p>
        </w:tc>
        <w:tc>
          <w:tcPr>
            <w:tcW w:w="96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7" w:type="dxa"/>
            <w:tcBorders/>
            <w:vAlign w:val="center"/>
          </w:tcPr>
          <w:p>
            <w:pPr>
              <w:pStyle w:val="TableContents"/>
              <w:bidi w:val="0"/>
              <w:spacing w:before="0" w:after="1"/>
              <w:ind w:left="0" w:right="0" w:hanging="0"/>
              <w:jc w:val="center"/>
              <w:rPr/>
            </w:pPr>
            <w:r>
              <w:rPr/>
              <w:t>​</w:t>
            </w:r>
          </w:p>
        </w:tc>
        <w:tc>
          <w:tcPr>
            <w:tcW w:w="700" w:type="dxa"/>
            <w:tcBorders/>
            <w:vAlign w:val="center"/>
          </w:tcPr>
          <w:p>
            <w:pPr>
              <w:pStyle w:val="TableContents"/>
              <w:bidi w:val="0"/>
              <w:spacing w:before="0" w:after="1"/>
              <w:ind w:left="0" w:right="0" w:hanging="0"/>
              <w:jc w:val="center"/>
              <w:rPr/>
            </w:pPr>
            <w:r>
              <w:rPr/>
              <w:t>​</w:t>
            </w:r>
          </w:p>
        </w:tc>
      </w:tr>
      <w:tr>
        <w:trPr/>
        <w:tc>
          <w:tcPr>
            <w:tcW w:w="382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vAlign w:val="center"/>
          </w:tcPr>
          <w:p>
            <w:pPr>
              <w:pStyle w:val="TableContents"/>
              <w:bidi w:val="0"/>
              <w:spacing w:before="0" w:after="1"/>
              <w:ind w:left="0" w:right="0" w:hanging="0"/>
              <w:jc w:val="center"/>
              <w:rPr/>
            </w:pPr>
            <w:r>
              <w:rPr/>
              <w:t>​</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Weighted- </w:t>
            </w:r>
          </w:p>
        </w:tc>
        <w:tc>
          <w:tcPr>
            <w:tcW w:w="326" w:type="dxa"/>
            <w:tcBorders/>
            <w:vAlign w:val="center"/>
          </w:tcPr>
          <w:p>
            <w:pPr>
              <w:pStyle w:val="TableContents"/>
              <w:bidi w:val="0"/>
              <w:spacing w:before="0" w:after="1"/>
              <w:ind w:left="0" w:right="0" w:hanging="0"/>
              <w:jc w:val="center"/>
              <w:rPr/>
            </w:pPr>
            <w:r>
              <w:rPr/>
              <w:t>​</w:t>
            </w:r>
          </w:p>
        </w:tc>
        <w:tc>
          <w:tcPr>
            <w:tcW w:w="217" w:type="dxa"/>
            <w:tcBorders/>
            <w:vAlign w:val="center"/>
          </w:tcPr>
          <w:p>
            <w:pPr>
              <w:pStyle w:val="TableContents"/>
              <w:bidi w:val="0"/>
              <w:spacing w:before="0" w:after="1"/>
              <w:ind w:left="0" w:right="0" w:hanging="0"/>
              <w:jc w:val="center"/>
              <w:rPr/>
            </w:pPr>
            <w:r>
              <w:rPr/>
              <w:t>​</w:t>
            </w:r>
          </w:p>
        </w:tc>
        <w:tc>
          <w:tcPr>
            <w:tcW w:w="700" w:type="dxa"/>
            <w:tcBorders/>
            <w:vAlign w:val="center"/>
          </w:tcPr>
          <w:p>
            <w:pPr>
              <w:pStyle w:val="TableContents"/>
              <w:bidi w:val="0"/>
              <w:spacing w:before="0" w:after="1"/>
              <w:ind w:left="0" w:right="0" w:hanging="0"/>
              <w:jc w:val="center"/>
              <w:rPr/>
            </w:pPr>
            <w:r>
              <w:rPr/>
              <w:t>​</w:t>
            </w:r>
          </w:p>
        </w:tc>
      </w:tr>
      <w:tr>
        <w:trPr/>
        <w:tc>
          <w:tcPr>
            <w:tcW w:w="382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26" w:type="dxa"/>
            <w:tcBorders/>
            <w:vAlign w:val="center"/>
          </w:tcPr>
          <w:p>
            <w:pPr>
              <w:pStyle w:val="TableContents"/>
              <w:bidi w:val="0"/>
              <w:spacing w:before="0" w:after="1"/>
              <w:ind w:left="0" w:right="0" w:hanging="0"/>
              <w:jc w:val="center"/>
              <w:rPr/>
            </w:pPr>
            <w:r>
              <w:rPr/>
              <w:t>​</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Average </w:t>
            </w:r>
          </w:p>
        </w:tc>
        <w:tc>
          <w:tcPr>
            <w:tcW w:w="326" w:type="dxa"/>
            <w:tcBorders/>
            <w:vAlign w:val="center"/>
          </w:tcPr>
          <w:p>
            <w:pPr>
              <w:pStyle w:val="TableContents"/>
              <w:bidi w:val="0"/>
              <w:spacing w:before="0" w:after="1"/>
              <w:ind w:left="0" w:right="0" w:hanging="0"/>
              <w:jc w:val="center"/>
              <w:rPr/>
            </w:pPr>
            <w:r>
              <w:rPr/>
              <w:t>​</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82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1"/>
              <w:ind w:left="0" w:right="0" w:hanging="0"/>
              <w:jc w:val="center"/>
              <w:rPr/>
            </w:pPr>
            <w:r>
              <w:rPr/>
              <w:t>​</w:t>
            </w:r>
          </w:p>
        </w:tc>
        <w:tc>
          <w:tcPr>
            <w:tcW w:w="8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Term</w:t>
            </w:r>
          </w:p>
        </w:tc>
        <w:tc>
          <w:tcPr>
            <w:tcW w:w="326" w:type="dxa"/>
            <w:tcBorders/>
            <w:vAlign w:val="center"/>
          </w:tcPr>
          <w:p>
            <w:pPr>
              <w:pStyle w:val="TableContents"/>
              <w:bidi w:val="0"/>
              <w:spacing w:before="0" w:after="1"/>
              <w:ind w:left="0" w:right="0" w:hanging="0"/>
              <w:jc w:val="center"/>
              <w:rPr/>
            </w:pPr>
            <w:r>
              <w:rPr/>
              <w:t>​</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Grant-Date</w:t>
            </w:r>
          </w:p>
        </w:tc>
        <w:tc>
          <w:tcPr>
            <w:tcW w:w="326" w:type="dxa"/>
            <w:tcBorders/>
            <w:vAlign w:val="center"/>
          </w:tcPr>
          <w:p>
            <w:pPr>
              <w:pStyle w:val="TableContents"/>
              <w:bidi w:val="0"/>
              <w:spacing w:before="0" w:after="1"/>
              <w:ind w:left="0" w:right="0" w:hanging="0"/>
              <w:jc w:val="center"/>
              <w:rPr/>
            </w:pPr>
            <w:r>
              <w:rPr/>
              <w:t>​</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82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1"/>
              <w:ind w:left="0" w:right="0" w:hanging="0"/>
              <w:jc w:val="center"/>
              <w:rPr/>
            </w:pPr>
            <w:r>
              <w:rPr/>
              <w:t>    </w:t>
            </w:r>
          </w:p>
        </w:tc>
        <w:tc>
          <w:tcPr>
            <w:tcW w:w="842"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xml:space="preserve">Price </w:t>
            </w:r>
            <w:r>
              <w:rPr>
                <w:rFonts w:ascii="Times New Roman;Times;serif" w:hAnsi="Times New Roman;Times;serif"/>
                <w:b/>
                <w:sz w:val="12"/>
              </w:rPr>
              <w:t>(1)</w:t>
            </w:r>
          </w:p>
        </w:tc>
        <w:tc>
          <w:tcPr>
            <w:tcW w:w="326" w:type="dxa"/>
            <w:tcBorders/>
            <w:vAlign w:val="center"/>
          </w:tcPr>
          <w:p>
            <w:pPr>
              <w:pStyle w:val="TableContents"/>
              <w:bidi w:val="0"/>
              <w:spacing w:before="0" w:after="1"/>
              <w:ind w:left="0" w:right="0" w:hanging="0"/>
              <w:jc w:val="center"/>
              <w:rPr/>
            </w:pPr>
            <w:r>
              <w:rPr/>
              <w:t>    </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26" w:type="dxa"/>
            <w:tcBorders/>
            <w:vAlign w:val="center"/>
          </w:tcPr>
          <w:p>
            <w:pPr>
              <w:pStyle w:val="TableContents"/>
              <w:bidi w:val="0"/>
              <w:spacing w:before="0" w:after="1"/>
              <w:ind w:left="0" w:right="0" w:hanging="0"/>
              <w:jc w:val="center"/>
              <w:rPr/>
            </w:pPr>
            <w:r>
              <w:rPr/>
              <w:t>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1"/>
              <w:ind w:left="0" w:right="0" w:hanging="0"/>
              <w:jc w:val="center"/>
              <w:rPr/>
            </w:pPr>
            <w:r>
              <w:rPr/>
              <w:t>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8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outstanding at December 31, 2024</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14,103,458</w:t>
            </w:r>
          </w:p>
        </w:tc>
        <w:tc>
          <w:tcPr>
            <w:tcW w:w="32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326" w:type="dxa"/>
            <w:tcBorders/>
            <w:shd w:fill="CCEEFF" w:val="clear"/>
            <w:vAlign w:val="center"/>
          </w:tcPr>
          <w:p>
            <w:pPr>
              <w:pStyle w:val="TableContents"/>
              <w:bidi w:val="0"/>
              <w:spacing w:before="0" w:after="1"/>
              <w:ind w:left="0" w:right="0" w:hanging="0"/>
              <w:jc w:val="left"/>
              <w:rPr/>
            </w:pPr>
            <w:r>
              <w:rPr/>
              <w:t> </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3,971</w:t>
            </w:r>
          </w:p>
        </w:tc>
      </w:tr>
      <w:tr>
        <w:trPr/>
        <w:tc>
          <w:tcPr>
            <w:tcW w:w="38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6,893,724</w:t>
            </w:r>
          </w:p>
        </w:tc>
        <w:tc>
          <w:tcPr>
            <w:tcW w:w="32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5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w:t>
            </w:r>
          </w:p>
        </w:tc>
        <w:tc>
          <w:tcPr>
            <w:tcW w:w="3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 </w:t>
            </w:r>
          </w:p>
        </w:tc>
        <w:tc>
          <w:tcPr>
            <w:tcW w:w="707"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99" w:type="dxa"/>
            <w:tcBorders/>
            <w:vAlign w:val="center"/>
          </w:tcPr>
          <w:p>
            <w:pPr>
              <w:pStyle w:val="TableContents"/>
              <w:bidi w:val="0"/>
              <w:spacing w:before="0" w:after="1"/>
              <w:ind w:left="0" w:right="0" w:hanging="0"/>
              <w:jc w:val="left"/>
              <w:rPr/>
            </w:pPr>
            <w:r>
              <w:rPr/>
              <w:t>​</w:t>
            </w:r>
          </w:p>
        </w:tc>
        <w:tc>
          <w:tcPr>
            <w:tcW w:w="66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700" w:type="dxa"/>
            <w:tcBorders/>
            <w:vAlign w:val="center"/>
          </w:tcPr>
          <w:p>
            <w:pPr>
              <w:pStyle w:val="TableContents"/>
              <w:bidi w:val="0"/>
              <w:spacing w:before="0" w:after="1"/>
              <w:ind w:left="0" w:right="0" w:hanging="0"/>
              <w:jc w:val="right"/>
              <w:rPr/>
            </w:pPr>
            <w:r>
              <w:rPr/>
              <w:t>​</w:t>
            </w:r>
          </w:p>
        </w:tc>
      </w:tr>
      <w:tr>
        <w:trPr/>
        <w:tc>
          <w:tcPr>
            <w:tcW w:w="38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 and expired</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(432,247)</w:t>
            </w:r>
          </w:p>
        </w:tc>
        <w:tc>
          <w:tcPr>
            <w:tcW w:w="32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5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 </w:t>
            </w:r>
          </w:p>
        </w:tc>
        <w:tc>
          <w:tcPr>
            <w:tcW w:w="707"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99" w:type="dxa"/>
            <w:tcBorders/>
            <w:shd w:fill="CCEEFF" w:val="clear"/>
            <w:vAlign w:val="center"/>
          </w:tcPr>
          <w:p>
            <w:pPr>
              <w:pStyle w:val="TableContents"/>
              <w:bidi w:val="0"/>
              <w:spacing w:before="0" w:after="1"/>
              <w:ind w:left="0" w:right="0" w:hanging="0"/>
              <w:jc w:val="left"/>
              <w:rPr/>
            </w:pPr>
            <w:r>
              <w:rPr/>
              <w:t>​</w:t>
            </w:r>
          </w:p>
        </w:tc>
        <w:tc>
          <w:tcPr>
            <w:tcW w:w="66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700" w:type="dxa"/>
            <w:tcBorders/>
            <w:shd w:fill="CCEEFF" w:val="clear"/>
            <w:vAlign w:val="center"/>
          </w:tcPr>
          <w:p>
            <w:pPr>
              <w:pStyle w:val="TableContents"/>
              <w:bidi w:val="0"/>
              <w:spacing w:before="0" w:after="1"/>
              <w:ind w:left="0" w:right="0" w:hanging="0"/>
              <w:jc w:val="right"/>
              <w:rPr/>
            </w:pPr>
            <w:r>
              <w:rPr/>
              <w:t>​</w:t>
            </w:r>
          </w:p>
        </w:tc>
      </w:tr>
      <w:tr>
        <w:trPr/>
        <w:tc>
          <w:tcPr>
            <w:tcW w:w="38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(163,703)</w:t>
            </w:r>
          </w:p>
        </w:tc>
        <w:tc>
          <w:tcPr>
            <w:tcW w:w="32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5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3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 </w:t>
            </w:r>
          </w:p>
        </w:tc>
        <w:tc>
          <w:tcPr>
            <w:tcW w:w="707"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99" w:type="dxa"/>
            <w:tcBorders/>
            <w:vAlign w:val="center"/>
          </w:tcPr>
          <w:p>
            <w:pPr>
              <w:pStyle w:val="TableContents"/>
              <w:bidi w:val="0"/>
              <w:spacing w:before="0" w:after="1"/>
              <w:ind w:left="0" w:right="0" w:hanging="0"/>
              <w:jc w:val="left"/>
              <w:rPr/>
            </w:pPr>
            <w:r>
              <w:rPr/>
              <w:t>​</w:t>
            </w:r>
          </w:p>
        </w:tc>
        <w:tc>
          <w:tcPr>
            <w:tcW w:w="66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700" w:type="dxa"/>
            <w:tcBorders/>
            <w:vAlign w:val="center"/>
          </w:tcPr>
          <w:p>
            <w:pPr>
              <w:pStyle w:val="TableContents"/>
              <w:bidi w:val="0"/>
              <w:spacing w:before="0" w:after="1"/>
              <w:ind w:left="0" w:right="0" w:hanging="0"/>
              <w:jc w:val="right"/>
              <w:rPr/>
            </w:pPr>
            <w:r>
              <w:rPr/>
              <w:t>​</w:t>
            </w:r>
          </w:p>
        </w:tc>
      </w:tr>
      <w:tr>
        <w:trPr/>
        <w:tc>
          <w:tcPr>
            <w:tcW w:w="38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outstanding at June 30, 2025</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20,401,232</w:t>
            </w:r>
          </w:p>
        </w:tc>
        <w:tc>
          <w:tcPr>
            <w:tcW w:w="32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 </w:t>
            </w:r>
          </w:p>
        </w:tc>
        <w:tc>
          <w:tcPr>
            <w:tcW w:w="70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4,872</w:t>
            </w:r>
          </w:p>
        </w:tc>
      </w:tr>
      <w:tr>
        <w:trPr/>
        <w:tc>
          <w:tcPr>
            <w:tcW w:w="38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vested and expected to vest at June 30, 2025</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20,401,232</w:t>
            </w:r>
          </w:p>
        </w:tc>
        <w:tc>
          <w:tcPr>
            <w:tcW w:w="32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w:t>
            </w:r>
          </w:p>
        </w:tc>
        <w:tc>
          <w:tcPr>
            <w:tcW w:w="3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 </w:t>
            </w:r>
          </w:p>
        </w:tc>
        <w:tc>
          <w:tcPr>
            <w:tcW w:w="70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4,872</w:t>
            </w:r>
          </w:p>
        </w:tc>
      </w:tr>
    </w:tbl>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Exercise price of options outstanding ranges from $0.67</w:t>
            </w:r>
            <w:r>
              <w:rPr>
                <w:caps w:val="false"/>
                <w:smallCaps w:val="false"/>
              </w:rPr>
              <w:t xml:space="preserve"> </w:t>
            </w:r>
            <w:r>
              <w:rPr>
                <w:rFonts w:ascii="Times New Roman;Times;serif" w:hAnsi="Times New Roman;Times;serif"/>
                <w:b w:val="false"/>
                <w:i w:val="false"/>
                <w:caps w:val="false"/>
                <w:smallCaps w:val="false"/>
                <w:sz w:val="20"/>
              </w:rPr>
              <w:t>to $876</w:t>
            </w:r>
            <w:r>
              <w:rPr>
                <w:caps w:val="false"/>
                <w:smallCaps w:val="false"/>
              </w:rPr>
              <w:t xml:space="preserve"> </w:t>
            </w:r>
            <w:r>
              <w:rPr>
                <w:rFonts w:ascii="Times New Roman;Times;serif" w:hAnsi="Times New Roman;Times;serif"/>
                <w:b w:val="false"/>
                <w:i w:val="false"/>
                <w:caps w:val="false"/>
                <w:smallCaps w:val="false"/>
                <w:sz w:val="20"/>
              </w:rPr>
              <w:t>as of June 30, 2025</w:t>
            </w:r>
            <w:r>
              <w:rPr>
                <w:rFonts w:ascii="Times New Roman;Times;serif" w:hAnsi="Times New Roman;Times;serif"/>
                <w:b w:val="false"/>
                <w:i/>
                <w:sz w:val="20"/>
              </w:rPr>
              <w:t xml:space="preserve">. </w:t>
            </w:r>
            <w:r>
              <w:rPr>
                <w:rFonts w:ascii="Times New Roman;Times;serif" w:hAnsi="Times New Roman;Times;serif"/>
                <w:b w:val="false"/>
                <w:i w:val="false"/>
                <w:caps w:val="false"/>
                <w:smallCaps w:val="false"/>
                <w:sz w:val="20"/>
              </w:rPr>
              <w:t>The higher end of the range is due to the impact of several reverse stock splits during the years 2015 to 2018.</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2025, 8.3 million stock options were exercisable. As of June 30, 2025</w:t>
      </w:r>
      <w:r>
        <w:rPr>
          <w:rFonts w:ascii="Times New Roman;Times;serif" w:hAnsi="Times New Roman;Times;serif"/>
          <w:i/>
          <w:sz w:val="20"/>
        </w:rPr>
        <w:t xml:space="preserve">, </w:t>
      </w:r>
      <w:r>
        <w:rPr>
          <w:rFonts w:ascii="Times New Roman;Times;serif" w:hAnsi="Times New Roman;Times;serif"/>
          <w:sz w:val="20"/>
        </w:rPr>
        <w:t>the total unrecognized compensation expense, net of actual forfeitures and expirations, relating to stock options was $10.0 million, which is expected to be expensed over the remaining weighted-average recognition period of approximately 1.9 years.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Restricted stock</w:t>
      </w:r>
      <w:r>
        <w:rPr>
          <w:rFonts w:ascii="Times New Roman;Times;serif" w:hAnsi="Times New Roman;Times;serif"/>
          <w:sz w:val="20"/>
        </w:rPr>
        <w:t xml:space="preserve">. The Company periodically grants restricted stock awards to employees and directors. The vesting period for restricted stock awards granted may be based upon a service period or based upon the attainment of performance objectives. The Company recognizes stock-based compensation over the vesting period, which for awards that vest based on a service period is generally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to three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1356" w:name="Tc_8asEl-U2D0WZOgqimskDfw_9_4"/>
      <w:bookmarkStart w:id="1357" w:name="Tc_UGidTsIho0CXs7GJYmjFAw_9_0"/>
      <w:bookmarkStart w:id="1358" w:name="Tc_b8ceUg2RkU66WCrDf5YnyA_8_4"/>
      <w:bookmarkStart w:id="1359" w:name="Tc_jcYPKgJxwUSOfzythwDilw_8_0"/>
      <w:bookmarkStart w:id="1360" w:name="Tc_4WBybXI5B0SQu7H3lEGvaQ_7_4"/>
      <w:bookmarkStart w:id="1361" w:name="Tc_3Ly4xXY49U-LfyXR32ugoQ_7_0"/>
      <w:bookmarkStart w:id="1362" w:name="Tc_lOB6u1G8Zk2ELA0eg1rOCg_6_4"/>
      <w:bookmarkStart w:id="1363" w:name="Tc_9m5_GCkj8EC3cXgjV8hW6w_6_0"/>
      <w:bookmarkStart w:id="1364" w:name="Tc_MF0JmWn_OkqyLU7VwZbJuQ_5_4"/>
      <w:bookmarkStart w:id="1365" w:name="Tc_qRmnTd_afEOC172DNTX7wg_5_0"/>
      <w:bookmarkStart w:id="1366" w:name="Tc_26GsDzHp50GtBw1ZizZeRA_4_4"/>
      <w:bookmarkStart w:id="1367" w:name="Tc_3Sa4Za4ys0KFQvUtvYMnSQ_4_2"/>
      <w:bookmarkStart w:id="1368" w:name="Tc_HW6g9NUn2kurakompEG9MA_3_4"/>
      <w:bookmarkStart w:id="1369" w:name="Tc_dSAQ2EV75EW6Noi8K9ilKg_3_2"/>
      <w:bookmarkStart w:id="1370" w:name="Tc_YOK5vuL_JUOcsUMfPOJInA_2_4"/>
      <w:bookmarkStart w:id="1371" w:name="Tc_s4PIV3bbXUuIo5DMCTueRw_1_4"/>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r>
        <w:rPr>
          <w:rFonts w:ascii="Times New Roman;Times;serif" w:hAnsi="Times New Roman;Times;serif"/>
          <w:sz w:val="20"/>
        </w:rPr>
        <w:t>Non-vested restricted stock awards and the changes during the six months ended June 30, 2025, were as follows:</w:t>
      </w:r>
    </w:p>
    <w:p>
      <w:pPr>
        <w:pStyle w:val="TextBody"/>
        <w:bidi w:val="0"/>
        <w:spacing w:before="0" w:after="0"/>
        <w:ind w:left="0" w:right="0" w:hanging="0"/>
        <w:jc w:val="left"/>
        <w:rPr/>
      </w:pPr>
      <w:r>
        <w:rPr/>
        <w:t>​</w:t>
      </w:r>
    </w:p>
    <w:tbl>
      <w:tblPr>
        <w:tblW w:w="5650" w:type="dxa"/>
        <w:jc w:val="left"/>
        <w:tblInd w:w="0" w:type="dxa"/>
        <w:tblLayout w:type="fixed"/>
        <w:tblCellMar>
          <w:top w:w="0" w:type="dxa"/>
          <w:left w:w="0" w:type="dxa"/>
          <w:bottom w:w="0" w:type="dxa"/>
          <w:right w:w="0" w:type="dxa"/>
        </w:tblCellMar>
      </w:tblPr>
      <w:tblGrid>
        <w:gridCol w:w="2941"/>
        <w:gridCol w:w="326"/>
        <w:gridCol w:w="1051"/>
        <w:gridCol w:w="326"/>
        <w:gridCol w:w="270"/>
        <w:gridCol w:w="736"/>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867535" cy="175260"/>
                      <wp:effectExtent l="0" t="0" r="0" b="0"/>
                      <wp:wrapNone/>
                      <wp:docPr id="337" name="Frame337"/>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07010" cy="175260"/>
                      <wp:effectExtent l="0" t="0" r="0" b="0"/>
                      <wp:wrapNone/>
                      <wp:docPr id="338" name="Frame3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67385" cy="175260"/>
                      <wp:effectExtent l="0" t="0" r="0" b="0"/>
                      <wp:wrapNone/>
                      <wp:docPr id="339" name="Frame33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07010" cy="175260"/>
                      <wp:effectExtent l="0" t="0" r="0" b="0"/>
                      <wp:wrapNone/>
                      <wp:docPr id="340" name="Frame3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71450" cy="175260"/>
                      <wp:effectExtent l="0" t="0" r="0" b="0"/>
                      <wp:wrapNone/>
                      <wp:docPr id="341" name="Frame341"/>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467360" cy="175260"/>
                      <wp:effectExtent l="0" t="0" r="0" b="0"/>
                      <wp:wrapNone/>
                      <wp:docPr id="342" name="Frame34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Weighted- </w:t>
            </w:r>
          </w:p>
        </w:tc>
      </w:tr>
      <w:tr>
        <w:trPr/>
        <w:tc>
          <w:tcPr>
            <w:tcW w:w="29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Average </w:t>
            </w:r>
          </w:p>
        </w:tc>
      </w:tr>
      <w:tr>
        <w:trPr/>
        <w:tc>
          <w:tcPr>
            <w:tcW w:w="29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Number of </w:t>
            </w:r>
          </w:p>
        </w:tc>
        <w:tc>
          <w:tcPr>
            <w:tcW w:w="326" w:type="dxa"/>
            <w:tcBorders/>
            <w:vAlign w:val="center"/>
          </w:tcPr>
          <w:p>
            <w:pPr>
              <w:pStyle w:val="TableContents"/>
              <w:bidi w:val="0"/>
              <w:spacing w:before="0" w:after="1"/>
              <w:ind w:left="0" w:right="0" w:hanging="0"/>
              <w:jc w:val="center"/>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Grant-Date</w:t>
            </w:r>
          </w:p>
        </w:tc>
      </w:tr>
      <w:tr>
        <w:trPr/>
        <w:tc>
          <w:tcPr>
            <w:tcW w:w="29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December 31, 2024</w:t>
            </w:r>
          </w:p>
        </w:tc>
        <w:tc>
          <w:tcPr>
            <w:tcW w:w="32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7,588,144</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2,360,659</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 and issued</w:t>
            </w:r>
          </w:p>
        </w:tc>
        <w:tc>
          <w:tcPr>
            <w:tcW w:w="32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(1,738,146)</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0.77</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 and expired</w:t>
            </w:r>
          </w:p>
        </w:tc>
        <w:tc>
          <w:tcPr>
            <w:tcW w:w="326" w:type="dxa"/>
            <w:tcBorders/>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(285,771)</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Non-vested at June 30, 2025</w:t>
            </w:r>
          </w:p>
        </w:tc>
        <w:tc>
          <w:tcPr>
            <w:tcW w:w="326" w:type="dxa"/>
            <w:tcBorders/>
            <w:shd w:fill="CCEEFF" w:val="clear"/>
            <w:vAlign w:val="center"/>
          </w:tcPr>
          <w:p>
            <w:pPr>
              <w:pStyle w:val="TableContents"/>
              <w:bidi w:val="0"/>
              <w:spacing w:before="0" w:after="1"/>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7,924,886</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1.18</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2025, the total unrecognized compensation expense, net of actual forfeitures and expirations, relating to restricted stock awards was $6.6 million, which is expected to be recognized over the remaining weighted-average period of approximately 1.9 years.</w:t>
      </w:r>
    </w:p>
    <w:tbl>
      <w:tblPr>
        <w:tblW w:w="1712" w:type="dxa"/>
        <w:jc w:val="left"/>
        <w:tblInd w:w="0" w:type="dxa"/>
        <w:tblLayout w:type="fixed"/>
        <w:tblCellMar>
          <w:top w:w="0" w:type="dxa"/>
          <w:left w:w="0" w:type="dxa"/>
          <w:bottom w:w="0" w:type="dxa"/>
          <w:right w:w="0" w:type="dxa"/>
        </w:tblCellMar>
      </w:tblPr>
      <w:tblGrid>
        <w:gridCol w:w="376"/>
        <w:gridCol w:w="133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18.</w:t>
            </w:r>
          </w:p>
        </w:tc>
        <w:tc>
          <w:tcPr>
            <w:tcW w:w="13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incurred operating losses since inception; therefore, no provision for income taxes was recorded and all related deferred tax assets are fully reserved. We continue to assess the impact of our deferred tax assets as they relate to income taxes. Our effective tax rate from continuing operations was 0% for each of the three and six months ended June 30, 2025 and 2024. The rate differs from the U.S. Federal statutory tax rate of 21% due to a full valuation allowance.</w:t>
      </w:r>
    </w:p>
    <w:tbl>
      <w:tblPr>
        <w:tblW w:w="3302" w:type="dxa"/>
        <w:jc w:val="left"/>
        <w:tblInd w:w="0" w:type="dxa"/>
        <w:tblLayout w:type="fixed"/>
        <w:tblCellMar>
          <w:top w:w="0" w:type="dxa"/>
          <w:left w:w="0" w:type="dxa"/>
          <w:bottom w:w="0" w:type="dxa"/>
          <w:right w:w="0" w:type="dxa"/>
        </w:tblCellMar>
      </w:tblPr>
      <w:tblGrid>
        <w:gridCol w:w="376"/>
        <w:gridCol w:w="292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19.</w:t>
            </w:r>
          </w:p>
        </w:tc>
        <w:tc>
          <w:tcPr>
            <w:tcW w:w="29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Legal Matters</w:t>
      </w:r>
      <w:r>
        <w:rPr>
          <w:rFonts w:ascii="Times New Roman;Times;serif" w:hAnsi="Times New Roman;Times;serif"/>
          <w:sz w:val="20"/>
        </w:rPr>
        <w:t>. From time to time, the Company has been, and may again become, involved in legal proceedings arising in the ordinary course of its business. The Company is not presently a party to any litigation and is not aware of any pending or threatened litigation against the Company that it believes could have a material adverse effect on its business, operating results, financial condition or cash flows.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State Tax Audit. </w:t>
      </w:r>
      <w:r>
        <w:rPr>
          <w:rFonts w:ascii="Times New Roman;Times;serif" w:hAnsi="Times New Roman;Times;serif"/>
          <w:sz w:val="20"/>
        </w:rPr>
        <w:t>During 2023, the Company was notified of a pending sales and use tax audit by the South Dakota Department of Revenue for the period covering January 2021 through December 2023. Although the final resolution of the Company’s sales and use tax audit is uncertain, based on current information, in the opinion of the Company’s management, the Company concluded that certain losses on litigation were probable and estimable; as a result, the Company recorded $1.9 million accrual for use tax contingencies, included in Accounts payable and accrued liabilities on the Condensed Consolidated Balance Sheets.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Indemnifications</w:t>
      </w:r>
      <w:r>
        <w:rPr>
          <w:rFonts w:ascii="Times New Roman;Times;serif" w:hAnsi="Times New Roman;Times;serif"/>
          <w:sz w:val="20"/>
        </w:rPr>
        <w:t>. In the ordinary course of its business, the Company makes certain indemnities under which it may be required to make payments in relation to certain transactions. As of June 30, 2025</w:t>
      </w:r>
      <w:r>
        <w:rPr>
          <w:rFonts w:ascii="Times New Roman;Times;serif" w:hAnsi="Times New Roman;Times;serif"/>
          <w:i/>
          <w:sz w:val="20"/>
        </w:rPr>
        <w:t xml:space="preserve">, </w:t>
      </w:r>
      <w:r>
        <w:rPr>
          <w:rFonts w:ascii="Times New Roman;Times;serif" w:hAnsi="Times New Roman;Times;serif"/>
          <w:sz w:val="20"/>
        </w:rPr>
        <w:t>the Company did not have any liabilities associated with indemnities.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the Company indemnifies its officers and directors for certain events or occurrences, subject to certain limitations. The duration of these indemnifications, commitments, and guarantees varies and, in certain cases, is indefinite. The maximum amount of potential future indemnification is unlimited; however, the Company has a director and officer insurance policy that may enable it to recover a portion of any future amounts paid. The Company accrues losses for any known contingent liability, including those that may arise from indemnification provisions, when future payment is probable. No such losses have been recorded to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1372" w:name="Tc_aex14JWjGkaomRqWmLuBxg_10_20"/>
      <w:bookmarkStart w:id="1373" w:name="Tc_wYyxa8LooUueHO_ssCzGPQ_10_17"/>
      <w:bookmarkStart w:id="1374" w:name="Tc_mEXVWufddEaEivmn3fNxHw_10_14"/>
      <w:bookmarkStart w:id="1375" w:name="Tc_8NgJQXHrp0WoFjiZrc3rpw_10_11"/>
      <w:bookmarkStart w:id="1376" w:name="Tc_DKBZlJGJTE-TvO7u6HrgUg_10_8"/>
      <w:bookmarkStart w:id="1377" w:name="Tc_Np_DKi6sbUCQT9LZoJJz7Q_10_5"/>
      <w:bookmarkStart w:id="1378" w:name="Tc_FJmumk_pUk654s1643tWrg_10_2"/>
      <w:bookmarkStart w:id="1379" w:name="Tc_FyBaCC7sgkem2K0VV1wR-g_10_0"/>
      <w:bookmarkStart w:id="1380" w:name="Tc_1xjbKJ-o4UC-nFKXztI7Jg_9_18"/>
      <w:bookmarkStart w:id="1381" w:name="Tc_Nf31ZGL8oUmjA8rG3ppwlw_9_15"/>
      <w:bookmarkStart w:id="1382" w:name="Tc_9WPsEnJfgUSXcN3BWe-xRw_9_12"/>
      <w:bookmarkStart w:id="1383" w:name="Tc_jJX-xkkraUGmvItbMoCr0w_9_9"/>
      <w:bookmarkStart w:id="1384" w:name="Tc_QeNnzkr1BUyLLg2voqTsvw_9_6"/>
      <w:bookmarkStart w:id="1385" w:name="Tc_mWvehVMWrUqM8rd_R2SyDA_9_0"/>
      <w:bookmarkStart w:id="1386" w:name="Tc_Tzy9WeP6tUKJOR6hSS-pug_8_18"/>
      <w:bookmarkStart w:id="1387" w:name="Tc_njAY8X9N-UO3sSO4sUaxTA_8_0"/>
      <w:bookmarkStart w:id="1388" w:name="Tc_Fqr6gppp00aXMl-Igk5mKw_7_0"/>
      <w:bookmarkStart w:id="1389" w:name="Tc_fblXFxjzskyeSmXvrSi5_Q_6_18"/>
      <w:bookmarkStart w:id="1390" w:name="Tc_DVyPdfo2L0iki3EIeKfWdg_6_15"/>
      <w:bookmarkStart w:id="1391" w:name="Tc_rJDnmDBRg068VuiqUT1S7w_6_12"/>
      <w:bookmarkStart w:id="1392" w:name="Tc_p-Y2Vs297kiq7Fun0Iv1MQ_6_9"/>
      <w:bookmarkStart w:id="1393" w:name="Tc_LDJf24xMzEiv3Hhs9tfaAw_6_6"/>
      <w:bookmarkStart w:id="1394" w:name="Tc_wP0ApwOpHUaf3L0Cxwyl4A_6_0"/>
      <w:bookmarkStart w:id="1395" w:name="Tc_8V8QOgWYqEaokV6q0KWvIw_5_18"/>
      <w:bookmarkStart w:id="1396" w:name="Tc_bbVhqWklW06IsVOXamlVOw_5_15"/>
      <w:bookmarkStart w:id="1397" w:name="Tc_ALUSsOkYjEqE47bpI5ij7w_5_12"/>
      <w:bookmarkStart w:id="1398" w:name="Tc_-PC4IpIMWkiZ1fKXItVP5w_5_3"/>
      <w:bookmarkStart w:id="1399" w:name="Tc_oLKqYEGR3UGRVq47A7r1JQ_5_0"/>
      <w:bookmarkStart w:id="1400" w:name="Tc_MToR-GPNm06OlMbMKy_1_A_4_20"/>
      <w:bookmarkStart w:id="1401" w:name="Tc_NGg2BUQY_UC7Vmwzrf2vHw_4_17"/>
      <w:bookmarkStart w:id="1402" w:name="Tc_U-qe0VmqeUyJDCbo52eN3A_4_14"/>
      <w:bookmarkStart w:id="1403" w:name="Tc_vfSOQOu4ZUKjrgSANk8tUg_4_11"/>
      <w:bookmarkStart w:id="1404" w:name="Tc__rwqVkj78EO9cHqRia6JBg_4_8"/>
      <w:bookmarkStart w:id="1405" w:name="Tc_E5QFrypxa0ecAC0Gz02-nA_4_5"/>
      <w:bookmarkStart w:id="1406" w:name="Tc_vx74vBtpv0yKtKwVNEjq7g_4_2"/>
      <w:bookmarkStart w:id="1407" w:name="Tc_SKfdUZmDF0iKU0mY6k0dDw_4_0"/>
      <w:bookmarkStart w:id="1408" w:name="Tc_cX17uAkkKkiQLacZYawl_A_3_20"/>
      <w:bookmarkStart w:id="1409" w:name="Tc_cs3tTO9rcUulVz_8RIuVpw_3_17"/>
      <w:bookmarkStart w:id="1410" w:name="Tc_yA8c1J78fkGDtvRv_qJ4VA_3_14"/>
      <w:bookmarkStart w:id="1411" w:name="Tc_4dPfY8kDA0Ww_ygrNqoeHw_3_11"/>
      <w:bookmarkStart w:id="1412" w:name="Tc_hE6DAVj2kU-48zXenzPzkA_3_8"/>
      <w:bookmarkStart w:id="1413" w:name="Tc_PNrq4ahCOke9J-zjpYdL2A_3_5"/>
      <w:bookmarkStart w:id="1414" w:name="Tc_nI9FJo8AHUWNVMp13YslFw_3_2"/>
      <w:bookmarkStart w:id="1415" w:name="Tc_5b4uK1R8nkqvg3mS3OSSwA_2_17"/>
      <w:bookmarkStart w:id="1416" w:name="Tc_fJyUbN9fd0-jvvdonE_CJQ_1_2"/>
      <w:bookmarkStart w:id="1417" w:name="_96d4c6dd_6bd9_4c29_a011_dd7a95d48a26"/>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r>
        <w:rPr>
          <w:rFonts w:ascii="Times New Roman;Times;serif" w:hAnsi="Times New Roman;Times;serif"/>
          <w:i/>
          <w:sz w:val="20"/>
        </w:rPr>
        <w:t>Environmental Liabilities</w:t>
      </w:r>
      <w:r>
        <w:rPr>
          <w:rFonts w:ascii="Times New Roman;Times;serif" w:hAnsi="Times New Roman;Times;serif"/>
          <w:sz w:val="20"/>
        </w:rPr>
        <w:t>. The Company’s operations are subject to environmental laws and regulations adopted by various governmental authorities in the jurisdictions in which it operates. These laws require the Company to investigate and remediate the effects of the release or disposal of materials at its locations. Accordingly, the Company has adopted policies, practices and procedures in the areas of pollution control, occupational health and the production, handling, storage and use of hazardous materials to prevent material environmental or other damage, and to limit the financial liability which could result from such events. Environmental liabilities are recorded when the Company’s liability is probable, and the costs can be reasonably estimated. No environmental liabilities have been recorded as of June 30,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Fuel Supply Commitment.</w:t>
      </w:r>
      <w:r>
        <w:rPr>
          <w:rFonts w:ascii="Times New Roman;Times;serif" w:hAnsi="Times New Roman;Times;serif"/>
          <w:sz w:val="20"/>
        </w:rPr>
        <w:t xml:space="preserve"> The Company has three long-term fuel supply contracts to source feedstock for the anaerobic digesters at the NW Iowa RNG </w:t>
      </w:r>
      <w:r>
        <w:rPr>
          <w:rFonts w:ascii="Times New Roman;Times;serif" w:hAnsi="Times New Roman;Times;serif"/>
          <w:color w:val="212529"/>
          <w:sz w:val="20"/>
          <w:shd w:fill="FFFFFF" w:val="clear"/>
        </w:rPr>
        <w:t>business</w:t>
      </w:r>
      <w:r>
        <w:rPr>
          <w:rFonts w:ascii="Times New Roman;Times;serif" w:hAnsi="Times New Roman;Times;serif"/>
          <w:sz w:val="20"/>
        </w:rPr>
        <w:t>. These contracts provide an annual amount of feedstock to be used in the production of RNG.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Firm Purchase Commitments for Corn. </w:t>
      </w:r>
      <w:r>
        <w:rPr>
          <w:rFonts w:ascii="Times New Roman;Times;serif" w:hAnsi="Times New Roman;Times;serif"/>
          <w:sz w:val="20"/>
        </w:rPr>
        <w:t>To ensure an adequate supply of corn to operate the GevoND plant, the Company enters into contracts to purchase corn from local farmers and elevators. As of June 30, 2025, the Company had various fixed price contracts for the purchase of approximately 3.2 million bushels of corn. Using the stated contract price for the fixed price contracts, the Company had commitments of approximately $13.8 million related to the 3.2 million bushels under contract.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estimated commitments as of June 30, 2025, and thereafter are shown below (in thousands):</w:t>
      </w:r>
    </w:p>
    <w:tbl>
      <w:tblPr>
        <w:tblW w:w="10205" w:type="dxa"/>
        <w:jc w:val="left"/>
        <w:tblInd w:w="0" w:type="dxa"/>
        <w:tblLayout w:type="fixed"/>
        <w:tblCellMar>
          <w:top w:w="0" w:type="dxa"/>
          <w:left w:w="0" w:type="dxa"/>
          <w:bottom w:w="0" w:type="dxa"/>
          <w:right w:w="0" w:type="dxa"/>
        </w:tblCellMar>
      </w:tblPr>
      <w:tblGrid>
        <w:gridCol w:w="2029"/>
        <w:gridCol w:w="326"/>
        <w:gridCol w:w="211"/>
        <w:gridCol w:w="676"/>
        <w:gridCol w:w="326"/>
        <w:gridCol w:w="211"/>
        <w:gridCol w:w="571"/>
        <w:gridCol w:w="326"/>
        <w:gridCol w:w="211"/>
        <w:gridCol w:w="571"/>
        <w:gridCol w:w="326"/>
        <w:gridCol w:w="211"/>
        <w:gridCol w:w="571"/>
        <w:gridCol w:w="326"/>
        <w:gridCol w:w="211"/>
        <w:gridCol w:w="571"/>
        <w:gridCol w:w="326"/>
        <w:gridCol w:w="211"/>
        <w:gridCol w:w="676"/>
        <w:gridCol w:w="326"/>
        <w:gridCol w:w="211"/>
        <w:gridCol w:w="781"/>
      </w:tblGrid>
      <w:tr>
        <w:trPr/>
        <w:tc>
          <w:tcPr>
            <w:tcW w:w="202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r>
      <w:tr>
        <w:trPr/>
        <w:tc>
          <w:tcPr>
            <w:tcW w:w="202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850" w:type="dxa"/>
            <w:gridSpan w:val="2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02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2030 and</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r>
      <w:tr>
        <w:trPr/>
        <w:tc>
          <w:tcPr>
            <w:tcW w:w="202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2027</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2028</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2029</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thereafter</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0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Fuel supply payments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23,742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32,317</w:t>
            </w:r>
          </w:p>
        </w:tc>
      </w:tr>
      <w:tr>
        <w:trPr/>
        <w:tc>
          <w:tcPr>
            <w:tcW w:w="20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East River commitment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6,858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7,053</w:t>
            </w:r>
          </w:p>
        </w:tc>
      </w:tr>
      <w:tr>
        <w:trPr/>
        <w:tc>
          <w:tcPr>
            <w:tcW w:w="20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Firm purchase commitments for corn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13,790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13,790</w:t>
            </w:r>
          </w:p>
        </w:tc>
      </w:tr>
      <w:tr>
        <w:trPr/>
        <w:tc>
          <w:tcPr>
            <w:tcW w:w="20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Renewable energy credits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2,178</w:t>
            </w:r>
          </w:p>
        </w:tc>
      </w:tr>
      <w:tr>
        <w:trPr/>
        <w:tc>
          <w:tcPr>
            <w:tcW w:w="20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Water purchases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2,120</w:t>
            </w:r>
          </w:p>
        </w:tc>
      </w:tr>
      <w:tr>
        <w:trPr/>
        <w:tc>
          <w:tcPr>
            <w:tcW w:w="20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Electricity above use (est.)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w:t>
            </w:r>
          </w:p>
        </w:tc>
      </w:tr>
      <w:tr>
        <w:trPr/>
        <w:tc>
          <w:tcPr>
            <w:tcW w:w="20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15,679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9,484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25,210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57,963</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tbl>
      <w:tblPr>
        <w:tblW w:w="2717" w:type="dxa"/>
        <w:jc w:val="left"/>
        <w:tblInd w:w="0" w:type="dxa"/>
        <w:tblLayout w:type="fixed"/>
        <w:tblCellMar>
          <w:top w:w="0" w:type="dxa"/>
          <w:left w:w="0" w:type="dxa"/>
          <w:bottom w:w="0" w:type="dxa"/>
          <w:right w:w="0" w:type="dxa"/>
        </w:tblCellMar>
      </w:tblPr>
      <w:tblGrid>
        <w:gridCol w:w="376"/>
        <w:gridCol w:w="234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20.</w:t>
            </w:r>
          </w:p>
        </w:tc>
        <w:tc>
          <w:tcPr>
            <w:tcW w:w="23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Fair Value Measurements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Accounting standards define fair value, outline a framework for measuring fair value, and detail the required disclosures about fair value measurements. Under these standards, fair value is defined as the price that would be received to sell an asset or paid to transfer a liability in an orderly transaction between market participants at the measurement date in the principal or most advantageous market. Standards establish a hierarchy in determining the fair market value of an asset or liability. The fair value hierarchy has three levels of inputs, both observable and unobservable. Standards require the utilization of the highest possible level of input to determine fair value.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Level 1 – inputs include quoted market prices in an active market for identical assets or liabilities.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Level 2 – inputs are market data, other than Level 1, that are observable either directly or indirectly. Level 2 inputs include quoted market prices for similar assets or liabilities, quoted market prices in an inactive market, and other observable information that can be corroborated by market data.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Level 3 – inputs are unobservable and corroborated by little or no market data.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1418" w:name="Tc_rIsodZgS4kCEiiuJPsyf-g_4_5"/>
      <w:bookmarkStart w:id="1419" w:name="Tc_Gi8ALgDRRUeSPWc4-2qCwQ_4_2"/>
      <w:bookmarkStart w:id="1420" w:name="Tc_IYJHiydPD0OwbvWh9PENXw_4_0"/>
      <w:bookmarkStart w:id="1421" w:name="Tc_gqi51rBeM06TOOdvfxJ4vQ_3_5"/>
      <w:bookmarkStart w:id="1422" w:name="Tc_O7V1Zs2s0k-boTFlbnJZEw_3_2"/>
      <w:bookmarkStart w:id="1423" w:name="Tc_2SWUjeMhvk2kGFypKQ9F2A_3_0"/>
      <w:bookmarkStart w:id="1424" w:name="Tc_geINwEEtxk-19py5f2fu3Q_2_5"/>
      <w:bookmarkStart w:id="1425" w:name="Tc_EB1q3GBfFUm_xJP-LxTt0g_2_2"/>
      <w:bookmarkStart w:id="1426" w:name="Tc_190V-zBSXEqJmxFIOz-tog_1_5"/>
      <w:bookmarkStart w:id="1427" w:name="Tc__08vH83NUkmoIGKpddjG5w_1_2"/>
      <w:bookmarkStart w:id="1428" w:name="_18d12e03_a13d_409e_8729_688794843e88"/>
      <w:bookmarkStart w:id="1429" w:name="_775d7b11_0e2d_4f53_8bb2_293329ad70dc_3"/>
      <w:bookmarkStart w:id="1430" w:name="_775d7b11_0e2d_4f53_8bb2_293329ad70dc_2"/>
      <w:bookmarkStart w:id="1431" w:name="_775d7b11_0e2d_4f53_8bb2_293329ad70dc"/>
      <w:bookmarkStart w:id="1432" w:name="_b7f9548f_3fdd_4498_ad82_622947735407_3"/>
      <w:bookmarkStart w:id="1433" w:name="_b7f9548f_3fdd_4498_ad82_622947735407_2"/>
      <w:bookmarkStart w:id="1434" w:name="_b7f9548f_3fdd_4498_ad82_622947735407"/>
      <w:bookmarkStart w:id="1435" w:name="_9ece3f79_e49f_49ff_9c27_d1a940af827b_3"/>
      <w:bookmarkStart w:id="1436" w:name="_9ece3f79_e49f_49ff_9c27_d1a940af827b_2"/>
      <w:bookmarkStart w:id="1437" w:name="_9ece3f79_e49f_49ff_9c27_d1a940af827b"/>
      <w:bookmarkStart w:id="1438" w:name="_87ca7004_82c6_41ad_a28f_9c6acf90143c_3"/>
      <w:bookmarkStart w:id="1439" w:name="_87ca7004_82c6_41ad_a28f_9c6acf90143c_2"/>
      <w:bookmarkStart w:id="1440" w:name="_87ca7004_82c6_41ad_a28f_9c6acf90143c"/>
      <w:bookmarkStart w:id="1441" w:name="_aad1b77c_c53b_4b28_877f_bb8f744c5462_3"/>
      <w:bookmarkStart w:id="1442" w:name="_aad1b77c_c53b_4b28_877f_bb8f744c5462_2"/>
      <w:bookmarkStart w:id="1443" w:name="_aad1b77c_c53b_4b28_877f_bb8f744c5462"/>
      <w:bookmarkStart w:id="1444" w:name="Tc_r3eQduPVm0agICLezWE3IA_9_11"/>
      <w:bookmarkStart w:id="1445" w:name="Tc_h_8WEFIOZUa2lXtf-jkGew_9_8"/>
      <w:bookmarkStart w:id="1446" w:name="Tc_I2iYTFOGNE66VJ2_Kk8O1g_9_5"/>
      <w:bookmarkStart w:id="1447" w:name="Tc_-d_cHVI6GUm9IKAkpuleKg_9_2"/>
      <w:bookmarkStart w:id="1448" w:name="Tc_f-Kvc9b9v029xzcQa_4Miw_9_0"/>
      <w:bookmarkStart w:id="1449" w:name="Tc_grR0eL1kWUy5T0bmbv6-Uw_8_11"/>
      <w:bookmarkStart w:id="1450" w:name="Tc_Z7mjzCly6kWWKfRdJTVqdg_8_8"/>
      <w:bookmarkStart w:id="1451" w:name="Tc_-Ygd2-SGGka7N1p0WJojiQ_8_5"/>
      <w:bookmarkStart w:id="1452" w:name="Tc_p-11w12ESEyMwyN0i3A3iA_8_2"/>
      <w:bookmarkStart w:id="1453" w:name="Tc_RmNRb20WK06lxhMueQI-OQ_7_11"/>
      <w:bookmarkStart w:id="1454" w:name="Tc_dh0-1NM5VEGAmUGi15oFcA_7_8"/>
      <w:bookmarkStart w:id="1455" w:name="Tc_h-rd0Eoi1UqyeXM2FVy4Fw_7_5"/>
      <w:bookmarkStart w:id="1456" w:name="Tc_J8IEIPHXwkWoBNsMsBIPqQ_7_2"/>
      <w:bookmarkStart w:id="1457" w:name="Tc_-WQR2VpTv02rr1gka0GMqQ_6_11"/>
      <w:bookmarkStart w:id="1458" w:name="Tc_Dyu40_hWCU-IROSyXYEUBA_6_8"/>
      <w:bookmarkStart w:id="1459" w:name="Tc_U9UdkEHoi0ecVkgw9V-a1Q_6_5"/>
      <w:bookmarkStart w:id="1460" w:name="Tc_A89zqZ6y3keV9rdHB9Ug5Q_6_2"/>
      <w:bookmarkStart w:id="1461" w:name="Tc_s69tSC7-I0SaA12hNQLD4A_5_11"/>
      <w:bookmarkStart w:id="1462" w:name="Tc_0fwP_-sfAEqoRKbuRSdDtw_5_8"/>
      <w:bookmarkStart w:id="1463" w:name="Tc_kY1YRhU2NEWIBkqwTXApoA_5_5"/>
      <w:bookmarkStart w:id="1464" w:name="Tc_9ASg6oM3SECGVmJy7EG8bg_4_8"/>
      <w:bookmarkStart w:id="1465" w:name="Tc_iX1F9wQ8FkKoRzAzl8Ghkg_4_5"/>
      <w:bookmarkStart w:id="1466" w:name="Tc_yiRG5_jqM0e-iv5lCN_8iQ_3_5"/>
      <w:bookmarkStart w:id="1467" w:name="Tc_g4RmIMUa3EWJ4bjPZ8MIYQ_2_5"/>
      <w:bookmarkStart w:id="1468" w:name="Tc_oE_AMKZLEEifSpEYD0yU_w_1_5"/>
      <w:bookmarkStart w:id="1469" w:name="_0942fd3f_65f1_41f3_87fd_942b70188cd2"/>
      <w:bookmarkStart w:id="1470" w:name="Tc_6VBBAUAoxUCOG_hropHX3A_11_11"/>
      <w:bookmarkStart w:id="1471" w:name="Tc_H1b8Mw7_cUO1ELu68wfkHg_11_8"/>
      <w:bookmarkStart w:id="1472" w:name="Tc_AIMZbeLQtkCVVdoWqlW5LQ_11_5"/>
      <w:bookmarkStart w:id="1473" w:name="Tc_XgmkV9gjNEOSiJoJFQgIbQ_11_2"/>
      <w:bookmarkStart w:id="1474" w:name="Tc_46DhemkRtkydT3Mr_GbPjA_11_0"/>
      <w:bookmarkStart w:id="1475" w:name="Tc_KyVYfrd2FUuWEsWMsMlkKA_10_0"/>
      <w:bookmarkStart w:id="1476" w:name="Tc_GpZJ1s57tUWYFUCVE97M8w_9_11"/>
      <w:bookmarkStart w:id="1477" w:name="Tc_GfZtl2LcFEWi_L4Srii0lA_9_8"/>
      <w:bookmarkStart w:id="1478" w:name="Tc_ZzLIeQ02IkmlxV1_UqpXYg_9_5"/>
      <w:bookmarkStart w:id="1479" w:name="Tc_k42oVLN_IUeQmVBwqJv_3Q_9_2"/>
      <w:bookmarkStart w:id="1480" w:name="Tc_dpKtLpXhnESKOpDZ7SmVlQ_9_0"/>
      <w:bookmarkStart w:id="1481" w:name="Tc_OxR8vY_uoU2FLADojTq1UQ_8_11"/>
      <w:bookmarkStart w:id="1482" w:name="Tc_nBRwEZXu0kepoLmexnMA4g_8_8"/>
      <w:bookmarkStart w:id="1483" w:name="Tc_PKIVghC2J0m0uuq4kicfqA_8_5"/>
      <w:bookmarkStart w:id="1484" w:name="Tc_5znvsDOmJk67ZrKVgUv0rQ_8_2"/>
      <w:bookmarkStart w:id="1485" w:name="Tc_zaeAekSPhk6xNXiNh56meA_7_11"/>
      <w:bookmarkStart w:id="1486" w:name="Tc_XYtQOeR_RUiKHiHNH3FYNg_7_8"/>
      <w:bookmarkStart w:id="1487" w:name="Tc_23pDgyLUNUWv1icMiEaIOQ_7_5"/>
      <w:bookmarkStart w:id="1488" w:name="Tc_j1WGSfSLtkCZXNfy2p8E4w_7_2"/>
      <w:bookmarkStart w:id="1489" w:name="Tc_6RbC6svSOkWuFFujLDqQKA_6_11"/>
      <w:bookmarkStart w:id="1490" w:name="Tc_5Z1GM_l5h0e5wwDCXiZahQ_6_8"/>
      <w:bookmarkStart w:id="1491" w:name="Tc_yhcjgH2DVEm-p865U2ibQA_6_5"/>
      <w:bookmarkStart w:id="1492" w:name="Tc_Z4Dr5NmqEUapgR6byU7TTg_6_2"/>
      <w:bookmarkStart w:id="1493" w:name="Tc_Pp7IJeW7lEWh4BkJzF3u2g_5_11"/>
      <w:bookmarkStart w:id="1494" w:name="Tc_4maDypCm7k-LF9Hv4-Xzfg_5_8"/>
      <w:bookmarkStart w:id="1495" w:name="Tc_I0XaBHWyJEuxEe77S2QsPQ_5_5"/>
      <w:bookmarkStart w:id="1496" w:name="Tc_s3zdeTR3b0yxu5dTkapt4Q_4_8"/>
      <w:bookmarkStart w:id="1497" w:name="Tc_4anzh1Qve02iVG231OGn5A_4_5"/>
      <w:bookmarkStart w:id="1498" w:name="Tc_dahNF33H_UWkc8hlJ70o4A_3_5"/>
      <w:bookmarkStart w:id="1499" w:name="Tc__s_wWvVUPkisY_SCpLD_Qg_2_5"/>
      <w:bookmarkStart w:id="1500" w:name="Tc_WL0RuQ3RbEenHX7hL4-ZbA_1_5"/>
      <w:bookmarkStart w:id="1501" w:name="_8fb06f93_c7e9_4d55_8ac9_2801ab4926d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r>
        <w:rPr>
          <w:rFonts w:ascii="Times New Roman;Times;serif" w:hAnsi="Times New Roman;Times;serif"/>
          <w:sz w:val="20"/>
        </w:rPr>
        <w:t>The carrying value and fair value, by fair value hierarchy, of the Company’s financial instruments at June 30, 2025, and December 31, 2024 are as follows (in thousands):</w:t>
      </w:r>
    </w:p>
    <w:tbl>
      <w:tblPr>
        <w:tblW w:w="8704" w:type="dxa"/>
        <w:jc w:val="left"/>
        <w:tblInd w:w="0" w:type="dxa"/>
        <w:tblLayout w:type="fixed"/>
        <w:tblCellMar>
          <w:top w:w="0" w:type="dxa"/>
          <w:left w:w="0" w:type="dxa"/>
          <w:bottom w:w="0" w:type="dxa"/>
          <w:right w:w="0" w:type="dxa"/>
        </w:tblCellMar>
      </w:tblPr>
      <w:tblGrid>
        <w:gridCol w:w="3076"/>
        <w:gridCol w:w="326"/>
        <w:gridCol w:w="257"/>
        <w:gridCol w:w="824"/>
        <w:gridCol w:w="326"/>
        <w:gridCol w:w="250"/>
        <w:gridCol w:w="801"/>
        <w:gridCol w:w="386"/>
        <w:gridCol w:w="352"/>
        <w:gridCol w:w="579"/>
        <w:gridCol w:w="386"/>
        <w:gridCol w:w="361"/>
        <w:gridCol w:w="780"/>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953260" cy="175260"/>
                      <wp:effectExtent l="0" t="0" r="0" b="0"/>
                      <wp:wrapNone/>
                      <wp:docPr id="343" name="Frame343"/>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07010" cy="175260"/>
                      <wp:effectExtent l="0" t="0" r="0" b="0"/>
                      <wp:wrapNone/>
                      <wp:docPr id="344" name="Frame3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63195" cy="175260"/>
                      <wp:effectExtent l="0" t="0" r="0" b="0"/>
                      <wp:wrapNone/>
                      <wp:docPr id="345" name="Frame345"/>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523240" cy="175260"/>
                      <wp:effectExtent l="0" t="0" r="0" b="0"/>
                      <wp:wrapNone/>
                      <wp:docPr id="346" name="Frame346"/>
                      <a:graphic xmlns:a="http://schemas.openxmlformats.org/drawingml/2006/main">
                        <a:graphicData uri="http://schemas.microsoft.com/office/word/2010/wordprocessingShape">
                          <wps:wsp>
                            <wps:cNvSpPr txBox="1"/>
                            <wps:spPr>
                              <a:xfrm>
                                <a:off x="0" y="0"/>
                                <a:ext cx="523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07010" cy="175260"/>
                      <wp:effectExtent l="0" t="0" r="0" b="0"/>
                      <wp:wrapNone/>
                      <wp:docPr id="347" name="Frame3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58750" cy="175260"/>
                      <wp:effectExtent l="0" t="0" r="0" b="0"/>
                      <wp:wrapNone/>
                      <wp:docPr id="348" name="Frame348"/>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508635" cy="175260"/>
                      <wp:effectExtent l="0" t="0" r="0" b="0"/>
                      <wp:wrapNone/>
                      <wp:docPr id="349" name="Frame349"/>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45110" cy="175260"/>
                      <wp:effectExtent l="0" t="0" r="0" b="0"/>
                      <wp:wrapNone/>
                      <wp:docPr id="350" name="Frame350"/>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23520" cy="175260"/>
                      <wp:effectExtent l="0" t="0" r="0" b="0"/>
                      <wp:wrapNone/>
                      <wp:docPr id="351" name="Frame351"/>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367665" cy="175260"/>
                      <wp:effectExtent l="0" t="0" r="0" b="0"/>
                      <wp:wrapNone/>
                      <wp:docPr id="352" name="Frame352"/>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45110" cy="175260"/>
                      <wp:effectExtent l="0" t="0" r="0" b="0"/>
                      <wp:wrapNone/>
                      <wp:docPr id="353" name="Frame353"/>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29235" cy="175260"/>
                      <wp:effectExtent l="0" t="0" r="0" b="0"/>
                      <wp:wrapNone/>
                      <wp:docPr id="354" name="Frame35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495300" cy="175260"/>
                      <wp:effectExtent l="0" t="0" r="0" b="0"/>
                      <wp:wrapNone/>
                      <wp:docPr id="355" name="Frame355"/>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57" w:type="dxa"/>
            <w:tcBorders/>
            <w:vAlign w:val="center"/>
          </w:tcPr>
          <w:p>
            <w:pPr>
              <w:pStyle w:val="TableContents"/>
              <w:bidi w:val="0"/>
              <w:spacing w:before="0" w:after="1"/>
              <w:ind w:left="0" w:right="0" w:hanging="0"/>
              <w:jc w:val="left"/>
              <w:rPr/>
            </w:pPr>
            <w:r>
              <w:rPr/>
              <w:t>​</w:t>
            </w:r>
          </w:p>
        </w:tc>
        <w:tc>
          <w:tcPr>
            <w:tcW w:w="82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89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at June 30, 2025</w:t>
            </w:r>
          </w:p>
        </w:tc>
      </w:tr>
      <w:tr>
        <w:trPr/>
        <w:tc>
          <w:tcPr>
            <w:tcW w:w="30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82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w:t>
            </w:r>
          </w:p>
        </w:tc>
        <w:tc>
          <w:tcPr>
            <w:tcW w:w="38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center"/>
              <w:rPr/>
            </w:pPr>
            <w:r>
              <w:rPr/>
              <w:t>​</w:t>
            </w:r>
          </w:p>
        </w:tc>
      </w:tr>
      <w:tr>
        <w:trPr/>
        <w:tc>
          <w:tcPr>
            <w:tcW w:w="30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82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Prices in</w:t>
            </w:r>
          </w:p>
        </w:tc>
        <w:tc>
          <w:tcPr>
            <w:tcW w:w="38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center"/>
              <w:rPr/>
            </w:pPr>
            <w:r>
              <w:rPr/>
              <w:t>​</w:t>
            </w:r>
          </w:p>
        </w:tc>
      </w:tr>
      <w:tr>
        <w:trPr/>
        <w:tc>
          <w:tcPr>
            <w:tcW w:w="30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82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Active</w:t>
            </w:r>
          </w:p>
        </w:tc>
        <w:tc>
          <w:tcPr>
            <w:tcW w:w="386"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8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center"/>
              <w:rPr/>
            </w:pPr>
            <w:r>
              <w:rPr/>
              <w:t>​</w:t>
            </w:r>
          </w:p>
        </w:tc>
      </w:tr>
      <w:tr>
        <w:trPr/>
        <w:tc>
          <w:tcPr>
            <w:tcW w:w="30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82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Markets for</w:t>
            </w:r>
          </w:p>
        </w:tc>
        <w:tc>
          <w:tcPr>
            <w:tcW w:w="386"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86"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30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at</w:t>
            </w:r>
          </w:p>
        </w:tc>
        <w:tc>
          <w:tcPr>
            <w:tcW w:w="32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Identical</w:t>
            </w:r>
          </w:p>
        </w:tc>
        <w:tc>
          <w:tcPr>
            <w:tcW w:w="386"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86"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30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86"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86"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30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86" w:type="dxa"/>
            <w:tcBorders/>
            <w:vAlign w:val="center"/>
          </w:tcPr>
          <w:p>
            <w:pPr>
              <w:pStyle w:val="TableContents"/>
              <w:bidi w:val="0"/>
              <w:spacing w:before="0" w:after="1"/>
              <w:ind w:left="0" w:right="0" w:hanging="0"/>
              <w:jc w:val="left"/>
              <w:rPr/>
            </w:pPr>
            <w:r>
              <w:rPr/>
              <w:t>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86" w:type="dxa"/>
            <w:tcBorders/>
            <w:vAlign w:val="center"/>
          </w:tcPr>
          <w:p>
            <w:pPr>
              <w:pStyle w:val="TableContents"/>
              <w:bidi w:val="0"/>
              <w:spacing w:before="0" w:after="1"/>
              <w:ind w:left="0" w:right="0" w:hanging="0"/>
              <w:jc w:val="left"/>
              <w:rPr/>
            </w:pPr>
            <w:r>
              <w:rPr/>
              <w:t>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0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Cash and cash equivalents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57,257</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57,257</w:t>
            </w:r>
          </w:p>
        </w:tc>
        <w:tc>
          <w:tcPr>
            <w:tcW w:w="38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1"/>
              <w:ind w:left="0" w:right="0" w:hanging="0"/>
              <w:jc w:val="right"/>
              <w:rPr/>
            </w:pPr>
            <w:r>
              <w:rPr/>
              <w:t>—</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Commodities derivative instruments</w:t>
            </w:r>
          </w:p>
        </w:tc>
        <w:tc>
          <w:tcPr>
            <w:tcW w:w="326" w:type="dxa"/>
            <w:tcBorders/>
            <w:vAlign w:val="center"/>
          </w:tcPr>
          <w:p>
            <w:pPr>
              <w:pStyle w:val="TableContents"/>
              <w:bidi w:val="0"/>
              <w:spacing w:before="0" w:after="1"/>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652</w:t>
            </w:r>
          </w:p>
        </w:tc>
        <w:tc>
          <w:tcPr>
            <w:tcW w:w="326"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652</w:t>
            </w:r>
          </w:p>
        </w:tc>
        <w:tc>
          <w:tcPr>
            <w:tcW w:w="386" w:type="dxa"/>
            <w:tcBorders/>
            <w:vAlign w:val="center"/>
          </w:tcPr>
          <w:p>
            <w:pPr>
              <w:pStyle w:val="TableContents"/>
              <w:bidi w:val="0"/>
              <w:spacing w:before="0" w:after="1"/>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36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57,909</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57,909</w:t>
            </w:r>
          </w:p>
        </w:tc>
        <w:tc>
          <w:tcPr>
            <w:tcW w:w="386" w:type="dxa"/>
            <w:tcBorders/>
            <w:shd w:fill="CCEEFF" w:val="clear"/>
            <w:vAlign w:val="center"/>
          </w:tcPr>
          <w:p>
            <w:pPr>
              <w:pStyle w:val="TableContents"/>
              <w:bidi w:val="0"/>
              <w:spacing w:before="0" w:after="1"/>
              <w:ind w:left="0" w:right="0" w:hanging="0"/>
              <w:jc w:val="left"/>
              <w:rPr/>
            </w:pPr>
            <w:r>
              <w:rPr/>
              <w:t>​</w:t>
            </w:r>
          </w:p>
        </w:tc>
        <w:tc>
          <w:tcPr>
            <w:tcW w:w="3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36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firstLine="360"/>
        <w:jc w:val="left"/>
        <w:rPr/>
      </w:pPr>
      <w:r>
        <w:rPr/>
        <w:t>​</w:t>
      </w:r>
    </w:p>
    <w:tbl>
      <w:tblPr>
        <w:tblW w:w="8432" w:type="dxa"/>
        <w:jc w:val="left"/>
        <w:tblInd w:w="0" w:type="dxa"/>
        <w:tblLayout w:type="fixed"/>
        <w:tblCellMar>
          <w:top w:w="0" w:type="dxa"/>
          <w:left w:w="0" w:type="dxa"/>
          <w:bottom w:w="0" w:type="dxa"/>
          <w:right w:w="0" w:type="dxa"/>
        </w:tblCellMar>
      </w:tblPr>
      <w:tblGrid>
        <w:gridCol w:w="2476"/>
        <w:gridCol w:w="326"/>
        <w:gridCol w:w="241"/>
        <w:gridCol w:w="899"/>
        <w:gridCol w:w="326"/>
        <w:gridCol w:w="268"/>
        <w:gridCol w:w="994"/>
        <w:gridCol w:w="415"/>
        <w:gridCol w:w="352"/>
        <w:gridCol w:w="579"/>
        <w:gridCol w:w="415"/>
        <w:gridCol w:w="360"/>
        <w:gridCol w:w="781"/>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572260" cy="175260"/>
                      <wp:effectExtent l="0" t="0" r="0" b="0"/>
                      <wp:wrapNone/>
                      <wp:docPr id="356" name="Frame356"/>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07010" cy="175260"/>
                      <wp:effectExtent l="0" t="0" r="0" b="0"/>
                      <wp:wrapNone/>
                      <wp:docPr id="357" name="Frame3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53035" cy="175260"/>
                      <wp:effectExtent l="0" t="0" r="0" b="0"/>
                      <wp:wrapNone/>
                      <wp:docPr id="358" name="Frame358"/>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570865" cy="175260"/>
                      <wp:effectExtent l="0" t="0" r="0" b="0"/>
                      <wp:wrapNone/>
                      <wp:docPr id="359" name="Frame359"/>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07010" cy="175260"/>
                      <wp:effectExtent l="0" t="0" r="0" b="0"/>
                      <wp:wrapNone/>
                      <wp:docPr id="360" name="Frame3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70180" cy="175260"/>
                      <wp:effectExtent l="0" t="0" r="0" b="0"/>
                      <wp:wrapNone/>
                      <wp:docPr id="361" name="Frame361"/>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31190" cy="175260"/>
                      <wp:effectExtent l="0" t="0" r="0" b="0"/>
                      <wp:wrapNone/>
                      <wp:docPr id="362" name="Frame362"/>
                      <a:graphic xmlns:a="http://schemas.openxmlformats.org/drawingml/2006/main">
                        <a:graphicData uri="http://schemas.microsoft.com/office/word/2010/wordprocessingShape">
                          <wps:wsp>
                            <wps:cNvSpPr txBox="1"/>
                            <wps:spPr>
                              <a:xfrm>
                                <a:off x="0" y="0"/>
                                <a:ext cx="631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63525" cy="175260"/>
                      <wp:effectExtent l="0" t="0" r="0" b="0"/>
                      <wp:wrapNone/>
                      <wp:docPr id="363" name="Frame363"/>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23520" cy="175260"/>
                      <wp:effectExtent l="0" t="0" r="0" b="0"/>
                      <wp:wrapNone/>
                      <wp:docPr id="364" name="Frame364"/>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367665" cy="175260"/>
                      <wp:effectExtent l="0" t="0" r="0" b="0"/>
                      <wp:wrapNone/>
                      <wp:docPr id="365" name="Frame365"/>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63525" cy="175260"/>
                      <wp:effectExtent l="0" t="0" r="0" b="0"/>
                      <wp:wrapNone/>
                      <wp:docPr id="366" name="Frame366"/>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28600" cy="175260"/>
                      <wp:effectExtent l="0" t="0" r="0" b="0"/>
                      <wp:wrapNone/>
                      <wp:docPr id="367" name="Frame36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495935" cy="175260"/>
                      <wp:effectExtent l="0" t="0" r="0" b="0"/>
                      <wp:wrapNone/>
                      <wp:docPr id="368" name="Frame36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1" w:type="dxa"/>
            <w:tcBorders/>
            <w:vAlign w:val="center"/>
          </w:tcPr>
          <w:p>
            <w:pPr>
              <w:pStyle w:val="TableContents"/>
              <w:bidi w:val="0"/>
              <w:spacing w:before="0" w:after="1"/>
              <w:ind w:left="0" w:right="0" w:hanging="0"/>
              <w:jc w:val="center"/>
              <w:rPr/>
            </w:pPr>
            <w:r>
              <w:rPr/>
              <w:t>​</w:t>
            </w:r>
          </w:p>
        </w:tc>
        <w:tc>
          <w:tcPr>
            <w:tcW w:w="89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4164"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at December 31, 2024</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1" w:type="dxa"/>
            <w:tcBorders/>
            <w:vAlign w:val="center"/>
          </w:tcPr>
          <w:p>
            <w:pPr>
              <w:pStyle w:val="TableContents"/>
              <w:bidi w:val="0"/>
              <w:spacing w:before="0" w:after="1"/>
              <w:ind w:left="0" w:right="0" w:hanging="0"/>
              <w:jc w:val="center"/>
              <w:rPr/>
            </w:pPr>
            <w:r>
              <w:rPr/>
              <w:t>​</w:t>
            </w:r>
          </w:p>
        </w:tc>
        <w:tc>
          <w:tcPr>
            <w:tcW w:w="89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6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w:t>
            </w:r>
          </w:p>
        </w:tc>
        <w:tc>
          <w:tcPr>
            <w:tcW w:w="415" w:type="dxa"/>
            <w:tcBorders/>
            <w:vAlign w:val="center"/>
          </w:tcPr>
          <w:p>
            <w:pPr>
              <w:pStyle w:val="TableContents"/>
              <w:bidi w:val="0"/>
              <w:spacing w:before="0" w:after="1"/>
              <w:ind w:left="0" w:right="0" w:hanging="0"/>
              <w:jc w:val="center"/>
              <w:rPr/>
            </w:pPr>
            <w:r>
              <w:rPr/>
              <w:t>​</w:t>
            </w:r>
          </w:p>
        </w:tc>
        <w:tc>
          <w:tcPr>
            <w:tcW w:w="352" w:type="dxa"/>
            <w:tcBorders/>
            <w:vAlign w:val="center"/>
          </w:tcPr>
          <w:p>
            <w:pPr>
              <w:pStyle w:val="TableContents"/>
              <w:bidi w:val="0"/>
              <w:spacing w:before="0" w:after="1"/>
              <w:ind w:left="0" w:right="0" w:hanging="0"/>
              <w:jc w:val="center"/>
              <w:rPr/>
            </w:pPr>
            <w:r>
              <w:rPr/>
              <w:t>​</w:t>
            </w:r>
          </w:p>
        </w:tc>
        <w:tc>
          <w:tcPr>
            <w:tcW w:w="579" w:type="dxa"/>
            <w:tcBorders/>
            <w:vAlign w:val="center"/>
          </w:tcPr>
          <w:p>
            <w:pPr>
              <w:pStyle w:val="TableContents"/>
              <w:bidi w:val="0"/>
              <w:spacing w:before="0" w:after="1"/>
              <w:ind w:left="0" w:right="0" w:hanging="0"/>
              <w:jc w:val="center"/>
              <w:rPr/>
            </w:pPr>
            <w:r>
              <w:rPr/>
              <w:t>​</w:t>
            </w:r>
          </w:p>
        </w:tc>
        <w:tc>
          <w:tcPr>
            <w:tcW w:w="415" w:type="dxa"/>
            <w:tcBorders/>
            <w:vAlign w:val="center"/>
          </w:tcPr>
          <w:p>
            <w:pPr>
              <w:pStyle w:val="TableContents"/>
              <w:bidi w:val="0"/>
              <w:spacing w:before="0" w:after="1"/>
              <w:ind w:left="0" w:right="0" w:hanging="0"/>
              <w:jc w:val="center"/>
              <w:rPr/>
            </w:pPr>
            <w:r>
              <w:rPr/>
              <w:t>​</w:t>
            </w:r>
          </w:p>
        </w:tc>
        <w:tc>
          <w:tcPr>
            <w:tcW w:w="360"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1" w:type="dxa"/>
            <w:tcBorders/>
            <w:vAlign w:val="center"/>
          </w:tcPr>
          <w:p>
            <w:pPr>
              <w:pStyle w:val="TableContents"/>
              <w:bidi w:val="0"/>
              <w:spacing w:before="0" w:after="1"/>
              <w:ind w:left="0" w:right="0" w:hanging="0"/>
              <w:jc w:val="center"/>
              <w:rPr/>
            </w:pPr>
            <w:r>
              <w:rPr/>
              <w:t>​</w:t>
            </w:r>
          </w:p>
        </w:tc>
        <w:tc>
          <w:tcPr>
            <w:tcW w:w="89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6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Prices in</w:t>
            </w:r>
          </w:p>
        </w:tc>
        <w:tc>
          <w:tcPr>
            <w:tcW w:w="415" w:type="dxa"/>
            <w:tcBorders/>
            <w:vAlign w:val="center"/>
          </w:tcPr>
          <w:p>
            <w:pPr>
              <w:pStyle w:val="TableContents"/>
              <w:bidi w:val="0"/>
              <w:spacing w:before="0" w:after="1"/>
              <w:ind w:left="0" w:right="0" w:hanging="0"/>
              <w:jc w:val="center"/>
              <w:rPr/>
            </w:pPr>
            <w:r>
              <w:rPr/>
              <w:t>​</w:t>
            </w:r>
          </w:p>
        </w:tc>
        <w:tc>
          <w:tcPr>
            <w:tcW w:w="352" w:type="dxa"/>
            <w:tcBorders/>
            <w:vAlign w:val="center"/>
          </w:tcPr>
          <w:p>
            <w:pPr>
              <w:pStyle w:val="TableContents"/>
              <w:bidi w:val="0"/>
              <w:spacing w:before="0" w:after="1"/>
              <w:ind w:left="0" w:right="0" w:hanging="0"/>
              <w:jc w:val="center"/>
              <w:rPr/>
            </w:pPr>
            <w:r>
              <w:rPr/>
              <w:t>​</w:t>
            </w:r>
          </w:p>
        </w:tc>
        <w:tc>
          <w:tcPr>
            <w:tcW w:w="579" w:type="dxa"/>
            <w:tcBorders/>
            <w:vAlign w:val="center"/>
          </w:tcPr>
          <w:p>
            <w:pPr>
              <w:pStyle w:val="TableContents"/>
              <w:bidi w:val="0"/>
              <w:spacing w:before="0" w:after="1"/>
              <w:ind w:left="0" w:right="0" w:hanging="0"/>
              <w:jc w:val="center"/>
              <w:rPr/>
            </w:pPr>
            <w:r>
              <w:rPr/>
              <w:t>​</w:t>
            </w:r>
          </w:p>
        </w:tc>
        <w:tc>
          <w:tcPr>
            <w:tcW w:w="415" w:type="dxa"/>
            <w:tcBorders/>
            <w:vAlign w:val="center"/>
          </w:tcPr>
          <w:p>
            <w:pPr>
              <w:pStyle w:val="TableContents"/>
              <w:bidi w:val="0"/>
              <w:spacing w:before="0" w:after="1"/>
              <w:ind w:left="0" w:right="0" w:hanging="0"/>
              <w:jc w:val="center"/>
              <w:rPr/>
            </w:pPr>
            <w:r>
              <w:rPr/>
              <w:t>​</w:t>
            </w:r>
          </w:p>
        </w:tc>
        <w:tc>
          <w:tcPr>
            <w:tcW w:w="360"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1" w:type="dxa"/>
            <w:tcBorders/>
            <w:vAlign w:val="center"/>
          </w:tcPr>
          <w:p>
            <w:pPr>
              <w:pStyle w:val="TableContents"/>
              <w:bidi w:val="0"/>
              <w:spacing w:before="0" w:after="1"/>
              <w:ind w:left="0" w:right="0" w:hanging="0"/>
              <w:jc w:val="center"/>
              <w:rPr/>
            </w:pPr>
            <w:r>
              <w:rPr/>
              <w:t>​</w:t>
            </w:r>
          </w:p>
        </w:tc>
        <w:tc>
          <w:tcPr>
            <w:tcW w:w="89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6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Active</w:t>
            </w:r>
          </w:p>
        </w:tc>
        <w:tc>
          <w:tcPr>
            <w:tcW w:w="415"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415" w:type="dxa"/>
            <w:tcBorders/>
            <w:vAlign w:val="center"/>
          </w:tcPr>
          <w:p>
            <w:pPr>
              <w:pStyle w:val="TableContents"/>
              <w:bidi w:val="0"/>
              <w:spacing w:before="0" w:after="1"/>
              <w:ind w:left="0" w:right="0" w:hanging="0"/>
              <w:jc w:val="center"/>
              <w:rPr/>
            </w:pPr>
            <w:r>
              <w:rPr/>
              <w:t>​</w:t>
            </w:r>
          </w:p>
        </w:tc>
        <w:tc>
          <w:tcPr>
            <w:tcW w:w="360"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1" w:type="dxa"/>
            <w:tcBorders/>
            <w:vAlign w:val="center"/>
          </w:tcPr>
          <w:p>
            <w:pPr>
              <w:pStyle w:val="TableContents"/>
              <w:bidi w:val="0"/>
              <w:spacing w:before="0" w:after="1"/>
              <w:ind w:left="0" w:right="0" w:hanging="0"/>
              <w:jc w:val="center"/>
              <w:rPr/>
            </w:pPr>
            <w:r>
              <w:rPr/>
              <w:t>​</w:t>
            </w:r>
          </w:p>
        </w:tc>
        <w:tc>
          <w:tcPr>
            <w:tcW w:w="89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6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Markets for</w:t>
            </w:r>
          </w:p>
        </w:tc>
        <w:tc>
          <w:tcPr>
            <w:tcW w:w="415"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415" w:type="dxa"/>
            <w:tcBorders/>
            <w:vAlign w:val="center"/>
          </w:tcPr>
          <w:p>
            <w:pPr>
              <w:pStyle w:val="TableContents"/>
              <w:bidi w:val="0"/>
              <w:spacing w:before="0" w:after="1"/>
              <w:ind w:left="0" w:right="0" w:hanging="0"/>
              <w:jc w:val="center"/>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at</w:t>
            </w:r>
          </w:p>
        </w:tc>
        <w:tc>
          <w:tcPr>
            <w:tcW w:w="326" w:type="dxa"/>
            <w:tcBorders/>
            <w:vAlign w:val="center"/>
          </w:tcPr>
          <w:p>
            <w:pPr>
              <w:pStyle w:val="TableContents"/>
              <w:bidi w:val="0"/>
              <w:spacing w:before="0" w:after="1"/>
              <w:ind w:left="0" w:right="0" w:hanging="0"/>
              <w:jc w:val="center"/>
              <w:rPr/>
            </w:pPr>
            <w:r>
              <w:rPr/>
              <w:t>​</w:t>
            </w:r>
          </w:p>
        </w:tc>
        <w:tc>
          <w:tcPr>
            <w:tcW w:w="126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Identical</w:t>
            </w:r>
          </w:p>
        </w:tc>
        <w:tc>
          <w:tcPr>
            <w:tcW w:w="415"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415" w:type="dxa"/>
            <w:tcBorders/>
            <w:vAlign w:val="center"/>
          </w:tcPr>
          <w:p>
            <w:pPr>
              <w:pStyle w:val="TableContents"/>
              <w:bidi w:val="0"/>
              <w:spacing w:before="0" w:after="1"/>
              <w:ind w:left="0" w:right="0" w:hanging="0"/>
              <w:jc w:val="center"/>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1"/>
              <w:ind w:left="0" w:right="0" w:hanging="0"/>
              <w:jc w:val="center"/>
              <w:rPr/>
            </w:pPr>
            <w:r>
              <w:rPr/>
              <w:t>​</w:t>
            </w:r>
          </w:p>
        </w:tc>
        <w:tc>
          <w:tcPr>
            <w:tcW w:w="126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415"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415" w:type="dxa"/>
            <w:tcBorders/>
            <w:vAlign w:val="center"/>
          </w:tcPr>
          <w:p>
            <w:pPr>
              <w:pStyle w:val="TableContents"/>
              <w:bidi w:val="0"/>
              <w:spacing w:before="0" w:after="1"/>
              <w:ind w:left="0" w:right="0" w:hanging="0"/>
              <w:jc w:val="center"/>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415" w:type="dxa"/>
            <w:tcBorders/>
            <w:vAlign w:val="center"/>
          </w:tcPr>
          <w:p>
            <w:pPr>
              <w:pStyle w:val="TableContents"/>
              <w:bidi w:val="0"/>
              <w:spacing w:before="0" w:after="1"/>
              <w:ind w:left="0" w:right="0" w:hanging="0"/>
              <w:jc w:val="center"/>
              <w:rPr/>
            </w:pPr>
            <w:r>
              <w:rPr/>
              <w:t>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415" w:type="dxa"/>
            <w:tcBorders/>
            <w:vAlign w:val="center"/>
          </w:tcPr>
          <w:p>
            <w:pPr>
              <w:pStyle w:val="TableContents"/>
              <w:bidi w:val="0"/>
              <w:spacing w:before="0" w:after="1"/>
              <w:ind w:left="0" w:right="0" w:hanging="0"/>
              <w:jc w:val="center"/>
              <w:rPr/>
            </w:pPr>
            <w:r>
              <w:rPr/>
              <w:t>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24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Cash and cash equivalents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189,389</w:t>
            </w:r>
          </w:p>
        </w:tc>
        <w:tc>
          <w:tcPr>
            <w:tcW w:w="32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189,389</w:t>
            </w:r>
          </w:p>
        </w:tc>
        <w:tc>
          <w:tcPr>
            <w:tcW w:w="415"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shd w:fill="CCEEFF" w:val="clear"/>
            <w:vAlign w:val="center"/>
          </w:tcPr>
          <w:p>
            <w:pPr>
              <w:pStyle w:val="TableContents"/>
              <w:bidi w:val="0"/>
              <w:spacing w:before="0" w:after="1"/>
              <w:ind w:left="0" w:right="0" w:hanging="0"/>
              <w:jc w:val="right"/>
              <w:rPr/>
            </w:pPr>
            <w:r>
              <w:rPr/>
              <w:t>—</w:t>
            </w:r>
          </w:p>
        </w:tc>
        <w:tc>
          <w:tcPr>
            <w:tcW w:w="415" w:type="dxa"/>
            <w:tcBorders/>
            <w:shd w:fill="CCEEFF" w:val="clear"/>
            <w:vAlign w:val="center"/>
          </w:tcPr>
          <w:p>
            <w:pPr>
              <w:pStyle w:val="TableContents"/>
              <w:bidi w:val="0"/>
              <w:spacing w:before="0" w:after="1"/>
              <w:ind w:left="0" w:right="0" w:hanging="0"/>
              <w:jc w:val="left"/>
              <w:rPr/>
            </w:pPr>
            <w:r>
              <w:rPr/>
              <w:t>​</w:t>
            </w:r>
          </w:p>
        </w:tc>
        <w:tc>
          <w:tcPr>
            <w:tcW w:w="3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6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324"/>
        <w:gridCol w:w="9881"/>
      </w:tblGrid>
      <w:tr>
        <w:trPr/>
        <w:tc>
          <w:tcPr>
            <w:tcW w:w="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Cash and cash equivalents includes $32.2</w:t>
            </w:r>
            <w:r>
              <w:rPr>
                <w:caps w:val="false"/>
                <w:smallCaps w:val="false"/>
              </w:rPr>
              <w:t> </w:t>
            </w:r>
            <w:r>
              <w:rPr>
                <w:rFonts w:ascii="Times New Roman;Times;serif" w:hAnsi="Times New Roman;Times;serif"/>
                <w:b w:val="false"/>
                <w:i w:val="false"/>
                <w:caps w:val="false"/>
                <w:smallCaps w:val="false"/>
                <w:sz w:val="20"/>
              </w:rPr>
              <w:t>million and $186.7</w:t>
            </w:r>
            <w:r>
              <w:rPr>
                <w:caps w:val="false"/>
                <w:smallCaps w:val="false"/>
              </w:rPr>
              <w:t> </w:t>
            </w:r>
            <w:r>
              <w:rPr>
                <w:rFonts w:ascii="Times New Roman;Times;serif" w:hAnsi="Times New Roman;Times;serif"/>
                <w:b w:val="false"/>
                <w:i w:val="false"/>
                <w:caps w:val="false"/>
                <w:smallCaps w:val="false"/>
                <w:sz w:val="20"/>
              </w:rPr>
              <w:t>million invested in U.S. government money market funds as of June 30, 2025 and December 31, 2024, respectively.</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had no transfers of assets or liabilities between fair value hierarchy levels between December 31, 2024, and June 30, 2025.</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Remarketed Bonds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fair value of the Remarketed Bonds is estimated using the Black-Derman-Toy interest rate lattice framework. The effective maturity of the Remarketed Bonds was assumed to be April 1, 2026 (two years from issuance) with repayment of 100% of principal on that date. The impact of the Company’s optional redemption feature, effective November 1, 2024, is appropriately captured by the Black-Derman-Toy interest rate lattice.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Term Loan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fair value of the Term Loan entered into on January 31, 2025, is estimated to be equal to its carrying amount as of June 30, 2025, due to the short duration for which the loan was outstanding during the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carrying values and estimated fair values of the Remarketed Bonds and Term Loan as of June 30, 2025, are summarized as follows (in thousands): </w:t>
      </w:r>
    </w:p>
    <w:tbl>
      <w:tblPr>
        <w:tblW w:w="4347" w:type="dxa"/>
        <w:jc w:val="left"/>
        <w:tblInd w:w="0" w:type="dxa"/>
        <w:tblLayout w:type="fixed"/>
        <w:tblCellMar>
          <w:top w:w="0" w:type="dxa"/>
          <w:left w:w="0" w:type="dxa"/>
          <w:bottom w:w="0" w:type="dxa"/>
          <w:right w:w="0" w:type="dxa"/>
        </w:tblCellMar>
      </w:tblPr>
      <w:tblGrid>
        <w:gridCol w:w="1666"/>
        <w:gridCol w:w="326"/>
        <w:gridCol w:w="211"/>
        <w:gridCol w:w="781"/>
        <w:gridCol w:w="326"/>
        <w:gridCol w:w="211"/>
        <w:gridCol w:w="826"/>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057910" cy="175260"/>
                      <wp:effectExtent l="0" t="0" r="0" b="0"/>
                      <wp:wrapNone/>
                      <wp:docPr id="369" name="Frame369"/>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07010" cy="175260"/>
                      <wp:effectExtent l="0" t="0" r="0" b="0"/>
                      <wp:wrapNone/>
                      <wp:docPr id="370" name="Frame3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33985" cy="175260"/>
                      <wp:effectExtent l="0" t="0" r="0" b="0"/>
                      <wp:wrapNone/>
                      <wp:docPr id="371" name="Frame3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495935" cy="175260"/>
                      <wp:effectExtent l="0" t="0" r="0" b="0"/>
                      <wp:wrapNone/>
                      <wp:docPr id="372" name="Frame37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07010" cy="175260"/>
                      <wp:effectExtent l="0" t="0" r="0" b="0"/>
                      <wp:wrapNone/>
                      <wp:docPr id="373" name="Frame3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33985" cy="175260"/>
                      <wp:effectExtent l="0" t="0" r="0" b="0"/>
                      <wp:wrapNone/>
                      <wp:docPr id="374" name="Frame3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524510" cy="175260"/>
                      <wp:effectExtent l="0" t="0" r="0" b="0"/>
                      <wp:wrapNone/>
                      <wp:docPr id="375" name="Frame37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26" w:type="dxa"/>
            <w:tcBorders/>
            <w:vAlign w:val="center"/>
          </w:tcPr>
          <w:p>
            <w:pPr>
              <w:pStyle w:val="TableContents"/>
              <w:bidi w:val="0"/>
              <w:spacing w:before="0" w:after="1"/>
              <w:ind w:left="0" w:right="0" w:hanging="0"/>
              <w:jc w:val="left"/>
              <w:rPr/>
            </w:pPr>
            <w:r>
              <w:rPr/>
              <w:t>    </w:t>
            </w:r>
          </w:p>
        </w:tc>
        <w:tc>
          <w:tcPr>
            <w:tcW w:w="103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16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1"/>
              <w:ind w:left="0" w:right="0" w:hanging="0"/>
              <w:jc w:val="left"/>
              <w:rPr/>
            </w:pPr>
            <w:r>
              <w:rPr/>
              <w:t>​</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Loan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105,000</w:t>
            </w:r>
          </w:p>
        </w:tc>
      </w:tr>
      <w:tr>
        <w:trPr/>
        <w:tc>
          <w:tcPr>
            <w:tcW w:w="1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Remarketed Bonds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68,155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67,899</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sz w:val="20"/>
          <w:shd w:fill="FFFFFF" w:val="clear"/>
        </w:rPr>
      </w:pPr>
      <w:bookmarkStart w:id="1502" w:name="Tc_9ccz9jgRGE-x8EfJpJGVlA_6_2"/>
      <w:bookmarkStart w:id="1503" w:name="Tc_u7oh8T1lSUCfSAJ9MlKMzQ_6_0"/>
      <w:bookmarkStart w:id="1504" w:name="Tc_N036WmuN6UyxUc5qPsGZjw_5_0"/>
      <w:bookmarkStart w:id="1505" w:name="Tc_3mUv4LDjv0WkbUcFvarocg_4_0"/>
      <w:bookmarkStart w:id="1506" w:name="Tc_ms5su5WIWEColTetHpbJkw_3_2"/>
      <w:bookmarkStart w:id="1507" w:name="Tc_G-h08nR_bEW_wNn15o-KmQ_3_0"/>
      <w:bookmarkStart w:id="1508" w:name="Tc_N6Sy9WcOdEeBwOLmtg3RHA_2_2"/>
      <w:bookmarkStart w:id="1509" w:name="Tc_XymjyuMBSUqCNLMHDNe0MQ_1_2"/>
      <w:bookmarkEnd w:id="1502"/>
      <w:bookmarkEnd w:id="1503"/>
      <w:bookmarkEnd w:id="1504"/>
      <w:bookmarkEnd w:id="1505"/>
      <w:bookmarkEnd w:id="1506"/>
      <w:bookmarkEnd w:id="1507"/>
      <w:bookmarkEnd w:id="1508"/>
      <w:bookmarkEnd w:id="1509"/>
      <w:r>
        <w:rPr>
          <w:rFonts w:ascii="Times New Roman;Times;serif" w:hAnsi="Times New Roman;Times;serif"/>
          <w:sz w:val="20"/>
          <w:shd w:fill="FFFFFF" w:val="clear"/>
        </w:rPr>
        <w:t>Redeemable non-controlling interest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reflects the changes in the fair value of the redeemable non-controlling interest as of June 30, 2025.</w:t>
      </w:r>
    </w:p>
    <w:p>
      <w:pPr>
        <w:pStyle w:val="TextBody"/>
        <w:bidi w:val="0"/>
        <w:spacing w:before="0" w:after="0"/>
        <w:ind w:left="0" w:right="0" w:hanging="0"/>
        <w:jc w:val="left"/>
        <w:rPr/>
      </w:pPr>
      <w:r>
        <w:rPr/>
        <w:t>​</w:t>
      </w:r>
    </w:p>
    <w:tbl>
      <w:tblPr>
        <w:tblW w:w="7797" w:type="dxa"/>
        <w:jc w:val="left"/>
        <w:tblInd w:w="0" w:type="dxa"/>
        <w:tblLayout w:type="fixed"/>
        <w:tblCellMar>
          <w:top w:w="0" w:type="dxa"/>
          <w:left w:w="0" w:type="dxa"/>
          <w:bottom w:w="0" w:type="dxa"/>
          <w:right w:w="0" w:type="dxa"/>
        </w:tblCellMar>
      </w:tblPr>
      <w:tblGrid>
        <w:gridCol w:w="5881"/>
        <w:gridCol w:w="326"/>
        <w:gridCol w:w="376"/>
        <w:gridCol w:w="1214"/>
      </w:tblGrid>
      <w:tr>
        <w:trPr/>
        <w:tc>
          <w:tcPr>
            <w:tcW w:w="5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3734435" cy="175260"/>
                      <wp:effectExtent l="0" t="0" r="0" b="0"/>
                      <wp:wrapNone/>
                      <wp:docPr id="376" name="Frame376"/>
                      <a:graphic xmlns:a="http://schemas.openxmlformats.org/drawingml/2006/main">
                        <a:graphicData uri="http://schemas.microsoft.com/office/word/2010/wordprocessingShape">
                          <wps:wsp>
                            <wps:cNvSpPr txBox="1"/>
                            <wps:spPr>
                              <a:xfrm>
                                <a:off x="0" y="0"/>
                                <a:ext cx="3734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07010" cy="175260"/>
                      <wp:effectExtent l="0" t="0" r="0" b="0"/>
                      <wp:wrapNone/>
                      <wp:docPr id="377" name="Frame3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38760" cy="175260"/>
                      <wp:effectExtent l="0" t="0" r="0" b="0"/>
                      <wp:wrapNone/>
                      <wp:docPr id="378" name="Frame378"/>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770890" cy="175260"/>
                      <wp:effectExtent l="0" t="0" r="0" b="0"/>
                      <wp:wrapNone/>
                      <wp:docPr id="379" name="Frame379"/>
                      <a:graphic xmlns:a="http://schemas.openxmlformats.org/drawingml/2006/main">
                        <a:graphicData uri="http://schemas.microsoft.com/office/word/2010/wordprocessingShape">
                          <wps:wsp>
                            <wps:cNvSpPr txBox="1"/>
                            <wps:spPr>
                              <a:xfrm>
                                <a:off x="0" y="0"/>
                                <a:ext cx="770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8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Redeemable Non-</w:t>
            </w:r>
          </w:p>
        </w:tc>
      </w:tr>
      <w:tr>
        <w:trPr/>
        <w:tc>
          <w:tcPr>
            <w:tcW w:w="58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Controlling Interest</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Contributions from non-controlling member made on January 31, 2025</w:t>
            </w:r>
          </w:p>
        </w:tc>
        <w:tc>
          <w:tcPr>
            <w:tcW w:w="32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attributable to non-controlling member</w:t>
            </w:r>
          </w:p>
        </w:tc>
        <w:tc>
          <w:tcPr>
            <w:tcW w:w="32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adjustment</w:t>
            </w:r>
          </w:p>
        </w:tc>
        <w:tc>
          <w:tcPr>
            <w:tcW w:w="326" w:type="dxa"/>
            <w:tcBorders/>
            <w:shd w:fill="CCEEFF" w:val="clear"/>
            <w:vAlign w:val="center"/>
          </w:tcPr>
          <w:p>
            <w:pPr>
              <w:pStyle w:val="TableContents"/>
              <w:bidi w:val="0"/>
              <w:spacing w:before="0" w:after="1"/>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Ending balance as of June 30, 2025</w:t>
            </w:r>
          </w:p>
        </w:tc>
        <w:tc>
          <w:tcPr>
            <w:tcW w:w="326" w:type="dxa"/>
            <w:tcBorders/>
            <w:vAlign w:val="center"/>
          </w:tcPr>
          <w:p>
            <w:pPr>
              <w:pStyle w:val="TableContents"/>
              <w:bidi w:val="0"/>
              <w:spacing w:before="0" w:after="1"/>
              <w:ind w:left="0" w:right="0" w:hanging="0"/>
              <w:jc w:val="left"/>
              <w:rPr/>
            </w:pPr>
            <w:r>
              <w:rPr/>
              <w:t>​</w:t>
            </w:r>
          </w:p>
        </w:tc>
        <w:tc>
          <w:tcPr>
            <w:tcW w:w="37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5,664</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240"/>
        <w:ind w:left="0" w:right="0" w:firstLine="360"/>
        <w:jc w:val="left"/>
        <w:rPr/>
      </w:pPr>
      <w:r>
        <w:rPr/>
        <w:t>​</w:t>
      </w:r>
    </w:p>
    <w:tbl>
      <w:tblPr>
        <w:tblW w:w="2297" w:type="dxa"/>
        <w:jc w:val="left"/>
        <w:tblInd w:w="0" w:type="dxa"/>
        <w:tblLayout w:type="fixed"/>
        <w:tblCellMar>
          <w:top w:w="0" w:type="dxa"/>
          <w:left w:w="0" w:type="dxa"/>
          <w:bottom w:w="0" w:type="dxa"/>
          <w:right w:w="0" w:type="dxa"/>
        </w:tblCellMar>
      </w:tblPr>
      <w:tblGrid>
        <w:gridCol w:w="376"/>
        <w:gridCol w:w="192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21.</w:t>
            </w:r>
          </w:p>
        </w:tc>
        <w:tc>
          <w:tcPr>
            <w:tcW w:w="19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Stockholders’ Equity</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Share Issuances</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At-the-Market Offering Program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January 2024 the Company filed a registration statement on Form S-3, which included </w:t>
      </w:r>
      <w:r>
        <w:rPr>
          <w:rFonts w:ascii="Times New Roman;Times;serif" w:hAnsi="Times New Roman;Times;serif"/>
          <w:spacing w:val="4"/>
          <w:sz w:val="20"/>
        </w:rPr>
        <w:t>a base prospectus which covers the offer, issuance and sale of up to an aggregate of $750.0 million of the registrant’s common stock, preferred stock, debt securities, depositary shares, warrants, purchase contracts and units and an at-the-market offering prospectus supplement covering the offering, issuance and sale by the Company of up to a maximum aggregate offering price of $500.0 million of common stock that may be issued and sold under an at-the-market-offering agreement</w:t>
      </w:r>
      <w:r>
        <w:rPr>
          <w:rFonts w:ascii="Times New Roman;Times;serif" w:hAnsi="Times New Roman;Times;serif"/>
          <w:sz w:val="20"/>
        </w:rPr>
        <w:t xml:space="preserv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2025, the Company has remaining capacity to issue up to $500.0 million of common stock under the at-the-market offering program.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Stock Repurchase Program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May 30, 2023, the Company authorized a stock repurchase program, under which it may repurchase up to $25 million of its common stock. The primary goal of the repurchase program is to allow the Company to opportunistically repurchase shares, while maintaining the Company’s ability to fund its development projects. Under the stock repurchase program, the Company may repurchase shares from time to time in the open market or through privately negotiated transactions. The timing, volume and nature of stock repurchases, if any, will be in the Company’s sole discretion and will be dependent on market conditions, applicable securities laws, and other factors. The stock repurchase program may be suspended or discontinued at any time by the Company and does not have an expiration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did not repurchase shares of common stock under the stock repurchase program during the three and six months ended June 30, 2025. The Company repurchased 4.0 million and 6.1 million shares of common stock for $2.7 million and $4.1 million under the stock repurchase program during the three and six months ended June 30, 2024, respectively. Shares were repurchased at market value, and were retired immediately upon repurchase. As of June 30, 2025, approximately $20.3 million remained available under the stock repurchase program.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Warrants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June 2022, the Company completed a registered direct offering (“the June 2022 Offering”) of an aggregate of 33,333,336 shares of the Company’s common stock at a price of $4.50 per share, accompanied by Series 2022-A warrants to purchase an aggregate of 33,333,336 shares of the Company’s common stock (each, a “Series 2022-A Warrant”) pursuant to a securities purchase agreement with certain institutional and accredited investors. The Series 2022-A Warrants are exercisable for a term of five years from the date of issuance at an exercise price of $4.37 per share. As of June 30, 2025, none of the Series 2022-A Warrants had been exercised.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1510" w:name="Tc_QNT5b7llBE23ofLN-rEJ5w_10_0"/>
      <w:bookmarkStart w:id="1511" w:name="Tc_x4l7TRVCNkaBgctGo2fukg_9_6"/>
      <w:bookmarkStart w:id="1512" w:name="Tc_8qe8BhdtiU-sFaArYGvggg_9_4"/>
      <w:bookmarkStart w:id="1513" w:name="Tc_MoS9wimGx0ushPjaANA9FA_9_2"/>
      <w:bookmarkStart w:id="1514" w:name="Tc_OProD47hXk6OdfpfGr45XQ_9_0"/>
      <w:bookmarkStart w:id="1515" w:name="Tc_DoSWNvHHwEWtCirOPL97cw_8_6"/>
      <w:bookmarkStart w:id="1516" w:name="Tc_Jx5ZsD6TRkGvIPVD5jgfYw_8_4"/>
      <w:bookmarkStart w:id="1517" w:name="Tc_YtLx-5y9qkGgeRzd05x25w_8_2"/>
      <w:bookmarkStart w:id="1518" w:name="Tc_FJz8VHywsUaspHLGDQcrxQ_8_0"/>
      <w:bookmarkStart w:id="1519" w:name="Tc_4s99yYH4CUeebkS2drb-Hg_7_13"/>
      <w:bookmarkStart w:id="1520" w:name="Tc_Jj4WxfJmjUeLnoNml272kw_7_11"/>
      <w:bookmarkStart w:id="1521" w:name="Tc_-gT9hqvaCkicQ59obEc8Eg_7_9"/>
      <w:bookmarkStart w:id="1522" w:name="Tc_6nT2oaCpxkCyX1M78sMFpA_7_6"/>
      <w:bookmarkStart w:id="1523" w:name="Tc_K8FS9AMtgUCyk95tt7ONBg_7_4"/>
      <w:bookmarkStart w:id="1524" w:name="Tc_9kYLb0MBGEuJDcD43jDtNA_7_2"/>
      <w:bookmarkStart w:id="1525" w:name="Tc_ijQj0LBBE0iB4k2O1zEzjA_6_13"/>
      <w:bookmarkStart w:id="1526" w:name="Tc_KjvWkZoM0Eua1zdOU8oLfw_6_11"/>
      <w:bookmarkStart w:id="1527" w:name="Tc_YrUwtwtqbEiMQbVfEFgITw_6_9"/>
      <w:bookmarkStart w:id="1528" w:name="Tc_mX4G-ykOWEOlx2bvycrKpA_6_7"/>
      <w:bookmarkStart w:id="1529" w:name="Tc_A3mntksKMEeDjh0O6lm3aQ_6_4"/>
      <w:bookmarkStart w:id="1530" w:name="Tc_BWTnIYeFiUOayOHeQBtqkw_6_2"/>
      <w:bookmarkStart w:id="1531" w:name="Tc_yj_caFHh4EWl02Gxp7KPzA_5_13"/>
      <w:bookmarkStart w:id="1532" w:name="Tc_0_f4L9ggCUG9O2MERLT_og_5_11"/>
      <w:bookmarkStart w:id="1533" w:name="Tc_0C-3V3VS40usjiJC1jWZjQ_5_9"/>
      <w:bookmarkStart w:id="1534" w:name="Tc_L_P3kbiaxk62UjXg-aAxjg_5_6"/>
      <w:bookmarkStart w:id="1535" w:name="Tc_QWkoXeIBdEi2TAxShhDYYQ_4_13"/>
      <w:bookmarkStart w:id="1536" w:name="Tc_g6rbu3UkTkWzXjml83BqxA_4_11"/>
      <w:bookmarkStart w:id="1537" w:name="Tc_urEr-_eNy0a6T-5-E6AE-A_4_9"/>
      <w:bookmarkStart w:id="1538" w:name="Tc_fO-7qOlDqEOU1XcwL0x6GQ_4_6"/>
      <w:bookmarkStart w:id="1539" w:name="Tc_urxrcGdNuEe2F_z5xMrgXg_3_13"/>
      <w:bookmarkStart w:id="1540" w:name="Tc_vKvHWJFKrEq19fY62DI75g_3_11"/>
      <w:bookmarkStart w:id="1541" w:name="Tc_NtpaAHSGQkiioBEPwVcWdA_3_9"/>
      <w:bookmarkStart w:id="1542" w:name="Tc_lYXcOlicBUKv96YrJUGVsA_2_13"/>
      <w:bookmarkStart w:id="1543" w:name="Tc_vp7em54icUuoX1zD4VpZUQ_2_11"/>
      <w:bookmarkStart w:id="1544" w:name="Tc_QnH1NqmIDE-HpPCg7Bv__Q_1_13"/>
      <w:bookmarkStart w:id="1545" w:name="Tc_06I2yOCo50eiz1gwEH9TCQ_1_11"/>
      <w:bookmarkStart w:id="1546" w:name="_2da9ffc9_f35f_4995_901f_744913f0ec83"/>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r>
        <w:rPr>
          <w:rFonts w:ascii="Times New Roman;Times;serif" w:hAnsi="Times New Roman;Times;serif"/>
          <w:sz w:val="20"/>
        </w:rPr>
        <w:t>In addition to the Series 2022-A Warrants, the Company has warrants outstanding that were issued in conjunction with a registered direct offering in August 2020 (the “Series 2020-A Warrants”). The Company evaluated the Series 2022-A Warrants and Series 2020-A Warrants for liability or equity classification and determined that equity treatment was appropriate because both the Series 2022-A Warrants and Series 2020-A Warrants do not meet the definition of liability instruments.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Series 2022-A Warrants and Series 2020-A Warrants are classified as a component of equity because they are freestanding financial instruments that are legally detachable and separately exercisable from the shares of common stock with which they were issued, are immediately exercisable and will expire five years from the date of issuance, do not embody an obligation for the Company to repurchase its shares, and permit the holders to receive a fixed number of shares of common stock upon exercise. In addition, the Series 2022-A Warrants and Series 2020-A Warrants do not provide any guarantee of value or return.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information pertaining to shares issued upon the exercise of warrants:</w:t>
      </w:r>
    </w:p>
    <w:p>
      <w:pPr>
        <w:pStyle w:val="TextBody"/>
        <w:bidi w:val="0"/>
        <w:spacing w:before="0" w:after="0"/>
        <w:ind w:left="0" w:right="0" w:hanging="0"/>
        <w:jc w:val="left"/>
        <w:rPr/>
      </w:pPr>
      <w:r>
        <w:rPr/>
        <w:t>​</w:t>
      </w:r>
    </w:p>
    <w:tbl>
      <w:tblPr>
        <w:tblW w:w="10124" w:type="dxa"/>
        <w:jc w:val="left"/>
        <w:tblInd w:w="0" w:type="dxa"/>
        <w:tblLayout w:type="fixed"/>
        <w:tblCellMar>
          <w:top w:w="0" w:type="dxa"/>
          <w:left w:w="0" w:type="dxa"/>
          <w:bottom w:w="0" w:type="dxa"/>
          <w:right w:w="0" w:type="dxa"/>
        </w:tblCellMar>
      </w:tblPr>
      <w:tblGrid>
        <w:gridCol w:w="2236"/>
        <w:gridCol w:w="326"/>
        <w:gridCol w:w="856"/>
        <w:gridCol w:w="326"/>
        <w:gridCol w:w="886"/>
        <w:gridCol w:w="326"/>
        <w:gridCol w:w="211"/>
        <w:gridCol w:w="766"/>
        <w:gridCol w:w="326"/>
        <w:gridCol w:w="1036"/>
        <w:gridCol w:w="326"/>
        <w:gridCol w:w="1036"/>
        <w:gridCol w:w="326"/>
        <w:gridCol w:w="1141"/>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419860" cy="175260"/>
                      <wp:effectExtent l="0" t="0" r="0" b="0"/>
                      <wp:wrapNone/>
                      <wp:docPr id="380" name="Frame380"/>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07010" cy="175260"/>
                      <wp:effectExtent l="0" t="0" r="0" b="0"/>
                      <wp:wrapNone/>
                      <wp:docPr id="381" name="Frame3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543560" cy="175260"/>
                      <wp:effectExtent l="0" t="0" r="0" b="0"/>
                      <wp:wrapNone/>
                      <wp:docPr id="382" name="Frame382"/>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07010" cy="175260"/>
                      <wp:effectExtent l="0" t="0" r="0" b="0"/>
                      <wp:wrapNone/>
                      <wp:docPr id="383" name="Frame3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562610" cy="175260"/>
                      <wp:effectExtent l="0" t="0" r="0" b="0"/>
                      <wp:wrapNone/>
                      <wp:docPr id="384" name="Frame38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07010" cy="175260"/>
                      <wp:effectExtent l="0" t="0" r="0" b="0"/>
                      <wp:wrapNone/>
                      <wp:docPr id="385" name="Frame3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33985" cy="175260"/>
                      <wp:effectExtent l="0" t="0" r="0" b="0"/>
                      <wp:wrapNone/>
                      <wp:docPr id="386" name="Frame3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486410" cy="175260"/>
                      <wp:effectExtent l="0" t="0" r="0" b="0"/>
                      <wp:wrapNone/>
                      <wp:docPr id="387" name="Frame387"/>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07010" cy="175260"/>
                      <wp:effectExtent l="0" t="0" r="0" b="0"/>
                      <wp:wrapNone/>
                      <wp:docPr id="388" name="Frame3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57860" cy="175260"/>
                      <wp:effectExtent l="0" t="0" r="0" b="0"/>
                      <wp:wrapNone/>
                      <wp:docPr id="389" name="Frame38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07010" cy="175260"/>
                      <wp:effectExtent l="0" t="0" r="0" b="0"/>
                      <wp:wrapNone/>
                      <wp:docPr id="390" name="Frame3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57860" cy="175260"/>
                      <wp:effectExtent l="0" t="0" r="0" b="0"/>
                      <wp:wrapNone/>
                      <wp:docPr id="391" name="Frame39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07010" cy="175260"/>
                      <wp:effectExtent l="0" t="0" r="0" b="0"/>
                      <wp:wrapNone/>
                      <wp:docPr id="392" name="Frame3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724535" cy="175260"/>
                      <wp:effectExtent l="0" t="0" r="0" b="0"/>
                      <wp:wrapNone/>
                      <wp:docPr id="393" name="Frame39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r>
      <w:tr>
        <w:trPr/>
        <w:tc>
          <w:tcPr>
            <w:tcW w:w="22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Issued upon</w:t>
            </w:r>
          </w:p>
        </w:tc>
        <w:tc>
          <w:tcPr>
            <w:tcW w:w="326" w:type="dxa"/>
            <w:tcBorders/>
            <w:vAlign w:val="center"/>
          </w:tcPr>
          <w:p>
            <w:pPr>
              <w:pStyle w:val="TableContents"/>
              <w:bidi w:val="0"/>
              <w:spacing w:before="0" w:after="1"/>
              <w:ind w:left="0" w:right="0" w:hanging="0"/>
              <w:jc w:val="center"/>
              <w:rPr/>
            </w:pPr>
            <w:r>
              <w:rPr/>
              <w:t> </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Underlying</w:t>
            </w:r>
          </w:p>
        </w:tc>
      </w:tr>
      <w:tr>
        <w:trPr/>
        <w:tc>
          <w:tcPr>
            <w:tcW w:w="22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w:t>
            </w:r>
          </w:p>
        </w:tc>
        <w:tc>
          <w:tcPr>
            <w:tcW w:w="326" w:type="dxa"/>
            <w:tcBorders/>
            <w:vAlign w:val="center"/>
          </w:tcPr>
          <w:p>
            <w:pPr>
              <w:pStyle w:val="TableContents"/>
              <w:bidi w:val="0"/>
              <w:spacing w:before="0" w:after="1"/>
              <w:ind w:left="0" w:right="0" w:hanging="0"/>
              <w:jc w:val="center"/>
              <w:rPr/>
            </w:pPr>
            <w:r>
              <w:rPr/>
              <w:t> </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w:t>
            </w:r>
          </w:p>
        </w:tc>
      </w:tr>
      <w:tr>
        <w:trPr/>
        <w:tc>
          <w:tcPr>
            <w:tcW w:w="22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97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Exercises as</w:t>
            </w:r>
          </w:p>
        </w:tc>
        <w:tc>
          <w:tcPr>
            <w:tcW w:w="326" w:type="dxa"/>
            <w:tcBorders/>
            <w:vAlign w:val="center"/>
          </w:tcPr>
          <w:p>
            <w:pPr>
              <w:pStyle w:val="TableContents"/>
              <w:bidi w:val="0"/>
              <w:spacing w:before="0" w:after="1"/>
              <w:ind w:left="0" w:right="0" w:hanging="0"/>
              <w:jc w:val="center"/>
              <w:rPr/>
            </w:pPr>
            <w:r>
              <w:rPr/>
              <w:t> </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r>
      <w:tr>
        <w:trPr/>
        <w:tc>
          <w:tcPr>
            <w:tcW w:w="22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7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 as of</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 on</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w:t>
            </w:r>
          </w:p>
        </w:tc>
        <w:tc>
          <w:tcPr>
            <w:tcW w:w="326" w:type="dxa"/>
            <w:tcBorders/>
            <w:vAlign w:val="center"/>
          </w:tcPr>
          <w:p>
            <w:pPr>
              <w:pStyle w:val="TableContents"/>
              <w:bidi w:val="0"/>
              <w:spacing w:before="0" w:after="1"/>
              <w:ind w:left="0" w:right="0" w:hanging="0"/>
              <w:jc w:val="center"/>
              <w:rPr/>
            </w:pPr>
            <w:r>
              <w:rPr/>
              <w:t> </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22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Issuance</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Expiration</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Issuance</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center"/>
              <w:rPr/>
            </w:pPr>
            <w:r>
              <w:rPr/>
              <w:t> </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2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26" w:type="dxa"/>
            <w:tcBorders/>
            <w:vAlign w:val="center"/>
          </w:tcPr>
          <w:p>
            <w:pPr>
              <w:pStyle w:val="TableContents"/>
              <w:bidi w:val="0"/>
              <w:spacing w:before="0" w:after="1"/>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Date</w:t>
            </w:r>
          </w:p>
        </w:tc>
        <w:tc>
          <w:tcPr>
            <w:tcW w:w="326" w:type="dxa"/>
            <w:tcBorders/>
            <w:vAlign w:val="center"/>
          </w:tcPr>
          <w:p>
            <w:pPr>
              <w:pStyle w:val="TableContents"/>
              <w:bidi w:val="0"/>
              <w:spacing w:before="0" w:after="1"/>
              <w:ind w:left="0" w:right="0" w:hanging="0"/>
              <w:jc w:val="center"/>
              <w:rPr/>
            </w:pPr>
            <w:r>
              <w:rPr/>
              <w:t>    </w:t>
            </w:r>
          </w:p>
        </w:tc>
        <w:tc>
          <w:tcPr>
            <w:tcW w:w="9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26" w:type="dxa"/>
            <w:tcBorders/>
            <w:vAlign w:val="center"/>
          </w:tcPr>
          <w:p>
            <w:pPr>
              <w:pStyle w:val="TableContents"/>
              <w:bidi w:val="0"/>
              <w:spacing w:before="0" w:after="1"/>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23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Series 2020-A Warrants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7/6/2020</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7/6/2025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0.60</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30,000,000</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29,995,867</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4,133</w:t>
            </w:r>
          </w:p>
        </w:tc>
      </w:tr>
      <w:tr>
        <w:trPr/>
        <w:tc>
          <w:tcPr>
            <w:tcW w:w="223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Series 2022-A Warrants </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6/8/2022</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6/7/2027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33,333,336</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33,333,336</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Warrants</w:t>
            </w:r>
          </w:p>
        </w:tc>
        <w:tc>
          <w:tcPr>
            <w:tcW w:w="32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63,333,336</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29,995,867</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33,337,469</w:t>
            </w:r>
          </w:p>
        </w:tc>
      </w:tr>
    </w:tbl>
    <w:tbl>
      <w:tblPr>
        <w:tblW w:w="2642" w:type="dxa"/>
        <w:jc w:val="left"/>
        <w:tblInd w:w="0" w:type="dxa"/>
        <w:tblLayout w:type="fixed"/>
        <w:tblCellMar>
          <w:top w:w="0" w:type="dxa"/>
          <w:left w:w="0" w:type="dxa"/>
          <w:bottom w:w="0" w:type="dxa"/>
          <w:right w:w="0" w:type="dxa"/>
        </w:tblCellMar>
      </w:tblPr>
      <w:tblGrid>
        <w:gridCol w:w="346"/>
        <w:gridCol w:w="229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22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Equity-classified warrants.</w:t>
            </w:r>
          </w:p>
        </w:tc>
      </w:tr>
    </w:tbl>
    <w:p>
      <w:pPr>
        <w:pStyle w:val="TextBody"/>
        <w:bidi w:val="0"/>
        <w:spacing w:before="0" w:after="240"/>
        <w:ind w:left="0" w:right="0" w:hanging="0"/>
        <w:jc w:val="left"/>
        <w:rPr>
          <w:shd w:fill="FFFF00" w:val="clear"/>
        </w:rPr>
      </w:pPr>
      <w:r>
        <w:rPr>
          <w:shd w:fill="FFFF00" w:val="clea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six months ended June 30, 2025 and 2024 no warrants were exercised.</w:t>
      </w:r>
    </w:p>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240"/>
        <w:ind w:left="0" w:right="0" w:firstLine="360"/>
        <w:jc w:val="left"/>
        <w:rPr/>
      </w:pPr>
      <w:r>
        <w:rPr/>
        <w:t>​</w:t>
      </w:r>
    </w:p>
    <w:tbl>
      <w:tblPr>
        <w:tblW w:w="2657" w:type="dxa"/>
        <w:jc w:val="left"/>
        <w:tblInd w:w="0" w:type="dxa"/>
        <w:tblLayout w:type="fixed"/>
        <w:tblCellMar>
          <w:top w:w="0" w:type="dxa"/>
          <w:left w:w="0" w:type="dxa"/>
          <w:bottom w:w="0" w:type="dxa"/>
          <w:right w:w="0" w:type="dxa"/>
        </w:tblCellMar>
      </w:tblPr>
      <w:tblGrid>
        <w:gridCol w:w="376"/>
        <w:gridCol w:w="228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22.</w:t>
            </w:r>
          </w:p>
        </w:tc>
        <w:tc>
          <w:tcPr>
            <w:tcW w:w="22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Variable Interest Entities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entered into agreements with various SPEs to facilitate the development and construction of facilities to provide carbon neutral power to ATJ-60. These SPEs are structured as a limited liability companies.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Nonconsolidated VIEs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September 2022 and February 2023, the Company entered into agreements with Zero6 Energy Development, Inc. (“ZEDI”), a national clean energy expert that provides expertise in capital management, development, engineering, and asset management, to develop and construct facilities to provide carbon neutral power to ATJ-60 via two Project LLCs: Kingsbury County Wind Fuel, LLC (“KCWF”) and Dakota Renewable Hydrogen, LLC (“DRH”), respectively. In December 2023 the agreements with ZEDI related to the two Project LLCs were amended to remove certain kickout rights that previously existed.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Each Project LLC is currently funded via advances for certain long lead equipment items from Gevo. The Company has made certain refundable project advances indirectly to the Project LLCs via ZEDI, to induce ZEDI to design and construct the power generation, transmission and distribution facilities that will serve ATJ-60.</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Each Project LLC is a VIE, and the Company holds an implicit variable interest in each Project LLC. As of December 2023, we have concluded that the removal of the kickout rights from the agreements has resulted in a loss of control and that, therefore, the Company is no longer the primary beneficiary of the Project LLCs. The Project LLCs are a VIE because their equity is insufficient to maintain its on-going collateral requirements without additional financial support from the Company.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was no gain or loss recognized as a result of the deconsolidation of the Project LLCs. We have recognized $51.0 million in Deposits and other assets related to advances made to the Project LLCs which are reimbursable upon the achievement or failure to achieve certain milestones. Such amounts represent our maximum exposure to loss as a result of our involvement with the Project LLCs.</w:t>
      </w:r>
    </w:p>
    <w:tbl>
      <w:tblPr>
        <w:tblW w:w="1322" w:type="dxa"/>
        <w:jc w:val="left"/>
        <w:tblInd w:w="0" w:type="dxa"/>
        <w:tblLayout w:type="fixed"/>
        <w:tblCellMar>
          <w:top w:w="0" w:type="dxa"/>
          <w:left w:w="0" w:type="dxa"/>
          <w:bottom w:w="0" w:type="dxa"/>
          <w:right w:w="0" w:type="dxa"/>
        </w:tblCellMar>
      </w:tblPr>
      <w:tblGrid>
        <w:gridCol w:w="376"/>
        <w:gridCol w:w="94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23.</w:t>
            </w:r>
          </w:p>
        </w:tc>
        <w:tc>
          <w:tcPr>
            <w:tcW w:w="9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Segments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Operating segments are defined as components of an entity for which discrete financial information is available that is regularly reviewed by the Chief Operating Decision Maker (“CODM”) in deciding how to allocate resources to an individual segment and in assessing performance. The Company’s Chief Executive Officer is the CODM. The CODM assesses the segments’ performance by using income (loss) from operations.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CODM uses operating results for each segment predominantly in the annual budget and forecasting process. The CODM considers budget-to-actual variances on a quarterly basis when making decisions about the allocation of operating and capital resources of each segment. As such, management has determined that the Company has organized its operations and activities in the manner in which information is utilized by the CODM and has determined that it has four operating and reportable segments: (i) Gevo segment; (ii) GevoFuels segment; (iii) GevoRNG segment; and (iv) GevoND segment. All segments follow the same basis of accounting policies as described in Note 2, Summary of Significant Accounting Policies, of Part II, Item 8 in our 2024 Annual Report.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Gevo segment</w:t>
      </w:r>
      <w:r>
        <w:rPr>
          <w:rFonts w:ascii="Times New Roman;Times;serif" w:hAnsi="Times New Roman;Times;serif"/>
          <w:sz w:val="20"/>
        </w:rPr>
        <w:t>. The Gevo segment is responsible for all research and development activities related to the future production of SAF, commercial opportunities for other renewable hydrocarbon products, such as hydrocarbons for gasoline blendstocks and diesel fuel; ingredients for the chemical industry, such as ethylene and butenes; plastics and materials; and other chemicals. The Gevo segment also develops, maintains and protects its intellectual property portfolio, provides corporate oversight services, and is responsible for development of Verity platforms.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GevoFuels segment</w:t>
      </w:r>
      <w:r>
        <w:rPr>
          <w:rFonts w:ascii="Times New Roman;Times;serif" w:hAnsi="Times New Roman;Times;serif"/>
          <w:sz w:val="20"/>
        </w:rPr>
        <w:t xml:space="preserve">. GevoFuels is a cornerstone of the Company’s operations, committed to driving low-cost, sustainable, and American-made energy solutions. Our focus is on advancing practical, low-carbon energy alternatives that promote energy independence and strengthen the economy. This segment is dedicated to the development, construction, and operation of Alcohol-to-Jet projects that are not only good for the environment but also cost-effective for businesses and consumers. Our flagship project, ATJ-60, is a groundbreaking greenfield initiative focused on producing SAF in the U.S.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GevoRNG segment</w:t>
      </w:r>
      <w:r>
        <w:rPr>
          <w:rFonts w:ascii="Times New Roman;Times;serif" w:hAnsi="Times New Roman;Times;serif"/>
          <w:sz w:val="20"/>
        </w:rPr>
        <w:t>. The Renewable Natural Gas segment includes GevoRNG which is an innovative project that leverages anaerobic digestion technology to capture and convert methane emissions into renewable natural gas. This project plays a significant role in addressing both the environmental impact of methane emissions and the growing demand for cleaner energy alternatives. RNG is chemically identical to conventional natural gas, but it is produced from organic waste rather than fossil fuels, making it a sustainable and carbon-neutral energy source. By converting methane emissions into RNG, GevoRNG helps mitigate the environmental impact of livestock farming, specifically reducing the greenhouse gases that contribute to climate change.</w:t>
      </w:r>
    </w:p>
    <w:p>
      <w:pPr>
        <w:pStyle w:val="TextBody"/>
        <w:bidi w:val="0"/>
        <w:spacing w:before="0" w:after="24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GevoND segment.</w:t>
      </w:r>
      <w:r>
        <w:rPr>
          <w:rFonts w:ascii="Times New Roman;Times;serif" w:hAnsi="Times New Roman;Times;serif"/>
          <w:sz w:val="20"/>
        </w:rPr>
        <w:t xml:space="preserve"> The GevoND segment includes advanced CCS technologies and low-carbon ethanol assets at a newly acquired facility in North Dakota, enhancing our portfolio of integrated, cost-effective carbon abatement solutions. The principal products manufactured by our ethanol plant include ethanol and distillers grains. At capacity, GevoND facility is capable of processing approximately 67 million gallons of low-carbon ethanol annually, including 2 million gallons of corn fiber ethanol with an ultra-low carbon intensity. Additionally, the facility produces more than 230,000 tons of low-carbon animal feed and vegetable oil, contributing to sustainable agriculture and food systems. The site has an operating, fully permitted Class VI CCS well, which captures and sequesters approximately 160,000 tons of biogenic carbon dioxide annually. This capability is a key component of our strategy to drive meaningful carbon abatement at scale, with the potential to sequester multiple times that amount in total carbon emissions, directly supporting Gevo’s vision of decarbonizing the energy, transportation, and agriculture sectors. </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1547" w:name="Tc_bIl9mCfvXkuzHT5J1S76-A_16_0"/>
      <w:bookmarkStart w:id="1548" w:name="Tc_NRwpj925PU-CLG2eVeNAuQ_15_9"/>
      <w:bookmarkStart w:id="1549" w:name="Tc_64Hzczt8EUCrULEimebKnw_15_6"/>
      <w:bookmarkStart w:id="1550" w:name="Tc_eIEC3fdqqUigOE4Eq-RZNA_15_0"/>
      <w:bookmarkStart w:id="1551" w:name="Tc_APiwvhbU7kmWgJZ17D-5wg_14_0"/>
      <w:bookmarkStart w:id="1552" w:name="Tc_VETVz1FVuE2brbwE48y9bw_12_0"/>
      <w:bookmarkStart w:id="1553" w:name="Tc_LHfOJU3Ol0eRcw_7CdxQ8Q_11_9"/>
      <w:bookmarkStart w:id="1554" w:name="Tc_aWfRsboX7kWRQDjVXsi-og_11_6"/>
      <w:bookmarkStart w:id="1555" w:name="Tc_LF9gZUiWlEaadCxOoI4SJA_11_0"/>
      <w:bookmarkStart w:id="1556" w:name="Tc_4YYvkvYb60eh1KT2h1lmPA_10_6"/>
      <w:bookmarkStart w:id="1557" w:name="Tc_YAe0zx7Zrk2U_2lVKrnE1Q_10_0"/>
      <w:bookmarkStart w:id="1558" w:name="Tc_87DxEHp-F0eJ_LJAT22AlA_9_0"/>
      <w:bookmarkStart w:id="1559" w:name="Tc_DVC-tk-wg0CHmeV0vnr_wg_8_6"/>
      <w:bookmarkStart w:id="1560" w:name="Tc_Z88LueumCU2WsmH_wdl4fQ_8_0"/>
      <w:bookmarkStart w:id="1561" w:name="Tc_cR1XgXlAD0W7iX9nwzv8Pw_7_9"/>
      <w:bookmarkStart w:id="1562" w:name="Tc_KygYTG9rPE2AacPGmtOhWQ_7_0"/>
      <w:bookmarkStart w:id="1563" w:name="Tc_7JUXCDwoAUq_0pOLMD1Bkw_6_12"/>
      <w:bookmarkStart w:id="1564" w:name="Tc_aogGznmSn0G8wzv1BX5SWA_6_9"/>
      <w:bookmarkStart w:id="1565" w:name="Tc_ptbFzQfBQEm8e-Z3G8nP0g_6_6"/>
      <w:bookmarkStart w:id="1566" w:name="Tc_BUa48x9Qz0SjusHflFVWNg_6_0"/>
      <w:bookmarkStart w:id="1567" w:name="Tc_vaGWnijxFEKfELl-6RQYIw_5_6"/>
      <w:bookmarkStart w:id="1568" w:name="Tc_MPuVEMokJU6nbvXlYrzJpQ_5_0"/>
      <w:bookmarkStart w:id="1569" w:name="Tc_ogFyqhThPEiHjV-SCwVHKA_4_0"/>
      <w:bookmarkStart w:id="1570" w:name="Tc_StwE-LW_XUeqtd9UvCyjVw_3_14"/>
      <w:bookmarkStart w:id="1571" w:name="Tc_YvH6f7_1ikOaxwHHWARaUA_3_11"/>
      <w:bookmarkStart w:id="1572" w:name="Tc_02zX4fVtu0yU9IBiMoBMUw_3_8"/>
      <w:bookmarkStart w:id="1573" w:name="Tc_M9_vE9cieEOM1ad_w888Yw_3_6"/>
      <w:bookmarkStart w:id="1574" w:name="Tc_Zrtpqj8TGk2DEqEQ9a-omA_3_5"/>
      <w:bookmarkStart w:id="1575" w:name="Tc_MGTDKT-AuE6CWuA14Uus7A_3_2"/>
      <w:bookmarkStart w:id="1576" w:name="Tc_t4kf2y0OjEGU7ELrYLfcPQ_3_0"/>
      <w:bookmarkStart w:id="1577" w:name="Tc_XLIOJy-REU6jsqEo6oA7-g_2_14"/>
      <w:bookmarkStart w:id="1578" w:name="Tc_SdLCQEyzHkug36e898kgkw_2_11"/>
      <w:bookmarkStart w:id="1579" w:name="Tc_VbIa7bLugkuL6M2sCZ1YCA_2_8"/>
      <w:bookmarkStart w:id="1580" w:name="Tc_HR2OzNOO_0ma9hnf804PMw_2_5"/>
      <w:bookmarkStart w:id="1581" w:name="Tc_p8QO5cVauky-b0RGwoadoA_2_2"/>
      <w:bookmarkStart w:id="1582" w:name="Tc_86PAsotsSUCD4itbSBcOtQ_2_0"/>
      <w:bookmarkStart w:id="1583" w:name="Tc_0Fk4AeRdCECv7Dae--ym6Q_1_2"/>
      <w:bookmarkStart w:id="1584" w:name="_626faf9d_1be8_42c4_b1d2_91b98b42090c"/>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r>
        <w:rPr>
          <w:rFonts w:ascii="Times New Roman;Times;serif" w:hAnsi="Times New Roman;Times;serif"/>
          <w:sz w:val="20"/>
        </w:rPr>
        <w:t>The "Other Expenses" in the segment table include the following components: cost of production, general and administrative expenses, acquisition-related costs, facility idling costs, and other expenses.</w:t>
      </w:r>
    </w:p>
    <w:p>
      <w:pPr>
        <w:pStyle w:val="TextBody"/>
        <w:bidi w:val="0"/>
        <w:spacing w:before="0" w:after="0"/>
        <w:ind w:left="0" w:right="0" w:hanging="0"/>
        <w:jc w:val="left"/>
        <w:rPr/>
      </w:pPr>
      <w:r>
        <w:rPr/>
        <w:t>​</w:t>
      </w:r>
    </w:p>
    <w:tbl>
      <w:tblPr>
        <w:tblW w:w="9436" w:type="dxa"/>
        <w:jc w:val="left"/>
        <w:tblInd w:w="0" w:type="dxa"/>
        <w:tblLayout w:type="fixed"/>
        <w:tblCellMar>
          <w:top w:w="0" w:type="dxa"/>
          <w:left w:w="0" w:type="dxa"/>
          <w:bottom w:w="0" w:type="dxa"/>
          <w:right w:w="0" w:type="dxa"/>
        </w:tblCellMar>
      </w:tblPr>
      <w:tblGrid>
        <w:gridCol w:w="3916"/>
        <w:gridCol w:w="109"/>
        <w:gridCol w:w="211"/>
        <w:gridCol w:w="796"/>
        <w:gridCol w:w="109"/>
        <w:gridCol w:w="211"/>
        <w:gridCol w:w="781"/>
        <w:gridCol w:w="109"/>
        <w:gridCol w:w="211"/>
        <w:gridCol w:w="676"/>
        <w:gridCol w:w="109"/>
        <w:gridCol w:w="211"/>
        <w:gridCol w:w="781"/>
        <w:gridCol w:w="109"/>
        <w:gridCol w:w="211"/>
        <w:gridCol w:w="886"/>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486660" cy="175260"/>
                      <wp:effectExtent l="0" t="0" r="0" b="0"/>
                      <wp:wrapNone/>
                      <wp:docPr id="394" name="Frame394"/>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9215" cy="175260"/>
                      <wp:effectExtent l="0" t="0" r="0" b="0"/>
                      <wp:wrapNone/>
                      <wp:docPr id="395" name="Frame3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33985" cy="175260"/>
                      <wp:effectExtent l="0" t="0" r="0" b="0"/>
                      <wp:wrapNone/>
                      <wp:docPr id="396" name="Frame3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505460" cy="175260"/>
                      <wp:effectExtent l="0" t="0" r="0" b="0"/>
                      <wp:wrapNone/>
                      <wp:docPr id="397" name="Frame39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9215" cy="175260"/>
                      <wp:effectExtent l="0" t="0" r="0" b="0"/>
                      <wp:wrapNone/>
                      <wp:docPr id="398" name="Frame3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33985" cy="175260"/>
                      <wp:effectExtent l="0" t="0" r="0" b="0"/>
                      <wp:wrapNone/>
                      <wp:docPr id="399" name="Frame3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495935" cy="175260"/>
                      <wp:effectExtent l="0" t="0" r="0" b="0"/>
                      <wp:wrapNone/>
                      <wp:docPr id="400" name="Frame40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9215" cy="175260"/>
                      <wp:effectExtent l="0" t="0" r="0" b="0"/>
                      <wp:wrapNone/>
                      <wp:docPr id="401" name="Frame4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33985" cy="175260"/>
                      <wp:effectExtent l="0" t="0" r="0" b="0"/>
                      <wp:wrapNone/>
                      <wp:docPr id="402" name="Frame4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429260" cy="175260"/>
                      <wp:effectExtent l="0" t="0" r="0" b="0"/>
                      <wp:wrapNone/>
                      <wp:docPr id="403" name="Frame40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9215" cy="175260"/>
                      <wp:effectExtent l="0" t="0" r="0" b="0"/>
                      <wp:wrapNone/>
                      <wp:docPr id="404" name="Frame4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133985" cy="175260"/>
                      <wp:effectExtent l="0" t="0" r="0" b="0"/>
                      <wp:wrapNone/>
                      <wp:docPr id="405" name="Frame4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495935" cy="175260"/>
                      <wp:effectExtent l="0" t="0" r="0" b="0"/>
                      <wp:wrapNone/>
                      <wp:docPr id="406" name="Frame40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9215" cy="175260"/>
                      <wp:effectExtent l="0" t="0" r="0" b="0"/>
                      <wp:wrapNone/>
                      <wp:docPr id="407" name="Frame4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33985" cy="175260"/>
                      <wp:effectExtent l="0" t="0" r="0" b="0"/>
                      <wp:wrapNone/>
                      <wp:docPr id="408" name="Frame4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562610" cy="175260"/>
                      <wp:effectExtent l="0" t="0" r="0" b="0"/>
                      <wp:wrapNone/>
                      <wp:docPr id="409" name="Frame40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5411"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2025</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109" w:type="dxa"/>
            <w:tcBorders/>
            <w:vAlign w:val="center"/>
          </w:tcPr>
          <w:p>
            <w:pPr>
              <w:pStyle w:val="TableContents"/>
              <w:bidi w:val="0"/>
              <w:spacing w:before="0" w:after="1"/>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GevoFuels</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GevoRNG</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GevoND</w:t>
            </w:r>
          </w:p>
        </w:tc>
        <w:tc>
          <w:tcPr>
            <w:tcW w:w="109" w:type="dxa"/>
            <w:tcBorders/>
            <w:vAlign w:val="center"/>
          </w:tcPr>
          <w:p>
            <w:pPr>
              <w:pStyle w:val="TableContents"/>
              <w:bidi w:val="0"/>
              <w:spacing w:before="0" w:after="1"/>
              <w:ind w:left="0" w:right="0" w:hanging="0"/>
              <w:jc w:val="center"/>
              <w:rPr/>
            </w:pPr>
            <w:r>
              <w:rPr/>
              <w:t>​</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37,179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43,413</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7,213</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934</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Project development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831</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and other expenses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12,188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14,999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28,639</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(12,366)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17,082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5,796</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(4,345)</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investment income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1,322</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Consolidated net income (loss)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(11,326)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13,845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2,729</w:t>
            </w:r>
          </w:p>
        </w:tc>
      </w:tr>
      <w:tr>
        <w:trPr/>
        <w:tc>
          <w:tcPr>
            <w:tcW w:w="391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Acquisitions of property, plant, and equipment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9,587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13,313</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39,768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43,558</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141,871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227,095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82,029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251,122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702,117</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pPr>
      <w:bookmarkStart w:id="1585" w:name="Tc_98AAvFC-002MxWvg5bcC0w_16_0"/>
      <w:bookmarkStart w:id="1586" w:name="Tc_2dRwV0u4TEKd0eExbEju7A_15_9"/>
      <w:bookmarkStart w:id="1587" w:name="Tc_l3gbUr8xd0KFFBypmoILMg_15_6"/>
      <w:bookmarkStart w:id="1588" w:name="Tc_TT6qXS0Y7ke3-PIV0-LATg_15_0"/>
      <w:bookmarkStart w:id="1589" w:name="Tc_H3-mst4MBUSPEXo5NCTwww_14_0"/>
      <w:bookmarkStart w:id="1590" w:name="Tc_svys-LMKfkeBsb9knBwS5g_12_0"/>
      <w:bookmarkStart w:id="1591" w:name="Tc_OJe5hwrLckCyd0-Kp4Xxyg_11_9"/>
      <w:bookmarkStart w:id="1592" w:name="Tc_Hwv92hBMLkeAAQT_A50Juw_11_6"/>
      <w:bookmarkStart w:id="1593" w:name="Tc_raZfsbpnnkqlKXthxcu0GQ_11_0"/>
      <w:bookmarkStart w:id="1594" w:name="Tc_j5izTRQjo0mHsf0_FgEbTA_10_6"/>
      <w:bookmarkStart w:id="1595" w:name="Tc_zIZvz8V6KUiaNpg-0XIbMw_10_0"/>
      <w:bookmarkStart w:id="1596" w:name="Tc_ubdurwjZr0mbhZdPu5apdw_9_0"/>
      <w:bookmarkStart w:id="1597" w:name="Tc_ke2r7TMGT0-UAMCHSDC2xA_8_6"/>
      <w:bookmarkStart w:id="1598" w:name="Tc_0_f4_UIlXkG5AuHuWneZPA_8_0"/>
      <w:bookmarkStart w:id="1599" w:name="Tc_Nll97Y0JmESsp-WuZFfRHw_7_9"/>
      <w:bookmarkStart w:id="1600" w:name="Tc_Llsc1qpiC0Knv1ooBf9Oig_7_0"/>
      <w:bookmarkStart w:id="1601" w:name="Tc_AG27yURbMUWE2mb-9RSbXQ_6_12"/>
      <w:bookmarkStart w:id="1602" w:name="Tc_qaej69ABrEmZN_nqoQV3CQ_6_9"/>
      <w:bookmarkStart w:id="1603" w:name="Tc_fhThHNA__0ala6kcRi7tCw_6_6"/>
      <w:bookmarkStart w:id="1604" w:name="Tc_m-PgmbnOIUeTx_s0d2QlNw_6_0"/>
      <w:bookmarkStart w:id="1605" w:name="Tc_msNPwGXn_0SPQzXxEZiFxA_5_6"/>
      <w:bookmarkStart w:id="1606" w:name="Tc_q37ZLtHZPUuAI-8LPEJ_Dg_5_0"/>
      <w:bookmarkStart w:id="1607" w:name="Tc_8xA6R1iaZkWGwFk0fNS9OQ_4_0"/>
      <w:bookmarkStart w:id="1608" w:name="Tc_phUmiBhCj0u_XJdpL9wimA_3_14"/>
      <w:bookmarkStart w:id="1609" w:name="Tc_rVax-ZRy_E61E1VkD68NlA_3_11"/>
      <w:bookmarkStart w:id="1610" w:name="Tc_PNJKj7ca7UaT8aExTefpNA_3_8"/>
      <w:bookmarkStart w:id="1611" w:name="Tc_6t1CPrVKHEWvqZQ03mnAMA_3_6"/>
      <w:bookmarkStart w:id="1612" w:name="Tc_LlTNAjyTX0W4Skc4h99zRg_3_5"/>
      <w:bookmarkStart w:id="1613" w:name="Tc_f1GUuOwTWEW1UWyeB3tD5Q_3_2"/>
      <w:bookmarkStart w:id="1614" w:name="Tc_dMD_iWyY7keuif8jisAl1g_3_0"/>
      <w:bookmarkStart w:id="1615" w:name="Tc_s7l22v5gvEKtkkcsTuTUwA_2_14"/>
      <w:bookmarkStart w:id="1616" w:name="Tc_U3Ym2auKc0mTHSYgfizjgw_2_11"/>
      <w:bookmarkStart w:id="1617" w:name="Tc_0nXtXeSEMEmHMA1Vq9PXZA_2_8"/>
      <w:bookmarkStart w:id="1618" w:name="Tc_gM_1kC3uokWYYfSnOdWiqg_2_5"/>
      <w:bookmarkStart w:id="1619" w:name="Tc_T7nsTIV26UCU2uRnOBBqHA_2_2"/>
      <w:bookmarkStart w:id="1620" w:name="Tc_QO7bF5nGbUGNCs5Nx6ZB5g_1_2"/>
      <w:bookmarkStart w:id="1621" w:name="_ed8356f9_1533_4c6b_9f92_c1ef6599ea20"/>
      <w:bookmarkStart w:id="1622" w:name="Tc_hj73tXH330eBTkNWMpmBDw_16_0"/>
      <w:bookmarkStart w:id="1623" w:name="Tc_IsIeCRy_HUmIvCDhSiJhig_15_12"/>
      <w:bookmarkStart w:id="1624" w:name="Tc_7kl93B37HUyPJjCppGUvQw_15_9"/>
      <w:bookmarkStart w:id="1625" w:name="Tc_lAvvnGEYEkS2BGcgVRp7eg_15_6"/>
      <w:bookmarkStart w:id="1626" w:name="Tc_Xv4WNduTWkeUPCtoqeRqRw_15_3"/>
      <w:bookmarkStart w:id="1627" w:name="Tc_-qmGX7Q_Y0Wb-msTnfo9Ww_15_0"/>
      <w:bookmarkStart w:id="1628" w:name="Tc_iZXoulYTFECTWjZzoSjuuQ_14_0"/>
      <w:bookmarkStart w:id="1629" w:name="Tc_nwqhudYU60mhAtDocNNKyA_12_0"/>
      <w:bookmarkStart w:id="1630" w:name="Tc_ANnVd4K-8kK7cPGcwA17YA_11_9"/>
      <w:bookmarkStart w:id="1631" w:name="Tc_4tyR2ddhz0WmO9o2k1mR7g_11_6"/>
      <w:bookmarkStart w:id="1632" w:name="Tc_EFM7eud7F02PESGpy13ZOg_11_0"/>
      <w:bookmarkStart w:id="1633" w:name="Tc_GUC9nZrH0kmaJeBQyNm1tw_10_0"/>
      <w:bookmarkStart w:id="1634" w:name="Tc_fA4GyN5rhU-X60ATGtDajg_9_0"/>
      <w:bookmarkStart w:id="1635" w:name="Tc_6uL0BkDBWkmvhvWn2U74AQ_8_6"/>
      <w:bookmarkStart w:id="1636" w:name="Tc_6_NmvooOQ0K6KNiw5Vq6Uw_8_0"/>
      <w:bookmarkStart w:id="1637" w:name="Tc_CDxb0RC4M0qjkufP6sSN0g_7_9"/>
      <w:bookmarkStart w:id="1638" w:name="Tc_KIuGtgfRXUacM2IbOKerQw_7_0"/>
      <w:bookmarkStart w:id="1639" w:name="Tc_7ZF2t80wz0izPc69xiPyrg_6_9"/>
      <w:bookmarkStart w:id="1640" w:name="Tc_xPDe52cIX0WkQHmAR5kDGQ_6_6"/>
      <w:bookmarkStart w:id="1641" w:name="Tc_X36tgYHk70eIL8xn9PT19g_6_0"/>
      <w:bookmarkStart w:id="1642" w:name="Tc_DgHSD8jQuUmOkKX7ZcF2IQ_5_6"/>
      <w:bookmarkStart w:id="1643" w:name="Tc_rlDOnhDEnESXpsD8xxsiJg_5_0"/>
      <w:bookmarkStart w:id="1644" w:name="Tc_QaNxCwO9pUC4zTKIgCgV7w_4_0"/>
      <w:bookmarkStart w:id="1645" w:name="Tc_WlKxXwyPkkGFlSpQMIJ_iQ_3_11"/>
      <w:bookmarkStart w:id="1646" w:name="Tc_CIElLN-jhEeJaz-Nk3RoOA_3_8"/>
      <w:bookmarkStart w:id="1647" w:name="Tc_VsHT78F__0m0daBgsofbkA_3_6"/>
      <w:bookmarkStart w:id="1648" w:name="Tc_F8PaX-gwjkWJN6-TfaJXSQ_3_5"/>
      <w:bookmarkStart w:id="1649" w:name="Tc_88iDHX2-YEq9qvXChAlqag_3_2"/>
      <w:bookmarkStart w:id="1650" w:name="Tc_pWJAYRVDaEm3iFeA5vVlHQ_3_0"/>
      <w:bookmarkStart w:id="1651" w:name="Tc_263tNUT1KE65mXrO87dqHg_2_11"/>
      <w:bookmarkStart w:id="1652" w:name="Tc_QXuSc28-B0CC2jcIzh2aKQ_2_8"/>
      <w:bookmarkStart w:id="1653" w:name="Tc_SrZ2Ry7ydU-lc8u9QUhY0Q_2_5"/>
      <w:bookmarkStart w:id="1654" w:name="Tc_W0rC_Kt4wE6OfZAVjfHGTg_2_2"/>
      <w:bookmarkStart w:id="1655" w:name="Tc_kP-p3XGkSkqX1tajGCzxjA_1_2"/>
      <w:bookmarkStart w:id="1656" w:name="_3125c270_fdb2_4ac2_a6ae_12e80a262b3d"/>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r>
        <w:rPr/>
        <w:t>​</w:t>
      </w:r>
    </w:p>
    <w:tbl>
      <w:tblPr>
        <w:tblW w:w="9218" w:type="dxa"/>
        <w:jc w:val="left"/>
        <w:tblInd w:w="0" w:type="dxa"/>
        <w:tblLayout w:type="fixed"/>
        <w:tblCellMar>
          <w:top w:w="0" w:type="dxa"/>
          <w:left w:w="0" w:type="dxa"/>
          <w:bottom w:w="0" w:type="dxa"/>
          <w:right w:w="0" w:type="dxa"/>
        </w:tblCellMar>
      </w:tblPr>
      <w:tblGrid>
        <w:gridCol w:w="3916"/>
        <w:gridCol w:w="326"/>
        <w:gridCol w:w="211"/>
        <w:gridCol w:w="796"/>
        <w:gridCol w:w="326"/>
        <w:gridCol w:w="211"/>
        <w:gridCol w:w="781"/>
        <w:gridCol w:w="326"/>
        <w:gridCol w:w="211"/>
        <w:gridCol w:w="691"/>
        <w:gridCol w:w="326"/>
        <w:gridCol w:w="211"/>
        <w:gridCol w:w="886"/>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486660" cy="175260"/>
                      <wp:effectExtent l="0" t="0" r="0" b="0"/>
                      <wp:wrapNone/>
                      <wp:docPr id="410" name="Frame410"/>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07010" cy="175260"/>
                      <wp:effectExtent l="0" t="0" r="0" b="0"/>
                      <wp:wrapNone/>
                      <wp:docPr id="411" name="Frame4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33985" cy="175260"/>
                      <wp:effectExtent l="0" t="0" r="0" b="0"/>
                      <wp:wrapNone/>
                      <wp:docPr id="412" name="Frame4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505460" cy="175260"/>
                      <wp:effectExtent l="0" t="0" r="0" b="0"/>
                      <wp:wrapNone/>
                      <wp:docPr id="413" name="Frame41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07010" cy="175260"/>
                      <wp:effectExtent l="0" t="0" r="0" b="0"/>
                      <wp:wrapNone/>
                      <wp:docPr id="414" name="Frame4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133985" cy="175260"/>
                      <wp:effectExtent l="0" t="0" r="0" b="0"/>
                      <wp:wrapNone/>
                      <wp:docPr id="415" name="Frame4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495935" cy="175260"/>
                      <wp:effectExtent l="0" t="0" r="0" b="0"/>
                      <wp:wrapNone/>
                      <wp:docPr id="416" name="Frame41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07010" cy="175260"/>
                      <wp:effectExtent l="0" t="0" r="0" b="0"/>
                      <wp:wrapNone/>
                      <wp:docPr id="417" name="Frame4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33985" cy="175260"/>
                      <wp:effectExtent l="0" t="0" r="0" b="0"/>
                      <wp:wrapNone/>
                      <wp:docPr id="418" name="Frame4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438785" cy="175260"/>
                      <wp:effectExtent l="0" t="0" r="0" b="0"/>
                      <wp:wrapNone/>
                      <wp:docPr id="419" name="Frame41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07010" cy="175260"/>
                      <wp:effectExtent l="0" t="0" r="0" b="0"/>
                      <wp:wrapNone/>
                      <wp:docPr id="420" name="Frame4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33985" cy="175260"/>
                      <wp:effectExtent l="0" t="0" r="0" b="0"/>
                      <wp:wrapNone/>
                      <wp:docPr id="421" name="Frame4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562610" cy="175260"/>
                      <wp:effectExtent l="0" t="0" r="0" b="0"/>
                      <wp:wrapNone/>
                      <wp:docPr id="422" name="Frame42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976"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2024</w:t>
            </w:r>
          </w:p>
        </w:tc>
      </w:tr>
      <w:tr>
        <w:trPr/>
        <w:tc>
          <w:tcPr>
            <w:tcW w:w="3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GevoFuels</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GevoRNG</w:t>
            </w:r>
          </w:p>
        </w:tc>
        <w:tc>
          <w:tcPr>
            <w:tcW w:w="326" w:type="dxa"/>
            <w:tcBorders/>
            <w:vAlign w:val="center"/>
          </w:tcPr>
          <w:p>
            <w:pPr>
              <w:pStyle w:val="TableContents"/>
              <w:bidi w:val="0"/>
              <w:spacing w:before="0" w:after="1"/>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5,260</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4,277</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1,641</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Project development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7,736</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and other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9,515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6,120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15,635</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(20,597)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(24,029)</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(1,113)</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investment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4,143</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Consolidated net loss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(17,585)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(21,002)</w:t>
            </w:r>
          </w:p>
        </w:tc>
      </w:tr>
      <w:tr>
        <w:trPr/>
        <w:tc>
          <w:tcPr>
            <w:tcW w:w="391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Acquisitions of property, plant, and equipment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9,830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9,196</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393,483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124,642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99,789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617,914</w:t>
            </w:r>
          </w:p>
        </w:tc>
      </w:tr>
    </w:tbl>
    <w:p>
      <w:pPr>
        <w:pStyle w:val="TextBody"/>
        <w:bidi w:val="0"/>
        <w:spacing w:before="0" w:after="240"/>
        <w:ind w:left="0" w:right="0" w:hanging="0"/>
        <w:jc w:val="left"/>
        <w:rPr/>
      </w:pPr>
      <w:r>
        <w:rPr/>
        <w:t>​</w:t>
      </w:r>
    </w:p>
    <w:tbl>
      <w:tblPr>
        <w:tblW w:w="9451" w:type="dxa"/>
        <w:jc w:val="left"/>
        <w:tblInd w:w="0" w:type="dxa"/>
        <w:tblLayout w:type="fixed"/>
        <w:tblCellMar>
          <w:top w:w="0" w:type="dxa"/>
          <w:left w:w="0" w:type="dxa"/>
          <w:bottom w:w="0" w:type="dxa"/>
          <w:right w:w="0" w:type="dxa"/>
        </w:tblCellMar>
      </w:tblPr>
      <w:tblGrid>
        <w:gridCol w:w="3916"/>
        <w:gridCol w:w="109"/>
        <w:gridCol w:w="211"/>
        <w:gridCol w:w="796"/>
        <w:gridCol w:w="109"/>
        <w:gridCol w:w="211"/>
        <w:gridCol w:w="781"/>
        <w:gridCol w:w="109"/>
        <w:gridCol w:w="211"/>
        <w:gridCol w:w="691"/>
        <w:gridCol w:w="109"/>
        <w:gridCol w:w="211"/>
        <w:gridCol w:w="781"/>
        <w:gridCol w:w="109"/>
        <w:gridCol w:w="211"/>
        <w:gridCol w:w="886"/>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486660" cy="175260"/>
                      <wp:effectExtent l="0" t="0" r="0" b="0"/>
                      <wp:wrapNone/>
                      <wp:docPr id="423" name="Frame423"/>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9215" cy="175260"/>
                      <wp:effectExtent l="0" t="0" r="0" b="0"/>
                      <wp:wrapNone/>
                      <wp:docPr id="424" name="Frame4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133985" cy="175260"/>
                      <wp:effectExtent l="0" t="0" r="0" b="0"/>
                      <wp:wrapNone/>
                      <wp:docPr id="425" name="Frame4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505460" cy="175260"/>
                      <wp:effectExtent l="0" t="0" r="0" b="0"/>
                      <wp:wrapNone/>
                      <wp:docPr id="426" name="Frame42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9215" cy="175260"/>
                      <wp:effectExtent l="0" t="0" r="0" b="0"/>
                      <wp:wrapNone/>
                      <wp:docPr id="427" name="Frame4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33985" cy="175260"/>
                      <wp:effectExtent l="0" t="0" r="0" b="0"/>
                      <wp:wrapNone/>
                      <wp:docPr id="428" name="Frame4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495935" cy="175260"/>
                      <wp:effectExtent l="0" t="0" r="0" b="0"/>
                      <wp:wrapNone/>
                      <wp:docPr id="429" name="Frame42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9215" cy="175260"/>
                      <wp:effectExtent l="0" t="0" r="0" b="0"/>
                      <wp:wrapNone/>
                      <wp:docPr id="430" name="Frame4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133985" cy="175260"/>
                      <wp:effectExtent l="0" t="0" r="0" b="0"/>
                      <wp:wrapNone/>
                      <wp:docPr id="431" name="Frame4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438785" cy="175260"/>
                      <wp:effectExtent l="0" t="0" r="0" b="0"/>
                      <wp:wrapNone/>
                      <wp:docPr id="432" name="Frame43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9215" cy="175260"/>
                      <wp:effectExtent l="0" t="0" r="0" b="0"/>
                      <wp:wrapNone/>
                      <wp:docPr id="433" name="Frame4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33985" cy="175260"/>
                      <wp:effectExtent l="0" t="0" r="0" b="0"/>
                      <wp:wrapNone/>
                      <wp:docPr id="434" name="Frame4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495935" cy="175260"/>
                      <wp:effectExtent l="0" t="0" r="0" b="0"/>
                      <wp:wrapNone/>
                      <wp:docPr id="435" name="Frame43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69215" cy="175260"/>
                      <wp:effectExtent l="0" t="0" r="0" b="0"/>
                      <wp:wrapNone/>
                      <wp:docPr id="436" name="Frame4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133985" cy="175260"/>
                      <wp:effectExtent l="0" t="0" r="0" b="0"/>
                      <wp:wrapNone/>
                      <wp:docPr id="437" name="Frame4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562610" cy="175260"/>
                      <wp:effectExtent l="0" t="0" r="0" b="0"/>
                      <wp:wrapNone/>
                      <wp:docPr id="438" name="Frame43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5426"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2025</w:t>
            </w:r>
          </w:p>
        </w:tc>
      </w:tr>
      <w:tr>
        <w:trPr/>
        <w:tc>
          <w:tcPr>
            <w:tcW w:w="391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GevoFuels</w:t>
            </w:r>
          </w:p>
        </w:tc>
        <w:tc>
          <w:tcPr>
            <w:tcW w:w="109" w:type="dxa"/>
            <w:tcBorders/>
            <w:vAlign w:val="center"/>
          </w:tcPr>
          <w:p>
            <w:pPr>
              <w:pStyle w:val="TableContents"/>
              <w:bidi w:val="0"/>
              <w:spacing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GevoRNG</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GevoND</w:t>
            </w:r>
          </w:p>
        </w:tc>
        <w:tc>
          <w:tcPr>
            <w:tcW w:w="109" w:type="dxa"/>
            <w:tcBorders/>
            <w:vAlign w:val="center"/>
          </w:tcPr>
          <w:p>
            <w:pPr>
              <w:pStyle w:val="TableContents"/>
              <w:bidi w:val="0"/>
              <w:spacing w:before="0" w:after="1"/>
              <w:ind w:left="0" w:right="0" w:hanging="0"/>
              <w:jc w:val="center"/>
              <w:rPr/>
            </w:pPr>
            <w:r>
              <w:rPr/>
              <w:t>​</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9,953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59,993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72,522</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8,532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12,835</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1,986</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Project development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4,694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5,833</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and other expenses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27,720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33,240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66,211</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(33,350)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18,182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(14,343)</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(5,511)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(7,639)</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investment income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3,092</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Consolidated net income (loss)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(30,833)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12,738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(19,044)</w:t>
            </w:r>
          </w:p>
        </w:tc>
      </w:tr>
      <w:tr>
        <w:trPr/>
        <w:tc>
          <w:tcPr>
            <w:tcW w:w="391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Acquisitions of property, plant, and equipment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14,810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19,147</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39,768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43,558</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141,871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227,095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82,029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251,122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702,117</w:t>
            </w:r>
          </w:p>
        </w:tc>
      </w:tr>
    </w:tbl>
    <w:p>
      <w:pPr>
        <w:pStyle w:val="TextBody"/>
        <w:bidi w:val="0"/>
        <w:spacing w:before="0" w:after="24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ind w:left="0" w:right="0" w:hanging="0"/>
        <w:jc w:val="left"/>
        <w:rPr>
          <w:sz w:val="4"/>
          <w:szCs w:val="4"/>
        </w:rPr>
      </w:pPr>
      <w:r>
        <w:rPr>
          <w:sz w:val="4"/>
          <w:szCs w:val="4"/>
        </w:rPr>
      </w:r>
      <w:bookmarkStart w:id="1657" w:name="Tc_i4ZdU-EkckK5u0lpDNOoUg_16_0"/>
      <w:bookmarkStart w:id="1658" w:name="Tc_R5BVReXcD06wjmZ2XVOM0w_15_12"/>
      <w:bookmarkStart w:id="1659" w:name="Tc_PUaw3OODzkifMne3VcHUrw_15_9"/>
      <w:bookmarkStart w:id="1660" w:name="Tc_lhrQRsER3k6nmIBlutiQlw_15_6"/>
      <w:bookmarkStart w:id="1661" w:name="Tc_lKzos4SGhEy6i1R32j9U4Q_15_3"/>
      <w:bookmarkStart w:id="1662" w:name="Tc_YivxvyheQ0yiCXUw35WwkA_15_0"/>
      <w:bookmarkStart w:id="1663" w:name="Tc_HVCrku0qgkS0veILE9p9tQ_14_0"/>
      <w:bookmarkStart w:id="1664" w:name="Tc_m84VrKsIjk6qNvZVy1VtVQ_12_0"/>
      <w:bookmarkStart w:id="1665" w:name="Tc_AaY6NRNRY0qIbI2Pvu0PxQ_11_9"/>
      <w:bookmarkStart w:id="1666" w:name="Tc_osakxQT0y0epicLO9a0H-A_11_6"/>
      <w:bookmarkStart w:id="1667" w:name="Tc_-pQM3mPUJU63iqmPPw_o9w_11_0"/>
      <w:bookmarkStart w:id="1668" w:name="Tc_sGk1jtcbkUCFBlozX3-ubQ_10_6"/>
      <w:bookmarkStart w:id="1669" w:name="Tc_r31MtU21iUGYHpHQ56SoYQ_10_0"/>
      <w:bookmarkStart w:id="1670" w:name="Tc_hDWHgFoVzkKEUgssgRkG7A_9_0"/>
      <w:bookmarkStart w:id="1671" w:name="Tc_YgYQPx8vbEuc_t4kue1oGw_8_6"/>
      <w:bookmarkStart w:id="1672" w:name="Tc_NfHso2WdpkSqGAyijXS4NA_8_0"/>
      <w:bookmarkStart w:id="1673" w:name="Tc_SOZ9fmoTKUSVPJlVYWdDrg_7_9"/>
      <w:bookmarkStart w:id="1674" w:name="Tc_Ckxcfa7e_EGrAI9nB7qLrg_7_0"/>
      <w:bookmarkStart w:id="1675" w:name="Tc_rvKVE_xMlkG0mikdd24DNg_6_9"/>
      <w:bookmarkStart w:id="1676" w:name="Tc_29lSZL7miUik60K6jn_M1g_6_6"/>
      <w:bookmarkStart w:id="1677" w:name="Tc_QhTNL25bV0C9k4aWG9uWpw_6_0"/>
      <w:bookmarkStart w:id="1678" w:name="Tc_KQ3C2b0JnEao1RbEueSEzg_5_6"/>
      <w:bookmarkStart w:id="1679" w:name="Tc_i3rFUez5JES0C8CssKNlLw_5_0"/>
      <w:bookmarkStart w:id="1680" w:name="Tc_2ZmyMSZmhUGpmUSIpKeCDQ_4_0"/>
      <w:bookmarkStart w:id="1681" w:name="Tc_3a9yjaKwJUqenGCm_wMhcg_3_11"/>
      <w:bookmarkStart w:id="1682" w:name="Tc_YIecj9seVkGumXfPub9Ecg_3_8"/>
      <w:bookmarkStart w:id="1683" w:name="Tc_Uyi9tIPQQESELEw41tdDzQ_3_6"/>
      <w:bookmarkStart w:id="1684" w:name="Tc_NwI0Zv5WW0iGP3fmqiA2iw_3_5"/>
      <w:bookmarkStart w:id="1685" w:name="Tc_WpYrKvMuN0O0kAMIwzcs-g_3_2"/>
      <w:bookmarkStart w:id="1686" w:name="Tc_8I8TJhUWZE2e2tPNopZQyQ_3_0"/>
      <w:bookmarkStart w:id="1687" w:name="Tc_ox0jmOVBQ02_gpUxrFOuvQ_2_11"/>
      <w:bookmarkStart w:id="1688" w:name="Tc_HKj4qeOcrUWN5PMOPL0xpQ_2_8"/>
      <w:bookmarkStart w:id="1689" w:name="Tc_pOxfcASAR0qt3qlV243xNQ_2_5"/>
      <w:bookmarkStart w:id="1690" w:name="Tc_y_uj76RzcEKyqZYA0fS44w_2_2"/>
      <w:bookmarkStart w:id="1691" w:name="Tc_af1Gmv9Rw0CjuAXjyrifdg_1_2"/>
      <w:bookmarkStart w:id="1692" w:name="_bfa8eaaa_4d99_4268_ae7a_1d0e46d2bc1b"/>
      <w:bookmarkStart w:id="1693" w:name="Tc_i4ZdU-EkckK5u0lpDNOoUg_16_0"/>
      <w:bookmarkStart w:id="1694" w:name="Tc_R5BVReXcD06wjmZ2XVOM0w_15_12"/>
      <w:bookmarkStart w:id="1695" w:name="Tc_PUaw3OODzkifMne3VcHUrw_15_9"/>
      <w:bookmarkStart w:id="1696" w:name="Tc_lhrQRsER3k6nmIBlutiQlw_15_6"/>
      <w:bookmarkStart w:id="1697" w:name="Tc_lKzos4SGhEy6i1R32j9U4Q_15_3"/>
      <w:bookmarkStart w:id="1698" w:name="Tc_YivxvyheQ0yiCXUw35WwkA_15_0"/>
      <w:bookmarkStart w:id="1699" w:name="Tc_HVCrku0qgkS0veILE9p9tQ_14_0"/>
      <w:bookmarkStart w:id="1700" w:name="Tc_m84VrKsIjk6qNvZVy1VtVQ_12_0"/>
      <w:bookmarkStart w:id="1701" w:name="Tc_AaY6NRNRY0qIbI2Pvu0PxQ_11_9"/>
      <w:bookmarkStart w:id="1702" w:name="Tc_osakxQT0y0epicLO9a0H-A_11_6"/>
      <w:bookmarkStart w:id="1703" w:name="Tc_-pQM3mPUJU63iqmPPw_o9w_11_0"/>
      <w:bookmarkStart w:id="1704" w:name="Tc_sGk1jtcbkUCFBlozX3-ubQ_10_6"/>
      <w:bookmarkStart w:id="1705" w:name="Tc_r31MtU21iUGYHpHQ56SoYQ_10_0"/>
      <w:bookmarkStart w:id="1706" w:name="Tc_hDWHgFoVzkKEUgssgRkG7A_9_0"/>
      <w:bookmarkStart w:id="1707" w:name="Tc_YgYQPx8vbEuc_t4kue1oGw_8_6"/>
      <w:bookmarkStart w:id="1708" w:name="Tc_NfHso2WdpkSqGAyijXS4NA_8_0"/>
      <w:bookmarkStart w:id="1709" w:name="Tc_SOZ9fmoTKUSVPJlVYWdDrg_7_9"/>
      <w:bookmarkStart w:id="1710" w:name="Tc_Ckxcfa7e_EGrAI9nB7qLrg_7_0"/>
      <w:bookmarkStart w:id="1711" w:name="Tc_rvKVE_xMlkG0mikdd24DNg_6_9"/>
      <w:bookmarkStart w:id="1712" w:name="Tc_29lSZL7miUik60K6jn_M1g_6_6"/>
      <w:bookmarkStart w:id="1713" w:name="Tc_QhTNL25bV0C9k4aWG9uWpw_6_0"/>
      <w:bookmarkStart w:id="1714" w:name="Tc_KQ3C2b0JnEao1RbEueSEzg_5_6"/>
      <w:bookmarkStart w:id="1715" w:name="Tc_i3rFUez5JES0C8CssKNlLw_5_0"/>
      <w:bookmarkStart w:id="1716" w:name="Tc_2ZmyMSZmhUGpmUSIpKeCDQ_4_0"/>
      <w:bookmarkStart w:id="1717" w:name="Tc_3a9yjaKwJUqenGCm_wMhcg_3_11"/>
      <w:bookmarkStart w:id="1718" w:name="Tc_YIecj9seVkGumXfPub9Ecg_3_8"/>
      <w:bookmarkStart w:id="1719" w:name="Tc_Uyi9tIPQQESELEw41tdDzQ_3_6"/>
      <w:bookmarkStart w:id="1720" w:name="Tc_NwI0Zv5WW0iGP3fmqiA2iw_3_5"/>
      <w:bookmarkStart w:id="1721" w:name="Tc_WpYrKvMuN0O0kAMIwzcs-g_3_2"/>
      <w:bookmarkStart w:id="1722" w:name="Tc_8I8TJhUWZE2e2tPNopZQyQ_3_0"/>
      <w:bookmarkStart w:id="1723" w:name="Tc_ox0jmOVBQ02_gpUxrFOuvQ_2_11"/>
      <w:bookmarkStart w:id="1724" w:name="Tc_HKj4qeOcrUWN5PMOPL0xpQ_2_8"/>
      <w:bookmarkStart w:id="1725" w:name="Tc_pOxfcASAR0qt3qlV243xNQ_2_5"/>
      <w:bookmarkStart w:id="1726" w:name="Tc_y_uj76RzcEKyqZYA0fS44w_2_2"/>
      <w:bookmarkStart w:id="1727" w:name="Tc_af1Gmv9Rw0CjuAXjyrifdg_1_2"/>
      <w:bookmarkStart w:id="1728" w:name="_bfa8eaaa_4d99_4268_ae7a_1d0e46d2bc1b"/>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p>
    <w:tbl>
      <w:tblPr>
        <w:tblW w:w="9218" w:type="dxa"/>
        <w:jc w:val="left"/>
        <w:tblInd w:w="0" w:type="dxa"/>
        <w:tblLayout w:type="fixed"/>
        <w:tblCellMar>
          <w:top w:w="0" w:type="dxa"/>
          <w:left w:w="0" w:type="dxa"/>
          <w:bottom w:w="0" w:type="dxa"/>
          <w:right w:w="0" w:type="dxa"/>
        </w:tblCellMar>
      </w:tblPr>
      <w:tblGrid>
        <w:gridCol w:w="3916"/>
        <w:gridCol w:w="326"/>
        <w:gridCol w:w="211"/>
        <w:gridCol w:w="796"/>
        <w:gridCol w:w="326"/>
        <w:gridCol w:w="211"/>
        <w:gridCol w:w="781"/>
        <w:gridCol w:w="326"/>
        <w:gridCol w:w="211"/>
        <w:gridCol w:w="691"/>
        <w:gridCol w:w="326"/>
        <w:gridCol w:w="211"/>
        <w:gridCol w:w="886"/>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486660" cy="175260"/>
                      <wp:effectExtent l="0" t="0" r="0" b="0"/>
                      <wp:wrapNone/>
                      <wp:docPr id="439" name="Frame439"/>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07010" cy="175260"/>
                      <wp:effectExtent l="0" t="0" r="0" b="0"/>
                      <wp:wrapNone/>
                      <wp:docPr id="440" name="Frame4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33985" cy="175260"/>
                      <wp:effectExtent l="0" t="0" r="0" b="0"/>
                      <wp:wrapNone/>
                      <wp:docPr id="441" name="Frame4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505460" cy="175260"/>
                      <wp:effectExtent l="0" t="0" r="0" b="0"/>
                      <wp:wrapNone/>
                      <wp:docPr id="442" name="Frame44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07010" cy="175260"/>
                      <wp:effectExtent l="0" t="0" r="0" b="0"/>
                      <wp:wrapNone/>
                      <wp:docPr id="443" name="Frame4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133985" cy="175260"/>
                      <wp:effectExtent l="0" t="0" r="0" b="0"/>
                      <wp:wrapNone/>
                      <wp:docPr id="444" name="Frame4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495935" cy="175260"/>
                      <wp:effectExtent l="0" t="0" r="0" b="0"/>
                      <wp:wrapNone/>
                      <wp:docPr id="445" name="Frame44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07010" cy="175260"/>
                      <wp:effectExtent l="0" t="0" r="0" b="0"/>
                      <wp:wrapNone/>
                      <wp:docPr id="446" name="Frame4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133985" cy="175260"/>
                      <wp:effectExtent l="0" t="0" r="0" b="0"/>
                      <wp:wrapNone/>
                      <wp:docPr id="447" name="Frame4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438785" cy="175260"/>
                      <wp:effectExtent l="0" t="0" r="0" b="0"/>
                      <wp:wrapNone/>
                      <wp:docPr id="448" name="Frame44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07010" cy="175260"/>
                      <wp:effectExtent l="0" t="0" r="0" b="0"/>
                      <wp:wrapNone/>
                      <wp:docPr id="449" name="Frame4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33985" cy="175260"/>
                      <wp:effectExtent l="0" t="0" r="0" b="0"/>
                      <wp:wrapNone/>
                      <wp:docPr id="450" name="Frame4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562610" cy="175260"/>
                      <wp:effectExtent l="0" t="0" r="0" b="0"/>
                      <wp:wrapNone/>
                      <wp:docPr id="451" name="Frame45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976"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2024</w:t>
            </w:r>
          </w:p>
        </w:tc>
      </w:tr>
      <w:tr>
        <w:trPr/>
        <w:tc>
          <w:tcPr>
            <w:tcW w:w="3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GevoFuels</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GevoRNG</w:t>
            </w:r>
          </w:p>
        </w:tc>
        <w:tc>
          <w:tcPr>
            <w:tcW w:w="326" w:type="dxa"/>
            <w:tcBorders/>
            <w:vAlign w:val="center"/>
          </w:tcPr>
          <w:p>
            <w:pPr>
              <w:pStyle w:val="TableContents"/>
              <w:bidi w:val="0"/>
              <w:spacing w:before="0" w:after="1"/>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8,313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9,250</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8,728</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3,189</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Project development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10,821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13,055</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and other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21,597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9,851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31,448</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(4,213)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(47,170)</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(1,655)</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investment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8,736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8,736</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Consolidated net loss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(33,886)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(39,877)</w:t>
            </w:r>
          </w:p>
        </w:tc>
      </w:tr>
      <w:tr>
        <w:trPr/>
        <w:tc>
          <w:tcPr>
            <w:tcW w:w="391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Acquisitions of property, plant, and equipment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10,352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15,311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26,708</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393,483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124,642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99,789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617,914</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24. Subsequent Events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July 10, 2025, Gevo announced that Barclays Capital Inc. purchased $40 million of newly issued non-recourse tax-exempt private activity bonds (the “2025 Bonds”) issued by the Iowa Finance Authority for the benefit of GevoRNG. The bond proceeds were used to refinance $40 million of the previously issued Remarketed Bonds, which were issued in the aggregate principal amount of $68.2 million and secured by an irrevocable direct pay letter of credit. This partial refinancing of the Remarketed Bonds enabled Gevo to release $40.8 million of restricted cash, including interest of $0.8 million, that was securing the letter of credit and return approximately $30.4 million of cash to Gevo after paying transaction costs of $3.4 million and funding the debt service reserve of $4.0 million and the operating and maintenance reserve of $3.0 million associated with the 2025 Bonds.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July 4, 2025, the OBBBA, which includes a broad range of tax reform provisions, was enacted in the U.S. The Company is evaluating the provisions of the OBBBA, but does not expect it to have a material impact on the financial statements. See Note 3, Tax Credit Recognition and Sales, for additional information.3</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Times New Roman;Times;serif" w:hAnsi="Times New Roman;Times;serif"/>
          <w:b/>
          <w:sz w:val="20"/>
        </w:rPr>
      </w:pPr>
      <w:bookmarkStart w:id="1729" w:name="Item2ManagementsDiscussionandAnalysisofF"/>
      <w:bookmarkStart w:id="1730" w:name="_f64a5421_82d4_4a78_94b9_426089afa9c2"/>
      <w:bookmarkEnd w:id="1729"/>
      <w:bookmarkEnd w:id="1730"/>
      <w:r>
        <w:rPr>
          <w:rFonts w:ascii="Times New Roman;Times;serif" w:hAnsi="Times New Roman;Times;serif"/>
          <w:b/>
          <w:sz w:val="20"/>
        </w:rPr>
        <w:t>Item 2. Management’s Discussion and Analysis of Financial Condition and Results of Operations.</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This Quarterly Report on Form 10-Q (this “Report”) contains forward-looking statements within the meaning of Section 21 E of the Securities Exchange Act of 1934, as amended (the “Exchange Act”). When used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reflect our current views with respect to future events and are based on assumptions and subject to risks and uncertainties. These forward-looking statements include, among other things, statements about: our financial condition, our revenues, results of operation and liquidity, our expectations regarding the financing, development, and construction of our projects, and the associated costs, our ability to produce our products, our expectations regarding the demand for our products and our ability to meet such demand, our ability to meet production, financial and operational guidance, our strategy to pursue low-carbon or “net zero” carbon renewable fuels, our ability to replace our fossil-based energy sources with renewable energy sources at our Alcohol-to-Jet Projects and elsewhere, our expectations regarding jet fuel consumption, our expectations regarding the location, start-up date and production results for our Alcohol-to-Jet Projects, our expectations regarding the anticipated benefits of our acquisition of the majority of the assets of Red Trail Energy, LLC (“Red Trail Energy”) and the impact thereof on our financial results and operations, our expectations regarding the benefits of ETO (as defined below) technology, our expectations regarding our ability to produce and the anticipated benefits of renewable liquid hydrocarbons, our expectations regarding our ability to produce and resell protein and other products for use in the food chain, our ability and plans to construct greenfield commercial hydrocarbon facilities to produce synthetic aviation fuel (“SAF”) and other products, our ability to raise additional funds to finance our business and the sources of those funds, our ability to successfully operate our renewable natural gas (“RNG”) facilities in Iowa and our expectations regarding levels of RNG production, the availability of, and market prices for, government economic incentives to the renewable energy market, achievement of advances in our technology platform, the availability of suitable and cost-competitive feedstocks, our ability to gain market acceptance for our products, our expectations regarding the demand for and revenue to be generated from the sale of carbon credits, our expectations regarding reimbursement of costs incurred under the USDA Grant (defined below), the expected cost-competitiveness and relative performance attributes of our products, our strategy to pursue alcohol-to-jet development and production, additional competition, the expected sale of Agri-Energy, LLC and the timing thereof, and changes in economic conditions. Important factors could cause actual results to differ materially from those indicated or implied by forward-looking statements such as those contained in documents we have filed with the United States (“U.S.”) Securities and Exchange Commission (the “SEC”), including this Report in Item 7. “Management’s Discussion and Analysis of Financial Condition and Results of Operations,” our Annual Report on Form 10-K for the year ended December 31, 2024 (our “2024 Annual Report”), including Item 1A. “Risk Factors” of our 2024 Annual Report and subsequent reports on Form 10-Q. All forward-looking statements in this Report are qualified entirely by the cautionary statements included in this Report and such other filings. These risks and uncertainties or other important factors could cause actual results to differ materially from results expressed or implied by forward-looking statements contained in this Report. These forward-looking statements speak only as of the date of this Report. We undertake no intention or obligation to update or revise any forward-looking statements, whether as a result of new information, future events or otherwise, and readers should not rely on the forward-looking statements as representing the Company’s views as of any date subsequent to the date of the filing of this Report.</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Unless the context requires otherwise, in this Report the terms “Gevo,” “we,” “us,” “our” and “Company” refer to Gevo, Inc. and its wholly owned, direct and indirect subsidiaries.</w:t>
      </w:r>
    </w:p>
    <w:p>
      <w:pPr>
        <w:pStyle w:val="TextBody"/>
        <w:shd w:fill="FFFFFF" w:val="clear"/>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discussion should be read in conjunction with our unaudited condensed consolidated financial statements and the related notes and other financial information appearing elsewhere in this Report. Readers are also urged to carefully review and consider the various disclosures made by us which attempt to advise interested parties of the factors which affect our business, including, without limitation, the disclosures in our 2024 Annual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Company Overview</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are a growth-oriented carbon abatement company that focuses on hard to decarbonize market sectors such as jet fuel, certain specialty fuels, on-road fuels, chemicals and materials, and certain products for the food chain such as protein and feeds made as co-products from our processes. Each of the market areas that Gevo focuses on have the common need for carbon-based products and are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conducive to full electrification or hydrogen. We produce and sell renewable, drop-in products for these sectors, and generate carbon abatement value through our plant design and business systems. Carbon abatement value can be valorized via Renewable Identification Numbers (“RINs”), state credits, tax credits available under the Inflation Reduction Act (“IRA”) and One Big Beautiful Bill Act (“OBBBA”), Canada’s Clean Fuel Regulations (“CFR”) and the value of Scope 3 greenhouse gas emissions for end customers. Gevo is primarily a project development, investment, and technology company, which also holds certain operating assets with the intent of generating cash flow.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primary market focus, given the large demand and growing customer interest, is carbon abated hydrocarbon fuels, including SAF. We believe that SAF produced from a carbohydrate-to-alcohol process is the most economically viable approach to meet growing jet fuel demand and to generate value from carbon abatement. We also have commercial opportunities for other renewable hydrocarbon products, such as RNG; hydrocarbons for gasoline and racing fuel blendstocks and diesel fuel; ingredients for the chemical industry, such as ethylene and butenes for plastics and materials; and other chemicals. With the recent acquisition of the majority of the assets of Red Trail Energy, which specialized in the production of ethanol and feed co-products from corn and sequestering carbon through its carbon capture and sequestration asset, we have expanded our capabilities in the biofuels and carbon marketing sector. Red Trail Energy’s operations complement our renewable fuels strategy and enhance our ability to provide sustainable fuel alternatives and carbon sequestration, supporting our broader goal of diversifying renewable product streams.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Commodity Insights projects that global jet fuel production is expected to peak around 2035 at 7.8 million barrels per day, with SAF comprising approximately 11% of the aviation fuel mix. By 2050, the contribution of SAF could increase significantly, potentially representing 36% of global aviation fuel consumption, according to Commodity Insights. The International Air Transport Association (“IATA”), which represents over 300 airlines worldwide, forecasts that air travel demand will continue to grow, with the potential to double by 2040 compared to 2019 levels. In support of this growth, the IATA has adopted a resolution urging its members to achieve net-zero emissions by 2050. In line with this, the Boston Consulting Group anticipates substantial growth in global SAF demand in the coming decades, with SAF expected to account for 12% of global aviation energy demand by 2050.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 serve these markets, we are developing commercial projects for converting renewable energy into energy-dense, liquid hydrocarbons that can be used as renewable fuels, such as SAF, with the potential to achieve a cost competitive jet fuel with reduced or eliminated greenhouse gas (“GHG”) footprint. We believe that this addresses the global need of economically reducing GHG emissions with “drop in” synthetic petroleum fuels. We use the Argonne National Laboratory’s Greenhouse gases, Regulated Emissions, and Energy use in Transportation model (the “GREET Model”) to measure, predict and verify GHG emissions across the life cycle of our products. Gevo expects that by using sustainably grown feedstock (e.g., low till, no-till cultivation, ethanol and other alcohols) and renewable and substantially decarbonized energy sources, drop-in hydrocarbon fuels can be produced that have a reduced or eliminated full life cycle footprint measured from the capture of renewable carbon through the burning of the fuel. This is because such feedstocks come from crops, which take carbon dioxide out of the atmosphere and convert it into biomass through photosynthesis. This yields vital amino acid nutrients, or protein, that humans and animals can consume, as well as vegetable oil and carbohydrates, or sugar. The plant sugar may be fermented with microorganisms to produce a clean alcohol suitable for on-road fuels, or for further industrial scale chemical processing into hydrocarbons. Given the overabundance of plant-derived sugar, the growing unmet demand for drop-in, renewable hydrocarbons such as SAF, and the availability of demonstrated industrial-scale technologies that can convert plant sugars to alcohols and then to hydrocarbons, we view our projects as first movers in an attractive, scalable new industry connecting this overabundance of plant sugar to unmet demand for products such as low-carbon ethanol, nutrients and SAF.</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With our Renewable Jet Fuel Platform, Gevo has put together the business system for producing and marketing SAF via the alcohol-to-jet route with the intent of offering this system to other producers of SAF.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Renewable Jet Fuel Platform includes:</w:t>
      </w:r>
    </w:p>
    <w:tbl>
      <w:tblPr>
        <w:tblW w:w="10011" w:type="dxa"/>
        <w:jc w:val="left"/>
        <w:tblInd w:w="0" w:type="dxa"/>
        <w:tblLayout w:type="fixed"/>
        <w:tblCellMar>
          <w:top w:w="28" w:type="dxa"/>
          <w:left w:w="28" w:type="dxa"/>
          <w:bottom w:w="28" w:type="dxa"/>
          <w:right w:w="28" w:type="dxa"/>
        </w:tblCellMar>
      </w:tblPr>
      <w:tblGrid>
        <w:gridCol w:w="124"/>
        <w:gridCol w:w="256"/>
        <w:gridCol w:w="9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and engineering design of modular alcohol-to-jet process and associated outside battery limits processes</w:t>
            </w:r>
          </w:p>
        </w:tc>
      </w:tr>
    </w:tbl>
    <w:tbl>
      <w:tblPr>
        <w:tblW w:w="2931" w:type="dxa"/>
        <w:jc w:val="left"/>
        <w:tblInd w:w="0" w:type="dxa"/>
        <w:tblLayout w:type="fixed"/>
        <w:tblCellMar>
          <w:top w:w="28" w:type="dxa"/>
          <w:left w:w="28" w:type="dxa"/>
          <w:bottom w:w="28" w:type="dxa"/>
          <w:right w:w="28" w:type="dxa"/>
        </w:tblCellMar>
      </w:tblPr>
      <w:tblGrid>
        <w:gridCol w:w="124"/>
        <w:gridCol w:w="256"/>
        <w:gridCol w:w="2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Modular alcohol-to-jet plants</w:t>
            </w:r>
          </w:p>
        </w:tc>
      </w:tr>
    </w:tbl>
    <w:tbl>
      <w:tblPr>
        <w:tblW w:w="5106" w:type="dxa"/>
        <w:jc w:val="left"/>
        <w:tblInd w:w="0" w:type="dxa"/>
        <w:tblLayout w:type="fixed"/>
        <w:tblCellMar>
          <w:top w:w="28" w:type="dxa"/>
          <w:left w:w="28" w:type="dxa"/>
          <w:bottom w:w="28" w:type="dxa"/>
          <w:right w:w="28" w:type="dxa"/>
        </w:tblCellMar>
      </w:tblPr>
      <w:tblGrid>
        <w:gridCol w:w="124"/>
        <w:gridCol w:w="256"/>
        <w:gridCol w:w="4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of products including SAF and carbon credits</w:t>
            </w:r>
          </w:p>
        </w:tc>
      </w:tr>
    </w:tbl>
    <w:tbl>
      <w:tblPr>
        <w:tblW w:w="4701" w:type="dxa"/>
        <w:jc w:val="left"/>
        <w:tblInd w:w="0" w:type="dxa"/>
        <w:tblLayout w:type="fixed"/>
        <w:tblCellMar>
          <w:top w:w="28" w:type="dxa"/>
          <w:left w:w="28" w:type="dxa"/>
          <w:bottom w:w="28" w:type="dxa"/>
          <w:right w:w="28" w:type="dxa"/>
        </w:tblCellMar>
      </w:tblPr>
      <w:tblGrid>
        <w:gridCol w:w="124"/>
        <w:gridCol w:w="256"/>
        <w:gridCol w:w="4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Carbon intensity tracking through the supply chain</w:t>
            </w:r>
          </w:p>
        </w:tc>
      </w:tr>
    </w:tbl>
    <w:tbl>
      <w:tblPr>
        <w:tblW w:w="3036" w:type="dxa"/>
        <w:jc w:val="left"/>
        <w:tblInd w:w="0" w:type="dxa"/>
        <w:tblLayout w:type="fixed"/>
        <w:tblCellMar>
          <w:top w:w="28" w:type="dxa"/>
          <w:left w:w="28" w:type="dxa"/>
          <w:bottom w:w="28" w:type="dxa"/>
          <w:right w:w="28" w:type="dxa"/>
        </w:tblCellMar>
      </w:tblPr>
      <w:tblGrid>
        <w:gridCol w:w="124"/>
        <w:gridCol w:w="256"/>
        <w:gridCol w:w="2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Carbon intensity ‘engineering’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Feedstock sourcing including identification of preferred feedstocks to serve the SAF market and tracking of those feedstocks through the supply chain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776" w:type="dxa"/>
        <w:jc w:val="left"/>
        <w:tblInd w:w="0" w:type="dxa"/>
        <w:tblLayout w:type="fixed"/>
        <w:tblCellMar>
          <w:top w:w="28" w:type="dxa"/>
          <w:left w:w="28" w:type="dxa"/>
          <w:bottom w:w="28" w:type="dxa"/>
          <w:right w:w="28" w:type="dxa"/>
        </w:tblCellMar>
      </w:tblPr>
      <w:tblGrid>
        <w:gridCol w:w="124"/>
        <w:gridCol w:w="256"/>
        <w:gridCol w:w="4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Decarbonized process energy selection and sourcing</w:t>
            </w:r>
          </w:p>
        </w:tc>
      </w:tr>
    </w:tbl>
    <w:p>
      <w:pPr>
        <w:pStyle w:val="TextBody"/>
        <w:bidi w:val="0"/>
        <w:spacing w:lineRule="auto" w:line="328"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Gevo has an intellectual property portfolio consisting of hundreds of patents, many of which center around our Renewable Jet Fuel Platform, as well as proprietary know-how. In addition, we have partnered with other leading global technology companies to develop this system focused on two standard sizes, 30 and 60 million gallons per year (“MMGPY”) of SAF, referred to as ATJ-30 and ATJ-60, respectively. It is our intent to deploy these at two sites we have selected for their fit with the needs for such a SAF system.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first designed the business system based on the ATJ-60 size. We identified a site in Lake Preston, South Dakota which we own, to deploy the ATJ-60 system. We then duplicated and modified the ATJ-60 designs to design the ATJ-30 business system. We believe GevoND would be an excellent site to deploy ATJ-30. We have also been in discussions with other companies around the world to deploy our SAF business systems.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GevoND.</w:t>
      </w:r>
      <w:r>
        <w:rPr>
          <w:rFonts w:ascii="Times New Roman;Times;serif" w:hAnsi="Times New Roman;Times;serif"/>
          <w:sz w:val="20"/>
        </w:rPr>
        <w:t xml:space="preserve"> On September 10, 2024, Gevo and its subsidiaries entered into an Asset Purchase Agreement with Red Trail Energy to acquire substantially all of its assets and assume certain liabilities. The acquisition was completed on January 31, 2025, for a purchase price of $210 million, subject to customary adjustments, including a working capital adjustment. The transaction was funded through a combination of Gevo equity capital, and a $105 million senior secured term loan facility and $5 million in equity from Orion Infrastructure Capital (“OIC”), a U.S.-based private investment firm. OIC’s equity contribution resulted in the creation of a redeemable non-controlling interest (“NCI”). This NCI is subject to a Put/Call option feature, which grants Gevo the right to call (purchase) the units held by OIC, and OIC the right to put (sell) the units to Gevo under certain conditions. These options are exercisable for a period of three years following the repayment of all outstanding debt under the credit agreement with OIC. As a result of the redeemable nature of this non-controlling interest, it has been classified as temporary equity on the Company’s Condensed Consolidated Balance Sheets.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acquired assets include an ethanol production plant, a carbon capture and storage well, and leases which give us rights to use additional pore space for carbon capture. The operational personnel of Red Trail Energy joined Gevo upon the closing of the acquisition. The acquired ethanol production facility converts corn into ethanol and distillers grains, a high-protein animal feed containing essential amino acid nutrients, and corn oil. The included carbon capture and sequestration (“CCS”) assets are expected to support Gevo’s broader carbon abatement goals, particularly in relation to its Renewable Jet Fuel Platform. We believe the acquisition strengthens Gevo’s growth trajectory by adding ethanol production, distillers grains, corn oil, and CDR credit sales to our revenue stream, while also enhancing our capabilities in CCS and supporting our broader strategic efforts in SAF production which use low-carbon alcohol as a feedstock.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begun sales of the resultant carbon tax credits from our CCS asset in North Dakota. In June 2025, we executed an agreement to sell tax credits to generate cash flow for our North Dakota operation.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ATJ-30 at GevoND</w:t>
      </w:r>
      <w:r>
        <w:rPr>
          <w:rFonts w:ascii="Times New Roman;Times;serif" w:hAnsi="Times New Roman;Times;serif"/>
          <w:sz w:val="20"/>
        </w:rPr>
        <w:t xml:space="preserve">. We have duplicated and modified the ATJ-60 design into an ATJ-30 design which we expect will be deployed for our North Dakota site, which would upgrade the low-carbon ethanol already produced onsite to jet fuel. We expect to continue engineering and development through 2025 and into 2026 before completing the front-end engineering design (“FEED”) phase of the project. At the end of FEED, we expect to have a capital estimate and schedule for the project. Because we began with the designs and know-how from the ATJ-60 project, we are able to shorten the time and costs to complete the development phase of the project.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ATJ-60 at Lake Preston, South Dakota.</w:t>
      </w:r>
      <w:r>
        <w:rPr>
          <w:rFonts w:ascii="Times New Roman;Times;serif" w:hAnsi="Times New Roman;Times;serif"/>
          <w:sz w:val="20"/>
        </w:rPr>
        <w:t xml:space="preserve"> ATJ-60 is designed to produce approximately 65 MMGPY of total hydrocarbon volumes, including 60 MMGPY of SAF. The liquid hydrocarbons, when burned, are expected to have a “net zero” GHG footprint. Along with the hydrocarbons, ATJ-60 is expected to produce approximately 1.3 billion pounds per year of high-value protein products for use in the food chain and approximately 30 million pounds per year of corn oil</w:t>
      </w:r>
      <w:r>
        <w:rPr>
          <w:rFonts w:ascii="Times New Roman;Times;serif" w:hAnsi="Times New Roman;Times;serif"/>
          <w:sz w:val="20"/>
          <w:shd w:fill="FFFFFF" w:val="clear"/>
        </w:rPr>
        <w:t>. Our products will be produced in three steps: the first step is milling the corn to produce the carbohydrates needed for the production of SAF while simultaneously enabling the production of protein and oil; the second step produces alcohols using carbohydrate-based fermentation; and the third step is the conversion of the alcohols into hydrocarbons. In connection with the planned construction of Gevo’s ATJ-60 SAF facility, Gevo commissioned an analysis by Charles River Associates, which estimated that the facility will contribute approximately $116 million annually to the local economy, generating 100 direct jobs at the plant and creating an additional 736 local jobs. Furthermore, the analysis estimated that (i) the construction phase of the ATJ-60 facility is projected to provide a temporary $184 million economic boost and support 1,266 jobs; and (ii) the facility is expected to generate $1.82 per gallon of SAF produced in local economic value and contribute an estimated $23 million annually in federal tax revenue.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currently expect to finance the construction of ATJ-60 at the subsidiary level using a combination of Company equity (including funds already spent on the project), and capital from project level equity and debt financing. The Company previously projected $40.0 million would be spent on ATJ-60 between January 2025 and the financial close of ATJ-60. The Company expects that the timing of this remaining spending will align with the timeline for financial close of the project. Cash distributions from future ATJ-60 earnings would be proportionate to Gevo’s ownership in ATJ-60 under this expected financing structure. The use of project debt and third-party equity allows us to conserve capital for use on other growth projects. We expect to apply similar development and financing strategies to future Alcohol-to-Jet Projects to grow our SAF production to meet the demand for SAF.</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order to achieve full construction financing for ATJ-60, we need to secure third-party equity and debt. On October 16th, 2024, ATJ-60 reached a critical milestone of receiving conditional commitment from the DOE for a loan guarantee facility with a capacity of approximately $1.6 billion (including capitalized interest during construction). This milestone is significant as it helps to validate ATJ-60’s integrity, which is underpinned by the DOE’s diligence process. The focus is now on negotiating and closing this DOE loan and our project level equity financing as quickly as possible. We expect that our ATJ-60 plant start-up date will occur approximately thirty-six months after the ATJ-60 financing closes, the timing of which is uncertain. We are also working to secure access to carbon capture and sequestration at the site.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evaluating and performing early site development work at several sites in the U.S. for other greenfield sites. These sites include several locations that are particularly advantageous in terms of potential economics, opportunities to decarbonize, and time to market. In addition, we are pursuing potential Alcohol-to-Jet Projects with several existing ethanol plant sites. Existing ethanol plants need to be decarbonized with renewable energy or de-fossilized energy and/or carbon sequestration. Gevo has developed a preferred list of potential partners and sites with decarbonization in mind and is engaged in preliminary feasibility and development discussions with several of these potential partners. We plan to give priority to existing industrial plant sites that have attractive potential economics and high predictability of timeline for decarbonization.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shd w:fill="FFFFFF" w:val="clear"/>
        </w:rPr>
        <w:t>Renewable Natural Gas Business.</w:t>
      </w:r>
      <w:r>
        <w:rPr>
          <w:rFonts w:ascii="Times New Roman;Times;serif" w:hAnsi="Times New Roman;Times;serif"/>
          <w:sz w:val="20"/>
          <w:shd w:fill="FFFFFF" w:val="clear"/>
        </w:rPr>
        <w:t xml:space="preserve"> The RNG </w:t>
      </w:r>
      <w:r>
        <w:rPr>
          <w:rFonts w:ascii="Times New Roman;Times;serif" w:hAnsi="Times New Roman;Times;serif"/>
          <w:color w:val="212529"/>
          <w:sz w:val="20"/>
          <w:shd w:fill="FFFFFF" w:val="clear"/>
        </w:rPr>
        <w:t xml:space="preserve">business </w:t>
      </w:r>
      <w:r>
        <w:rPr>
          <w:rFonts w:ascii="Times New Roman;Times;serif" w:hAnsi="Times New Roman;Times;serif"/>
          <w:sz w:val="20"/>
          <w:shd w:fill="FFFFFF" w:val="clear"/>
        </w:rPr>
        <w:t>in Northwest Iowa started up and began producing and</w:t>
      </w:r>
      <w:r>
        <w:rPr>
          <w:rFonts w:ascii="Times New Roman;Times;serif" w:hAnsi="Times New Roman;Times;serif"/>
          <w:sz w:val="20"/>
        </w:rPr>
        <w:t xml:space="preserve"> injecting initial volumes of biogas in 2022, during the project’s testing and ramp-up period. In 2023, the project achieved stable production levels and surpassed our annual production target of 310,000 million British thermal units (“MMBtu”). In addition, in 2024 we completed an expansion to the RNG </w:t>
      </w:r>
      <w:r>
        <w:rPr>
          <w:rFonts w:ascii="Times New Roman;Times;serif" w:hAnsi="Times New Roman;Times;serif"/>
          <w:color w:val="212529"/>
          <w:sz w:val="20"/>
          <w:shd w:fill="FFFFFF" w:val="clear"/>
        </w:rPr>
        <w:t xml:space="preserve">business </w:t>
      </w:r>
      <w:r>
        <w:rPr>
          <w:rFonts w:ascii="Times New Roman;Times;serif" w:hAnsi="Times New Roman;Times;serif"/>
          <w:sz w:val="20"/>
        </w:rPr>
        <w:t>to increase its annual expected output from 355,000 MMBtu to 400,000 MMBtu.</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RNG </w:t>
      </w:r>
      <w:r>
        <w:rPr>
          <w:rFonts w:ascii="Times New Roman;Times;serif" w:hAnsi="Times New Roman;Times;serif"/>
          <w:color w:val="212529"/>
          <w:sz w:val="20"/>
          <w:shd w:fill="FFFFFF" w:val="clear"/>
        </w:rPr>
        <w:t xml:space="preserve">business </w:t>
      </w:r>
      <w:r>
        <w:rPr>
          <w:rFonts w:ascii="Times New Roman;Times;serif" w:hAnsi="Times New Roman;Times;serif"/>
          <w:sz w:val="20"/>
        </w:rPr>
        <w:t xml:space="preserve">generates revenue through the sale of RNG and environmental attributes associated with RNG produced at the facility. These environmental attributes include credits under California’s Low Carbon Fuel Standard (“LCFS”) program and the U.S. Environmental Protection Agency (“EPA”) Renewable Fuels Standard (“RFS”) program (“RFS Program”), which allow us to earn renewable identification numbers (“RINs”). </w:t>
      </w:r>
      <w:r>
        <w:rPr>
          <w:rFonts w:ascii="Times New Roman;Times;serif" w:hAnsi="Times New Roman;Times;serif"/>
          <w:sz w:val="20"/>
          <w:shd w:fill="FFFFFF" w:val="clear"/>
        </w:rPr>
        <w:t xml:space="preserve">Gevo was granted registration approval by the EPA in 2022, allowing us to participate in the RFS Program to receive RINs.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previously operated under a temporary pathway from California’s LCFS program, which we received during the first quarter of 2023. We continued to realize sales for our environmental attributes under the temporary pathway for LCFS credits and RINs in 2024. In March of 2025, the California Air Resources Board (“CARB”) approved our application for a provisional Tier 2 pathway, representing the significantly lower carbon intensity of our RNG than was reflected under the temporary pathway. With the provisional pathway approval having been received prior to March 31, 2025, we were able to apply the provisional pathway carbon intensity score to dispensing activities that occurred in Q4 2024, which also included RNG production for the months of July and August stored and dispensed in Q4 2024, and for dispensing activities throughout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provisional pathway has a CI score of approximately -339 MJ/eCO2, which represents approximately 160,000 carbon credits in the California LCFS system assuming our RNG operation produces 400,000 MMBTU in 2025. This is an increase of carbon credits from approximately 90,000 credits under our old temporary pathway of -150 MJ/eCO2. The increase of carbon credit generation of approximately 70,000 credits represents a significant increase in revenue for the RNG business.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b/>
          <w:i/>
          <w:sz w:val="20"/>
        </w:rPr>
        <w:t>Verity.</w:t>
      </w:r>
      <w:r>
        <w:rPr>
          <w:rFonts w:ascii="Times New Roman;Times;serif" w:hAnsi="Times New Roman;Times;serif"/>
          <w:sz w:val="20"/>
        </w:rPr>
        <w:t xml:space="preserve"> </w:t>
      </w:r>
      <w:r>
        <w:rPr>
          <w:rFonts w:ascii="Times New Roman;Times;serif" w:hAnsi="Times New Roman;Times;serif"/>
          <w:sz w:val="20"/>
          <w:shd w:fill="FFFFFF" w:val="clear"/>
        </w:rPr>
        <w:t xml:space="preserve">Verity Holdings, LLC (“Verity”), a wholly owned subsidiary of Gevo, Inc., enables the tracking, verification, and empirically valuation of intangible attributes associated with processed goods, including carbon intensity across the full carbon lifecycle. Verity provides end-to-end carbon accounting via a proprietary digital Measure, Report and Verify (“MRV”) platform. This platform specializes in carbon accounting and services aimed at maximizing the value of environmental benefits throughout the entire business system. Verity's comprehensive approach includes regulatory analysis, strategy development, life cycle analysis, compliance management, audit readiness, carbon marketing, utilization and retirement services, and trading/marketing for Scope 1, 2, and 3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emissions. By integrating advanced technological capabilities, Verity supports Gevo's mission of converting renewable energy and biogenic carbon into sustainable fuels and chemicals with a net zero or better carbon footprint.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Key Verity project highlights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shd w:fill="FFFFFF" w:val="clear"/>
              </w:rPr>
            </w:pPr>
            <w:r>
              <w:rPr>
                <w:rFonts w:ascii="Times New Roman;Times;serif" w:hAnsi="Times New Roman;Times;serif"/>
                <w:b w:val="false"/>
                <w:i w:val="false"/>
                <w:caps w:val="false"/>
                <w:smallCaps w:val="false"/>
                <w:color w:val="212529"/>
                <w:sz w:val="20"/>
                <w:shd w:fill="FFFFFF" w:val="clear"/>
              </w:rPr>
              <w:t>Development of Verity began as a value-added service for our SAF production, and was then expanded to support external customers;</w:t>
            </w:r>
          </w:p>
        </w:tc>
      </w:tr>
    </w:tbl>
    <w:tbl>
      <w:tblPr>
        <w:tblW w:w="7536" w:type="dxa"/>
        <w:jc w:val="left"/>
        <w:tblInd w:w="0" w:type="dxa"/>
        <w:tblLayout w:type="fixed"/>
        <w:tblCellMar>
          <w:top w:w="28" w:type="dxa"/>
          <w:left w:w="28" w:type="dxa"/>
          <w:bottom w:w="28" w:type="dxa"/>
          <w:right w:w="28" w:type="dxa"/>
        </w:tblCellMar>
      </w:tblPr>
      <w:tblGrid>
        <w:gridCol w:w="124"/>
        <w:gridCol w:w="256"/>
        <w:gridCol w:w="7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Five ethanol producers currently contracted, with additional producers in the pipeline;</w:t>
            </w:r>
          </w:p>
        </w:tc>
      </w:tr>
    </w:tbl>
    <w:tbl>
      <w:tblPr>
        <w:tblW w:w="8616" w:type="dxa"/>
        <w:jc w:val="left"/>
        <w:tblInd w:w="0" w:type="dxa"/>
        <w:tblLayout w:type="fixed"/>
        <w:tblCellMar>
          <w:top w:w="28" w:type="dxa"/>
          <w:left w:w="28" w:type="dxa"/>
          <w:bottom w:w="28" w:type="dxa"/>
          <w:right w:w="28" w:type="dxa"/>
        </w:tblCellMar>
      </w:tblPr>
      <w:tblGrid>
        <w:gridCol w:w="124"/>
        <w:gridCol w:w="256"/>
        <w:gridCol w:w="8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Completed its first privately-sponsored grower’s program for a biofuel client in the midwestern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Established agreements with two soybean processors to track the environmental attributes of soybeans, including soybean oil and renewable diesel;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 xml:space="preserve">Acquired </w:t>
            </w:r>
            <w:r>
              <w:rPr>
                <w:rFonts w:ascii="Times New Roman;Times;serif" w:hAnsi="Times New Roman;Times;serif"/>
                <w:b w:val="false"/>
                <w:i w:val="false"/>
                <w:caps w:val="false"/>
                <w:smallCaps w:val="false"/>
                <w:sz w:val="20"/>
              </w:rPr>
              <w:t>Cultivate Agricultural Intelligence, LLC</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(“CultivateAI”), a cloud-based, mobile software-as-a-service (“SaaS”) platform that helps stakeholders make informed, data-driven decisions with real-time analytics. Currently we are integrating CultivateAI’s platform with Verity’s attribute tracking solutions to deliver advanced solutions for carbon abatement across industries such as in food, feed, fuels and industrial markets; and</w:t>
            </w:r>
          </w:p>
        </w:tc>
      </w:tr>
    </w:tbl>
    <w:tbl>
      <w:tblPr>
        <w:tblW w:w="5256" w:type="dxa"/>
        <w:jc w:val="left"/>
        <w:tblInd w:w="0" w:type="dxa"/>
        <w:tblLayout w:type="fixed"/>
        <w:tblCellMar>
          <w:top w:w="28" w:type="dxa"/>
          <w:left w:w="28" w:type="dxa"/>
          <w:bottom w:w="28" w:type="dxa"/>
          <w:right w:w="28" w:type="dxa"/>
        </w:tblCellMar>
      </w:tblPr>
      <w:tblGrid>
        <w:gridCol w:w="124"/>
        <w:gridCol w:w="256"/>
        <w:gridCol w:w="4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Capital light, fee-based, industry agnostic business model.</w:t>
            </w:r>
          </w:p>
        </w:tc>
      </w:tr>
    </w:tbl>
    <w:p>
      <w:pPr>
        <w:pStyle w:val="TextBody"/>
        <w:bidi w:val="0"/>
        <w:spacing w:before="0" w:after="24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It is critical that we prove the CI of Gevo’s products, ensuring that these values are accurate and auditable. The mission of Verity is to document CI and other sustainability attributes and apply Distributed Ledger Technology, commonly referred to as blockchain, to create a record of the products throughout the entire business system. Verity starts by calculating carbon intensity of feedstocks from data collected at the farm and field level. We plan to track these feedstocks through production at our plants where we intend to use a mix of renewable electricity, biogas, renewable hydrogen and other potentially decarbonized energy sources in production. The aggregated CI data supports a finished renewable fuel with a net CI reduction which can be quantified as a digital asset and monetized in voluntary or compliance carbon markets, and used to meet compliance requirements for tax incentives while preventing double-counting. We believe that in the future, regenerative agricultural practices have the potential to sequester large quantities of soil organic carbon while improving soil health.</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is increasing regulatory and stakeholder pressure on global corporations to lower emissions. These trends are driving demand for carbon credits, giving rise to two sets of markets, the regulated compliance carbon market and the unregulated voluntary carbon market, both of which could grow meaningfully in the coming decades. Verity intends to document and account for carbon capture in conjunction with scientifically supported measurement techniques. The potential for Verity is broad and could be applicable to tracking the CI of various items beyond Gevo’s internal businesses, including, but not limited to, renewable fuels, food, feed and industrial products through their respective business systems and value chains. Our robust scientific measurement, reporting, and verification plan and approach is expected to provide a high-quality credit that should meet regulated compliance and unregulated carbon markets.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color w:val="212529"/>
          <w:sz w:val="20"/>
          <w:shd w:fill="FFFFFF" w:val="clear"/>
        </w:rPr>
        <w:t>Verity Contracts</w:t>
      </w:r>
      <w:r>
        <w:rPr>
          <w:rFonts w:ascii="Times New Roman;Times;serif" w:hAnsi="Times New Roman;Times;serif"/>
          <w:b/>
          <w:i/>
          <w:color w:val="212529"/>
          <w:sz w:val="20"/>
          <w:shd w:fill="FFFFFF" w:val="clear"/>
        </w:rPr>
        <w:t>. </w:t>
      </w:r>
      <w:r>
        <w:rPr>
          <w:rFonts w:ascii="Times New Roman;Times;serif" w:hAnsi="Times New Roman;Times;serif"/>
          <w:color w:val="212529"/>
          <w:sz w:val="20"/>
          <w:shd w:fill="FFFFFF" w:val="clear"/>
        </w:rPr>
        <w:t>In March 2023, we entered into a joint development framework agreement with Southwest Iowa Renewable Energy; in August 2023, we entered into a joint development framework agreement with a second ethanol producer in the midwestern U.S. that has over 100 million gallons of capacity; and in October 2023, we entered into an agreement with a third ethanol producer in the southwestern U.S. These agreements include commercial terms and profit-sharing frameworks. As we grow Verity as an externally facing business, we are working to sign up additional ethanol and biofuel customers. Each of these agreements will focus on implementing Verity technology and developing the market for carbon credits to help farmers and biofuel producers quantify the CI reductions for their products.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second quarter of 2023, we launched the Verity Tracking platform (the “Platform”) with farmers in the Lake Preston, South Dakota area who participated in our 2022 grower program. In its initial release, the Platform allows the users to measure, report, verify, and view the CI scores at both the farm average and field-by-field levels. The Platform provides insights into the contributors and removers behind the CI, helping users to understand the factors that drive differences in CI performance between fields. Users can also compare their scores with the U.S. national average calculated by the GREET model.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the third and fourth quarters of 2024, Verity entered into agreements with two additional ethanol plants, extending our reach in the U.S. ethanol market. One of those plants is GevoND, formally Red Trail Energy, which Gevo acquired in January of 2025. Verity also added two soybean processing facilities to assist in tracking environmental aspects of soybean oil and renewable diesel, enabling them to expand into new markets.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Acquisition of CultivateAI</w:t>
      </w:r>
      <w:r>
        <w:rPr>
          <w:rFonts w:ascii="Times New Roman;Times;serif" w:hAnsi="Times New Roman;Times;serif"/>
          <w:b/>
          <w:i/>
          <w:sz w:val="20"/>
        </w:rPr>
        <w:t>.</w:t>
      </w:r>
      <w:r>
        <w:rPr>
          <w:rFonts w:ascii="Times New Roman;Times;serif" w:hAnsi="Times New Roman;Times;serif"/>
          <w:sz w:val="20"/>
        </w:rPr>
        <w:t xml:space="preserve"> In the third quarter of 2024, Gevo acquired CultivateAI, a leading provider of agricultural data through a cloud-based, mobile SaaS platform. CultivateAI is a proven business with a track record of repeatable revenue. The business provides agricultural data to clients through a SaaS platform, leveraging high-resolution drone and satellite technology. This process begins by capturing detailed imagery of an agricultural operation. CultivateAI uses that information to build missing GIS maps and create a digital agricultural inventory, including facilities, assets, and crops. This comprehensive digital inventory generates quantifiable insights that help customers improve management practices and overall performance. CultivateAI’s technology has enabled Verity to accelerate its technology and business development efforts and overall growth</w:t>
      </w:r>
      <w:r>
        <w:rPr>
          <w:rFonts w:ascii="Times New Roman;Times;serif" w:hAnsi="Times New Roman;Times;serif"/>
          <w:sz w:val="20"/>
          <w:shd w:fill="FFFFFF" w:val="clea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USDA Grant.</w:t>
      </w:r>
      <w:r>
        <w:rPr>
          <w:rFonts w:ascii="Times New Roman;Times;serif" w:hAnsi="Times New Roman;Times;serif"/>
          <w:sz w:val="20"/>
        </w:rPr>
        <w:t xml:space="preserve"> On April 22, 2025, we received notification of the termination of the U.S. Department of Agriculture (“USDA”) Partnerships for Climate-Smart Commodities grant for Gevo’s Climate-Smart Farm-to-Flight Program (the “USDA Grant”).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Although terminated early, we believe we have achieved considerable progress through the Farm-to-Flight Program:</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Farm-to-Flight Program enrolled more than 145,000 acres of active farmland in 2024, as farmers received premium payments on crops from fields that utilize effective, efficient farming methods that improve their soil health and product yield for the long run.  </w:t>
            </w:r>
          </w:p>
        </w:tc>
      </w:tr>
    </w:tbl>
    <w:tbl>
      <w:tblPr>
        <w:tblW w:w="9231" w:type="dxa"/>
        <w:jc w:val="left"/>
        <w:tblInd w:w="0" w:type="dxa"/>
        <w:tblLayout w:type="fixed"/>
        <w:tblCellMar>
          <w:top w:w="28" w:type="dxa"/>
          <w:left w:w="28" w:type="dxa"/>
          <w:bottom w:w="28" w:type="dxa"/>
          <w:right w:w="28" w:type="dxa"/>
        </w:tblCellMar>
      </w:tblPr>
      <w:tblGrid>
        <w:gridCol w:w="124"/>
        <w:gridCol w:w="256"/>
        <w:gridCol w:w="8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Participating farmers were eligible for an estimated $11 million for their participation during the program.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Our Farm-to-Flight Program had a 100% farmer retention rate year-over-year and grew to nearly 200 farmers in 2024. Farmers participated in our program because it reduced their input costs, improved their yields, and increased their bottom line.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 xml:space="preserve">As the Farm-to-Flight Program encouraged use of regenerative agriculture practices, Gevo’s Verity subsidiary measured, quantified, and verified farmers’ results. The outcome of our program was a 9.8-point reduction in carbon intensity (“CI”) for corn feedstock. This outcome adds </w:t>
            </w:r>
            <w:r>
              <w:rPr>
                <w:rFonts w:ascii="Times New Roman;Times;serif" w:hAnsi="Times New Roman;Times;serif"/>
                <w:b w:val="false"/>
                <w:i w:val="false"/>
                <w:caps w:val="false"/>
                <w:smallCaps w:val="false"/>
                <w:sz w:val="20"/>
              </w:rPr>
              <w:t xml:space="preserve">value to farmers’ crops because CI is a key attribute in domestic and international markets for SAF and other renewable fuels, as well as for chemicals used to make drop-in products, typically derived from petroleum, with the performance consumers demand today. </w:t>
            </w:r>
          </w:p>
        </w:tc>
      </w:tr>
    </w:tbl>
    <w:p>
      <w:pPr>
        <w:pStyle w:val="TextBody"/>
        <w:bidi w:val="0"/>
        <w:spacing w:before="0" w:after="0"/>
        <w:ind w:left="1080" w:right="0" w:hanging="0"/>
        <w:jc w:val="left"/>
        <w:rPr>
          <w:shd w:fill="FFFFFF" w:val="clear"/>
        </w:rPr>
      </w:pPr>
      <w:r>
        <w:rPr>
          <w:shd w:fill="FFFFFF" w:val="clea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six months ended June 30, 2025, the Company incurred $8.8 million of costs under the USDA Grant, which are included in Project development costs in the Condensed Consolidated Statement of Operations. The Company has been reimbursed $10.6 million and expects to be reimbursed for all remaining eligible costs not yet reimbursed by the USDA under the grant in future periods.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termination did not have a material impact on the financial statements for the six months ended June 30, 2025, nor impact </w:t>
      </w:r>
      <w:r>
        <w:rPr>
          <w:rFonts w:ascii="Times New Roman;Times;serif" w:hAnsi="Times New Roman;Times;serif"/>
          <w:sz w:val="20"/>
          <w:shd w:fill="FFFFFF" w:val="clear"/>
        </w:rPr>
        <w:t>Gevo’s commercial objectives, since the critical work under the project had already been completed.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Ethanol to Olefins and the LG Chem Agreement.</w:t>
      </w:r>
      <w:r>
        <w:rPr>
          <w:rFonts w:ascii="Times New Roman;Times;serif" w:hAnsi="Times New Roman;Times;serif"/>
          <w:sz w:val="20"/>
          <w:shd w:fill="FFFFFF" w:val="clear"/>
        </w:rPr>
        <w:t xml:space="preserve"> In April 2023, we entered into a joint development agreement with LG Chem, Ltd. (“LG Chem”) a leading global chemical company to develop bio-propylene for renewable chemicals using our Ethanol-to-Olefins (“ETO”) technology. Gevo’s proprietary ETO technology can target carbon neutral or carbon negative drop-in replacements for traditional petroleum-based building blocks called olefins, including bio-propylene, which can be used for renewable chemicals or fuels including SAF. These plant-based, renewable olefins would be derived from atmospheric CO2 captured through photosynthesis and are expected to deliver the same performance in final products on the market today. </w:t>
      </w:r>
      <w:r>
        <w:rPr>
          <w:rFonts w:ascii="Times New Roman;Times;serif" w:hAnsi="Times New Roman;Times;serif"/>
          <w:sz w:val="20"/>
        </w:rPr>
        <w:t>The market opportunities for these building blocks include low-carbon polypropylene, polyethylene and similar chemical products whose market size for low-carbon solutions is $400.0 – $500.0 billion. We also believe ETO will reduce the capital and operating cost in future Alcohol-to-Jet SAF production facilities.</w:t>
      </w:r>
    </w:p>
    <w:p>
      <w:pPr>
        <w:pStyle w:val="TextBody"/>
        <w:bidi w:val="0"/>
        <w:spacing w:before="0" w:after="24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Under the terms of the agreement with LG Chem, we will provide the core enabling technology we have developed for renewable olefins to be produced from low-carbon ethanol and will collaborate with LG Chem to accelerate the pilot research, technical scale-up, and commercialization of bio-propylene. LG Chem is expected to bear all scale-up costs for chemicals and make certain payments to Gevo. In the second quarter of 2023, we received $1.1 million, which is net of foreign taxes withheld of $0.2 million, and in the second quarter of 2024 received $0.7 million, which is net of foreign taxes withheld of $0.1 million. We expect to receive an additional $0.4 million through 2025 to help defray costs associated with the joint development efforts. In addition, LG Chem agreed to make certain payments to us upon commencement of commercialization as follows:</w:t>
      </w:r>
    </w:p>
    <w:tbl>
      <w:tblPr>
        <w:tblW w:w="8796" w:type="dxa"/>
        <w:jc w:val="left"/>
        <w:tblInd w:w="0" w:type="dxa"/>
        <w:tblLayout w:type="fixed"/>
        <w:tblCellMar>
          <w:top w:w="28" w:type="dxa"/>
          <w:left w:w="28" w:type="dxa"/>
          <w:bottom w:w="28" w:type="dxa"/>
          <w:right w:w="28" w:type="dxa"/>
        </w:tblCellMar>
      </w:tblPr>
      <w:tblGrid>
        <w:gridCol w:w="124"/>
        <w:gridCol w:w="256"/>
        <w:gridCol w:w="8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$5.0 million upon commencement of commercialization, to be paid ratably over a period of five years.</w:t>
            </w:r>
          </w:p>
        </w:tc>
      </w:tr>
    </w:tbl>
    <w:tbl>
      <w:tblPr>
        <w:tblW w:w="8901" w:type="dxa"/>
        <w:jc w:val="left"/>
        <w:tblInd w:w="0" w:type="dxa"/>
        <w:tblLayout w:type="fixed"/>
        <w:tblCellMar>
          <w:top w:w="28" w:type="dxa"/>
          <w:left w:w="28" w:type="dxa"/>
          <w:bottom w:w="28" w:type="dxa"/>
          <w:right w:w="28" w:type="dxa"/>
        </w:tblCellMar>
      </w:tblPr>
      <w:tblGrid>
        <w:gridCol w:w="124"/>
        <w:gridCol w:w="256"/>
        <w:gridCol w:w="8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1% royalty on Net Sales for the first production facility beginning six years from commercial operation.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601" w:type="dxa"/>
        <w:jc w:val="left"/>
        <w:tblInd w:w="0" w:type="dxa"/>
        <w:tblLayout w:type="fixed"/>
        <w:tblCellMar>
          <w:top w:w="28" w:type="dxa"/>
          <w:left w:w="28" w:type="dxa"/>
          <w:bottom w:w="28" w:type="dxa"/>
          <w:right w:w="28" w:type="dxa"/>
        </w:tblCellMar>
      </w:tblPr>
      <w:tblGrid>
        <w:gridCol w:w="124"/>
        <w:gridCol w:w="256"/>
        <w:gridCol w:w="8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1% royalty on Net Sales for all subsequent production facilities upon commencement of operations.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also achieved the following recent milestones on our ETO technology: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the first quarter of 2024, we successfully launched an ETO pilot plant at a third-party facility in Crosby, Texas, which has delivered the results required to move to the next phase of scale-up in our agreement with LG Chem.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achieved the second milestone under the joint development agreement with LG Chem in April 2024. As a result, we have received, project-to-date, $2.1 million in payments under the agreement.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the third quarter of 2024, we successfully completed the first phase of developing our ETO pilot plant at a third-party facility. The data is being used for process design and further scale-up planning.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we extended our joint development agreement with LG Chem to accelerate the commercialization of bio-propylene using Gevo’s ETO technology, aiming to deliver cost-effective, bio-based renewable fuels and chemicals.</w:t>
            </w:r>
          </w:p>
        </w:tc>
      </w:tr>
    </w:tbl>
    <w:p>
      <w:pPr>
        <w:pStyle w:val="TextBody"/>
        <w:bidi w:val="0"/>
        <w:spacing w:before="0" w:after="0"/>
        <w:ind w:left="1080" w:right="0" w:hanging="0"/>
        <w:jc w:val="left"/>
        <w:rPr>
          <w:shd w:fill="FFFFFF" w:val="clear"/>
        </w:rPr>
      </w:pPr>
      <w:r>
        <w:rPr>
          <w:shd w:fill="FFFFFF" w:val="clea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 xml:space="preserve">Ethanol to Olefins and the Axens Agreement. </w:t>
      </w:r>
      <w:r>
        <w:rPr>
          <w:rFonts w:ascii="Times New Roman;Times;serif" w:hAnsi="Times New Roman;Times;serif"/>
          <w:sz w:val="20"/>
        </w:rPr>
        <w:t>Axens and Gevo are building on their previous successful commercial cooperation to ensure they remain leaders in the ETJ space by partnering with IFPEN on the final development and commercial deployment of Gevo’s next-generation ETO process for fuel applications that are expected to achieve zero carbon intensity or better. Gevo’s ETO process produces light olefins from ethanol, which can then be converted to transportation fuels utilizing commercially proven oligomerization and hydrogenation technologies. Provided the technology development is completed successfully, Gevo is expected to lead deployment of its ETO technology in North America with an effort to bring high-quality jobs and economic development to rural America, and Axens would provide process licensing, catalyst, equipment, and engineering services globally.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Luverne Facility.</w:t>
      </w:r>
      <w:r>
        <w:rPr>
          <w:rFonts w:ascii="Times New Roman;Times;serif" w:hAnsi="Times New Roman;Times;serif"/>
          <w:sz w:val="20"/>
        </w:rPr>
        <w:t xml:space="preserve"> On May 28, 2025, Gevo entered into a definitive agreement to sell Agri-Energy, LLC (“Agri”), a wholly owned subsidiary of Gevo, to A.E. Innovation, LLC (“A.E.”) for $7 million. The transaction includes the Luverne Facility and is expected to close by the end of 2025, subject to the procurement of financing by A.E. and the satisfaction of other customary closing conditions. Gevo will retain ownership of certain isobutanol-production-related assets and a portion of the vacant land at the site for future use. With these retained assets, Gevo could potentially produce up to 1 million gallons per year of isobutanol, which can be sold as a specialty chemical or converted into isooctane and jet fuel. A.E., an agriculture-oriented buyer group located in Minnesota, will acquire the ethanol plant and a portion of the land with the intent to restart ethanol production, which has been idled since 2022 </w:t>
      </w:r>
      <w:r>
        <w:rPr>
          <w:rFonts w:ascii="Times New Roman;Times;serif" w:hAnsi="Times New Roman;Times;serif"/>
          <w:sz w:val="20"/>
          <w:shd w:fill="FFFFFF" w:val="clear"/>
        </w:rPr>
        <w:t>as we shifted focus to our Renewable Jet Fuel Platform</w:t>
      </w:r>
      <w:r>
        <w:rPr>
          <w:rFonts w:ascii="Times New Roman;Times;serif" w:hAnsi="Times New Roman;Times;serif"/>
          <w:sz w:val="20"/>
        </w:rPr>
        <w:t>. Over the last several years, the Luverne Facility, in conjunction with local farmers, has been used as a demonstration site for educating Gevo’s stakeholders about regenerative agriculture and the versatility of corn and its co-products, as well as biofuel production, including SAF, isobutanol, and ethanol.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RNG Key Operating Metrics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Total operating revenues reflect both sales of RNG and sales of related environmental attributes. As a result, our revenues are primarily affected by unit production of RNG, production of environmental attributes, and the prices at which we monetize such production. The following table summarizes the key operating metrics described above, recorded on our RNG segment, which metrics we use to measure performance:</w:t>
      </w:r>
    </w:p>
    <w:tbl>
      <w:tblPr>
        <w:tblW w:w="10205" w:type="dxa"/>
        <w:jc w:val="left"/>
        <w:tblInd w:w="0" w:type="dxa"/>
        <w:tblLayout w:type="fixed"/>
        <w:tblCellMar>
          <w:top w:w="0" w:type="dxa"/>
          <w:left w:w="0" w:type="dxa"/>
          <w:bottom w:w="0" w:type="dxa"/>
          <w:right w:w="0" w:type="dxa"/>
        </w:tblCellMar>
      </w:tblPr>
      <w:tblGrid>
        <w:gridCol w:w="4809"/>
        <w:gridCol w:w="326"/>
        <w:gridCol w:w="239"/>
        <w:gridCol w:w="729"/>
        <w:gridCol w:w="345"/>
        <w:gridCol w:w="239"/>
        <w:gridCol w:w="729"/>
        <w:gridCol w:w="326"/>
        <w:gridCol w:w="226"/>
        <w:gridCol w:w="685"/>
        <w:gridCol w:w="326"/>
        <w:gridCol w:w="851"/>
        <w:gridCol w:w="375"/>
      </w:tblGrid>
      <w:tr>
        <w:trPr/>
        <w:tc>
          <w:tcPr>
            <w:tcW w:w="48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3053715" cy="175260"/>
                      <wp:effectExtent l="0" t="0" r="0" b="0"/>
                      <wp:wrapNone/>
                      <wp:docPr id="452" name="Frame452"/>
                      <a:graphic xmlns:a="http://schemas.openxmlformats.org/drawingml/2006/main">
                        <a:graphicData uri="http://schemas.microsoft.com/office/word/2010/wordprocessingShape">
                          <wps:wsp>
                            <wps:cNvSpPr txBox="1"/>
                            <wps:spPr>
                              <a:xfrm>
                                <a:off x="0" y="0"/>
                                <a:ext cx="3053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07010" cy="175260"/>
                      <wp:effectExtent l="0" t="0" r="0" b="0"/>
                      <wp:wrapNone/>
                      <wp:docPr id="453" name="Frame4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51765" cy="175260"/>
                      <wp:effectExtent l="0" t="0" r="0" b="0"/>
                      <wp:wrapNone/>
                      <wp:docPr id="454" name="Frame454"/>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462915" cy="175260"/>
                      <wp:effectExtent l="0" t="0" r="0" b="0"/>
                      <wp:wrapNone/>
                      <wp:docPr id="455" name="Frame455"/>
                      <a:graphic xmlns:a="http://schemas.openxmlformats.org/drawingml/2006/main">
                        <a:graphicData uri="http://schemas.microsoft.com/office/word/2010/wordprocessingShape">
                          <wps:wsp>
                            <wps:cNvSpPr txBox="1"/>
                            <wps:spPr>
                              <a:xfrm>
                                <a:off x="0" y="0"/>
                                <a:ext cx="462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19075" cy="175260"/>
                      <wp:effectExtent l="0" t="0" r="0" b="0"/>
                      <wp:wrapNone/>
                      <wp:docPr id="456" name="Frame456"/>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151765" cy="175260"/>
                      <wp:effectExtent l="0" t="0" r="0" b="0"/>
                      <wp:wrapNone/>
                      <wp:docPr id="457" name="Frame457"/>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462915" cy="175260"/>
                      <wp:effectExtent l="0" t="0" r="0" b="0"/>
                      <wp:wrapNone/>
                      <wp:docPr id="458" name="Frame458"/>
                      <a:graphic xmlns:a="http://schemas.openxmlformats.org/drawingml/2006/main">
                        <a:graphicData uri="http://schemas.microsoft.com/office/word/2010/wordprocessingShape">
                          <wps:wsp>
                            <wps:cNvSpPr txBox="1"/>
                            <wps:spPr>
                              <a:xfrm>
                                <a:off x="0" y="0"/>
                                <a:ext cx="462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07010" cy="175260"/>
                      <wp:effectExtent l="0" t="0" r="0" b="0"/>
                      <wp:wrapNone/>
                      <wp:docPr id="459" name="Frame4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143510" cy="175260"/>
                      <wp:effectExtent l="0" t="0" r="0" b="0"/>
                      <wp:wrapNone/>
                      <wp:docPr id="460" name="Frame46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434975" cy="175260"/>
                      <wp:effectExtent l="0" t="0" r="0" b="0"/>
                      <wp:wrapNone/>
                      <wp:docPr id="461" name="Frame461"/>
                      <a:graphic xmlns:a="http://schemas.openxmlformats.org/drawingml/2006/main">
                        <a:graphicData uri="http://schemas.microsoft.com/office/word/2010/wordprocessingShape">
                          <wps:wsp>
                            <wps:cNvSpPr txBox="1"/>
                            <wps:spPr>
                              <a:xfrm>
                                <a:off x="0" y="0"/>
                                <a:ext cx="434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07010" cy="175260"/>
                      <wp:effectExtent l="0" t="0" r="0" b="0"/>
                      <wp:wrapNone/>
                      <wp:docPr id="462" name="Frame4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540385" cy="175260"/>
                      <wp:effectExtent l="0" t="0" r="0" b="0"/>
                      <wp:wrapNone/>
                      <wp:docPr id="463" name="Frame463"/>
                      <a:graphic xmlns:a="http://schemas.openxmlformats.org/drawingml/2006/main">
                        <a:graphicData uri="http://schemas.microsoft.com/office/word/2010/wordprocessingShape">
                          <wps:wsp>
                            <wps:cNvSpPr txBox="1"/>
                            <wps:spPr>
                              <a:xfrm>
                                <a:off x="0" y="0"/>
                                <a:ext cx="540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38125" cy="175260"/>
                      <wp:effectExtent l="0" t="0" r="0" b="0"/>
                      <wp:wrapNone/>
                      <wp:docPr id="464" name="Frame464"/>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8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68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51"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w:t>
            </w:r>
          </w:p>
        </w:tc>
      </w:tr>
      <w:tr>
        <w:trPr/>
        <w:tc>
          <w:tcPr>
            <w:tcW w:w="480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thousands, unless otherwise indicated)</w:t>
            </w:r>
          </w:p>
        </w:tc>
        <w:tc>
          <w:tcPr>
            <w:tcW w:w="326" w:type="dxa"/>
            <w:tcBorders/>
            <w:vAlign w:val="center"/>
          </w:tcPr>
          <w:p>
            <w:pPr>
              <w:pStyle w:val="TableContents"/>
              <w:bidi w:val="0"/>
              <w:spacing w:before="0" w:after="1"/>
              <w:ind w:left="0" w:right="0" w:hanging="0"/>
              <w:jc w:val="left"/>
              <w:rPr/>
            </w:pPr>
            <w:r>
              <w:rPr/>
              <w:t>    </w:t>
            </w:r>
          </w:p>
        </w:tc>
        <w:tc>
          <w:tcPr>
            <w:tcW w:w="96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5" w:type="dxa"/>
            <w:tcBorders/>
            <w:vAlign w:val="center"/>
          </w:tcPr>
          <w:p>
            <w:pPr>
              <w:pStyle w:val="TableContents"/>
              <w:bidi w:val="0"/>
              <w:spacing w:before="0" w:after="1"/>
              <w:ind w:left="0" w:right="0" w:hanging="0"/>
              <w:jc w:val="left"/>
              <w:rPr/>
            </w:pPr>
            <w:r>
              <w:rPr/>
              <w:t>    </w:t>
            </w:r>
          </w:p>
        </w:tc>
        <w:tc>
          <w:tcPr>
            <w:tcW w:w="96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9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26" w:type="dxa"/>
            <w:tcBorders/>
            <w:vAlign w:val="center"/>
          </w:tcPr>
          <w:p>
            <w:pPr>
              <w:pStyle w:val="TableContents"/>
              <w:bidi w:val="0"/>
              <w:spacing w:before="0" w:after="1"/>
              <w:ind w:left="0" w:right="0" w:hanging="0"/>
              <w:jc w:val="left"/>
              <w:rPr/>
            </w:pPr>
            <w:r>
              <w:rPr/>
              <w:t>    </w:t>
            </w:r>
          </w:p>
        </w:tc>
        <w:tc>
          <w:tcPr>
            <w:tcW w:w="8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75" w:type="dxa"/>
            <w:tcBorders/>
            <w:vAlign w:val="center"/>
          </w:tcPr>
          <w:p>
            <w:pPr>
              <w:pStyle w:val="TableContents"/>
              <w:bidi w:val="0"/>
              <w:spacing w:before="0" w:after="1"/>
              <w:ind w:left="0" w:right="0" w:hanging="0"/>
              <w:jc w:val="left"/>
              <w:rPr/>
            </w:pPr>
            <w:r>
              <w:rPr/>
              <w:t>    </w:t>
            </w:r>
          </w:p>
        </w:tc>
      </w:tr>
      <w:tr>
        <w:trPr/>
        <w:tc>
          <w:tcPr>
            <w:tcW w:w="4809"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revenues</w:t>
            </w:r>
          </w:p>
        </w:tc>
        <w:tc>
          <w:tcPr>
            <w:tcW w:w="326" w:type="dxa"/>
            <w:tcBorders/>
            <w:shd w:fill="CCEEFF" w:val="clear"/>
            <w:vAlign w:val="center"/>
          </w:tcPr>
          <w:p>
            <w:pPr>
              <w:pStyle w:val="TableContents"/>
              <w:bidi w:val="0"/>
              <w:spacing w:before="0" w:after="1"/>
              <w:ind w:left="0" w:right="0" w:hanging="0"/>
              <w:jc w:val="left"/>
              <w:rPr/>
            </w:pPr>
            <w:r>
              <w:rPr/>
              <w:t> </w:t>
            </w:r>
          </w:p>
        </w:tc>
        <w:tc>
          <w:tcPr>
            <w:tcW w:w="239" w:type="dxa"/>
            <w:tcBorders/>
            <w:shd w:fill="CCEEFF" w:val="clear"/>
            <w:vAlign w:val="center"/>
          </w:tcPr>
          <w:p>
            <w:pPr>
              <w:pStyle w:val="TableContents"/>
              <w:bidi w:val="0"/>
              <w:spacing w:before="0" w:after="1"/>
              <w:ind w:left="0" w:right="0" w:hanging="0"/>
              <w:jc w:val="left"/>
              <w:rPr/>
            </w:pPr>
            <w:r>
              <w:rPr/>
              <w:t>​</w:t>
            </w:r>
          </w:p>
        </w:tc>
        <w:tc>
          <w:tcPr>
            <w:tcW w:w="729" w:type="dxa"/>
            <w:tcBorders/>
            <w:shd w:fill="CCEEFF" w:val="clear"/>
            <w:vAlign w:val="center"/>
          </w:tcPr>
          <w:p>
            <w:pPr>
              <w:pStyle w:val="TableContents"/>
              <w:bidi w:val="0"/>
              <w:spacing w:before="0" w:after="1"/>
              <w:ind w:left="0" w:right="0" w:hanging="0"/>
              <w:jc w:val="right"/>
              <w:rPr/>
            </w:pPr>
            <w:r>
              <w:rPr/>
              <w:t>  </w:t>
            </w:r>
          </w:p>
        </w:tc>
        <w:tc>
          <w:tcPr>
            <w:tcW w:w="345" w:type="dxa"/>
            <w:tcBorders/>
            <w:shd w:fill="CCEEFF" w:val="clear"/>
            <w:vAlign w:val="center"/>
          </w:tcPr>
          <w:p>
            <w:pPr>
              <w:pStyle w:val="TableContents"/>
              <w:bidi w:val="0"/>
              <w:spacing w:before="0" w:after="1"/>
              <w:ind w:left="0" w:right="0" w:hanging="0"/>
              <w:jc w:val="left"/>
              <w:rPr/>
            </w:pPr>
            <w:r>
              <w:rPr/>
              <w:t> </w:t>
            </w:r>
          </w:p>
        </w:tc>
        <w:tc>
          <w:tcPr>
            <w:tcW w:w="239" w:type="dxa"/>
            <w:tcBorders/>
            <w:shd w:fill="CCEEFF" w:val="clear"/>
            <w:vAlign w:val="center"/>
          </w:tcPr>
          <w:p>
            <w:pPr>
              <w:pStyle w:val="TableContents"/>
              <w:bidi w:val="0"/>
              <w:spacing w:before="0" w:after="1"/>
              <w:ind w:left="0" w:right="0" w:hanging="0"/>
              <w:jc w:val="left"/>
              <w:rPr/>
            </w:pPr>
            <w:r>
              <w:rPr/>
              <w:t>​</w:t>
            </w:r>
          </w:p>
        </w:tc>
        <w:tc>
          <w:tcPr>
            <w:tcW w:w="729"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685"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51" w:type="dxa"/>
            <w:tcBorders/>
            <w:shd w:fill="CCEEFF" w:val="clear"/>
            <w:vAlign w:val="center"/>
          </w:tcPr>
          <w:p>
            <w:pPr>
              <w:pStyle w:val="TableContents"/>
              <w:bidi w:val="0"/>
              <w:spacing w:before="0" w:after="1"/>
              <w:ind w:left="0" w:right="0" w:hanging="0"/>
              <w:jc w:val="right"/>
              <w:rPr/>
            </w:pPr>
            <w:r>
              <w:rPr/>
              <w:t>  </w:t>
            </w:r>
          </w:p>
        </w:tc>
        <w:tc>
          <w:tcPr>
            <w:tcW w:w="375" w:type="dxa"/>
            <w:tcBorders/>
            <w:shd w:fill="CCEEFF" w:val="clear"/>
            <w:vAlign w:val="center"/>
          </w:tcPr>
          <w:p>
            <w:pPr>
              <w:pStyle w:val="TableContents"/>
              <w:bidi w:val="0"/>
              <w:spacing w:before="0" w:after="1"/>
              <w:ind w:left="0" w:right="0" w:hanging="0"/>
              <w:jc w:val="left"/>
              <w:rPr/>
            </w:pPr>
            <w:r>
              <w:rPr/>
              <w:t> </w:t>
            </w:r>
          </w:p>
        </w:tc>
      </w:tr>
      <w:tr>
        <w:trPr/>
        <w:tc>
          <w:tcPr>
            <w:tcW w:w="480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Renewable natural gas (RNG)</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w:t>
            </w:r>
          </w:p>
        </w:tc>
        <w:tc>
          <w:tcPr>
            <w:tcW w:w="345"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326" w:type="dxa"/>
            <w:tcBorders/>
            <w:vAlign w:val="center"/>
          </w:tcPr>
          <w:p>
            <w:pPr>
              <w:pStyle w:val="TableContents"/>
              <w:bidi w:val="0"/>
              <w:spacing w:before="0" w:after="1"/>
              <w:ind w:left="0" w:right="0" w:hanging="0"/>
              <w:jc w:val="left"/>
              <w:rPr/>
            </w:pPr>
            <w:r>
              <w:rPr/>
              <w:t>​</w:t>
            </w:r>
          </w:p>
        </w:tc>
        <w:tc>
          <w:tcPr>
            <w:tcW w:w="8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0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Environmental attributes - RINs</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7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2,144</w:t>
            </w:r>
          </w:p>
        </w:tc>
        <w:tc>
          <w:tcPr>
            <w:tcW w:w="345"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7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3,150</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6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(1,006)</w:t>
            </w:r>
          </w:p>
        </w:tc>
        <w:tc>
          <w:tcPr>
            <w:tcW w:w="326" w:type="dxa"/>
            <w:tcBorders/>
            <w:shd w:fill="CCEEFF" w:val="clear"/>
            <w:vAlign w:val="center"/>
          </w:tcPr>
          <w:p>
            <w:pPr>
              <w:pStyle w:val="TableContents"/>
              <w:bidi w:val="0"/>
              <w:spacing w:before="0" w:after="1"/>
              <w:ind w:left="0" w:right="0" w:hanging="0"/>
              <w:jc w:val="left"/>
              <w:rPr/>
            </w:pPr>
            <w:r>
              <w:rPr/>
              <w:t>​</w:t>
            </w:r>
          </w:p>
        </w:tc>
        <w:tc>
          <w:tcPr>
            <w:tcW w:w="8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0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Environmental attributes - LCFS </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1,912</w:t>
            </w:r>
          </w:p>
        </w:tc>
        <w:tc>
          <w:tcPr>
            <w:tcW w:w="345"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1,033</w:t>
            </w:r>
          </w:p>
        </w:tc>
        <w:tc>
          <w:tcPr>
            <w:tcW w:w="32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879</w:t>
            </w:r>
          </w:p>
        </w:tc>
        <w:tc>
          <w:tcPr>
            <w:tcW w:w="326" w:type="dxa"/>
            <w:tcBorders/>
            <w:vAlign w:val="center"/>
          </w:tcPr>
          <w:p>
            <w:pPr>
              <w:pStyle w:val="TableContents"/>
              <w:bidi w:val="0"/>
              <w:spacing w:before="0" w:after="1"/>
              <w:ind w:left="0" w:right="0" w:hanging="0"/>
              <w:jc w:val="left"/>
              <w:rPr/>
            </w:pPr>
            <w:r>
              <w:rPr/>
              <w:t>​</w:t>
            </w:r>
          </w:p>
        </w:tc>
        <w:tc>
          <w:tcPr>
            <w:tcW w:w="8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0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4,281</w:t>
            </w:r>
          </w:p>
        </w:tc>
        <w:tc>
          <w:tcPr>
            <w:tcW w:w="345"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4,324</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shd w:fill="CCEEFF" w:val="clear"/>
            <w:vAlign w:val="center"/>
          </w:tcPr>
          <w:p>
            <w:pPr>
              <w:pStyle w:val="TableContents"/>
              <w:bidi w:val="0"/>
              <w:spacing w:before="0" w:after="1"/>
              <w:ind w:left="0" w:right="0" w:hanging="0"/>
              <w:jc w:val="left"/>
              <w:rPr/>
            </w:pPr>
            <w:r>
              <w:rPr/>
              <w:t>​</w:t>
            </w:r>
          </w:p>
        </w:tc>
        <w:tc>
          <w:tcPr>
            <w:tcW w:w="8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09"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RNG metrics (MMBtu)</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729" w:type="dxa"/>
            <w:tcBorders/>
            <w:vAlign w:val="center"/>
          </w:tcPr>
          <w:p>
            <w:pPr>
              <w:pStyle w:val="TableContents"/>
              <w:bidi w:val="0"/>
              <w:spacing w:before="0" w:after="1"/>
              <w:ind w:left="0" w:right="0" w:hanging="0"/>
              <w:jc w:val="right"/>
              <w:rPr/>
            </w:pPr>
            <w:r>
              <w:rPr/>
              <w:t>  </w:t>
            </w:r>
          </w:p>
        </w:tc>
        <w:tc>
          <w:tcPr>
            <w:tcW w:w="345"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729"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685"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851" w:type="dxa"/>
            <w:tcBorders/>
            <w:vAlign w:val="center"/>
          </w:tcPr>
          <w:p>
            <w:pPr>
              <w:pStyle w:val="TableContents"/>
              <w:bidi w:val="0"/>
              <w:spacing w:before="0" w:after="1"/>
              <w:ind w:left="0" w:right="0" w:hanging="0"/>
              <w:jc w:val="right"/>
              <w:rPr/>
            </w:pPr>
            <w:r>
              <w:rPr/>
              <w:t>  </w:t>
            </w:r>
          </w:p>
        </w:tc>
        <w:tc>
          <w:tcPr>
            <w:tcW w:w="375" w:type="dxa"/>
            <w:tcBorders/>
            <w:vAlign w:val="center"/>
          </w:tcPr>
          <w:p>
            <w:pPr>
              <w:pStyle w:val="TableContents"/>
              <w:bidi w:val="0"/>
              <w:spacing w:before="0" w:after="1"/>
              <w:ind w:left="0" w:right="0" w:hanging="0"/>
              <w:jc w:val="left"/>
              <w:rPr/>
            </w:pPr>
            <w:r>
              <w:rPr/>
              <w:t>​</w:t>
            </w:r>
          </w:p>
        </w:tc>
      </w:tr>
      <w:tr>
        <w:trPr/>
        <w:tc>
          <w:tcPr>
            <w:tcW w:w="480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RNG production volumes</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7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345"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7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6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8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0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RNG production volumes dispensed</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345"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32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1"/>
              <w:ind w:left="0" w:right="0" w:hanging="0"/>
              <w:jc w:val="left"/>
              <w:rPr/>
            </w:pPr>
            <w:r>
              <w:rPr/>
              <w:t>​</w:t>
            </w:r>
          </w:p>
        </w:tc>
        <w:tc>
          <w:tcPr>
            <w:tcW w:w="8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09"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RNG volumes available for RIN and LCFS generation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5"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09"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RIN metrics</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729" w:type="dxa"/>
            <w:tcBorders/>
            <w:vAlign w:val="center"/>
          </w:tcPr>
          <w:p>
            <w:pPr>
              <w:pStyle w:val="TableContents"/>
              <w:bidi w:val="0"/>
              <w:spacing w:before="0" w:after="1"/>
              <w:ind w:left="0" w:right="0" w:hanging="0"/>
              <w:jc w:val="right"/>
              <w:rPr/>
            </w:pPr>
            <w:r>
              <w:rPr/>
              <w:t>  </w:t>
            </w:r>
          </w:p>
        </w:tc>
        <w:tc>
          <w:tcPr>
            <w:tcW w:w="345"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729"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685"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851" w:type="dxa"/>
            <w:tcBorders/>
            <w:vAlign w:val="center"/>
          </w:tcPr>
          <w:p>
            <w:pPr>
              <w:pStyle w:val="TableContents"/>
              <w:bidi w:val="0"/>
              <w:spacing w:before="0" w:after="1"/>
              <w:ind w:left="0" w:right="0" w:hanging="0"/>
              <w:jc w:val="right"/>
              <w:rPr/>
            </w:pPr>
            <w:r>
              <w:rPr/>
              <w:t>  </w:t>
            </w:r>
          </w:p>
        </w:tc>
        <w:tc>
          <w:tcPr>
            <w:tcW w:w="375" w:type="dxa"/>
            <w:tcBorders/>
            <w:vAlign w:val="center"/>
          </w:tcPr>
          <w:p>
            <w:pPr>
              <w:pStyle w:val="TableContents"/>
              <w:bidi w:val="0"/>
              <w:spacing w:before="0" w:after="1"/>
              <w:ind w:left="0" w:right="0" w:hanging="0"/>
              <w:jc w:val="left"/>
              <w:rPr/>
            </w:pPr>
            <w:r>
              <w:rPr/>
              <w:t>​</w:t>
            </w:r>
          </w:p>
        </w:tc>
      </w:tr>
      <w:tr>
        <w:trPr/>
        <w:tc>
          <w:tcPr>
            <w:tcW w:w="4809"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RIN generation </w:t>
            </w:r>
            <w:r>
              <w:rPr>
                <w:rFonts w:ascii="Times New Roman;Times;serif" w:hAnsi="Times New Roman;Times;serif"/>
                <w:sz w:val="15"/>
              </w:rPr>
              <w:t>(2)</w:t>
            </w:r>
            <w:r>
              <w:rPr>
                <w:rFonts w:ascii="Times New Roman;Times;serif" w:hAnsi="Times New Roman;Times;serif"/>
                <w:sz w:val="20"/>
              </w:rPr>
              <w:t xml:space="preserve"> </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7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1,077</w:t>
            </w:r>
          </w:p>
        </w:tc>
        <w:tc>
          <w:tcPr>
            <w:tcW w:w="345"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7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1,116</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6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shd w:fill="CCEEFF" w:val="clear"/>
            <w:vAlign w:val="center"/>
          </w:tcPr>
          <w:p>
            <w:pPr>
              <w:pStyle w:val="TableContents"/>
              <w:bidi w:val="0"/>
              <w:spacing w:before="0" w:after="1"/>
              <w:ind w:left="0" w:right="0" w:hanging="0"/>
              <w:jc w:val="left"/>
              <w:rPr/>
            </w:pPr>
            <w:r>
              <w:rPr/>
              <w:t>​</w:t>
            </w:r>
          </w:p>
        </w:tc>
        <w:tc>
          <w:tcPr>
            <w:tcW w:w="8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0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Plus: Prior period RINs carried into current period</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w:t>
            </w:r>
          </w:p>
        </w:tc>
        <w:tc>
          <w:tcPr>
            <w:tcW w:w="345"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6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vAlign w:val="center"/>
          </w:tcPr>
          <w:p>
            <w:pPr>
              <w:pStyle w:val="TableContents"/>
              <w:bidi w:val="0"/>
              <w:spacing w:before="0" w:after="1"/>
              <w:ind w:left="0" w:right="0" w:hanging="0"/>
              <w:jc w:val="left"/>
              <w:rPr/>
            </w:pPr>
            <w:r>
              <w:rPr/>
              <w:t>​</w:t>
            </w:r>
          </w:p>
        </w:tc>
        <w:tc>
          <w:tcPr>
            <w:tcW w:w="8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0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RINs sold</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(1,063)</w:t>
            </w:r>
          </w:p>
        </w:tc>
        <w:tc>
          <w:tcPr>
            <w:tcW w:w="345"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(1,175)</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c>
          <w:tcPr>
            <w:tcW w:w="326" w:type="dxa"/>
            <w:tcBorders/>
            <w:shd w:fill="CCEEFF" w:val="clear"/>
            <w:vAlign w:val="center"/>
          </w:tcPr>
          <w:p>
            <w:pPr>
              <w:pStyle w:val="TableContents"/>
              <w:bidi w:val="0"/>
              <w:spacing w:before="0" w:after="1"/>
              <w:ind w:left="0" w:right="0" w:hanging="0"/>
              <w:jc w:val="left"/>
              <w:rPr/>
            </w:pPr>
            <w:r>
              <w:rPr/>
              <w:t>​</w:t>
            </w:r>
          </w:p>
        </w:tc>
        <w:tc>
          <w:tcPr>
            <w:tcW w:w="8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0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RIN inventory</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w:t>
            </w:r>
          </w:p>
        </w:tc>
        <w:tc>
          <w:tcPr>
            <w:tcW w:w="345"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w:t>
            </w:r>
          </w:p>
        </w:tc>
        <w:tc>
          <w:tcPr>
            <w:tcW w:w="32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6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1"/>
              <w:ind w:left="0" w:right="0" w:hanging="0"/>
              <w:jc w:val="left"/>
              <w:rPr/>
            </w:pPr>
            <w:r>
              <w:rPr/>
              <w:t>​</w:t>
            </w:r>
          </w:p>
        </w:tc>
        <w:tc>
          <w:tcPr>
            <w:tcW w:w="8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09"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Average realized RIN price </w:t>
            </w:r>
            <w:r>
              <w:rPr>
                <w:rFonts w:ascii="Times New Roman;Times;serif" w:hAnsi="Times New Roman;Times;serif"/>
                <w:sz w:val="15"/>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w:t>
            </w:r>
          </w:p>
        </w:tc>
        <w:tc>
          <w:tcPr>
            <w:tcW w:w="345"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(0.66)</w:t>
            </w:r>
          </w:p>
        </w:tc>
        <w:tc>
          <w:tcPr>
            <w:tcW w:w="326" w:type="dxa"/>
            <w:tcBorders/>
            <w:shd w:fill="CCEEFF" w:val="clear"/>
            <w:vAlign w:val="center"/>
          </w:tcPr>
          <w:p>
            <w:pPr>
              <w:pStyle w:val="TableContents"/>
              <w:bidi w:val="0"/>
              <w:spacing w:before="0" w:after="1"/>
              <w:ind w:left="0" w:right="0" w:hanging="0"/>
              <w:jc w:val="left"/>
              <w:rPr/>
            </w:pPr>
            <w:r>
              <w:rPr/>
              <w:t>​</w:t>
            </w:r>
          </w:p>
        </w:tc>
        <w:tc>
          <w:tcPr>
            <w:tcW w:w="8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09"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LCFS metrics</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729" w:type="dxa"/>
            <w:tcBorders/>
            <w:vAlign w:val="center"/>
          </w:tcPr>
          <w:p>
            <w:pPr>
              <w:pStyle w:val="TableContents"/>
              <w:bidi w:val="0"/>
              <w:spacing w:before="0" w:after="1"/>
              <w:ind w:left="0" w:right="0" w:hanging="0"/>
              <w:jc w:val="right"/>
              <w:rPr/>
            </w:pPr>
            <w:r>
              <w:rPr/>
              <w:t>  </w:t>
            </w:r>
          </w:p>
        </w:tc>
        <w:tc>
          <w:tcPr>
            <w:tcW w:w="345"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729"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685"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851" w:type="dxa"/>
            <w:tcBorders/>
            <w:vAlign w:val="center"/>
          </w:tcPr>
          <w:p>
            <w:pPr>
              <w:pStyle w:val="TableContents"/>
              <w:bidi w:val="0"/>
              <w:spacing w:before="0" w:after="1"/>
              <w:ind w:left="0" w:right="0" w:hanging="0"/>
              <w:jc w:val="right"/>
              <w:rPr/>
            </w:pPr>
            <w:r>
              <w:rPr/>
              <w:t>  </w:t>
            </w:r>
          </w:p>
        </w:tc>
        <w:tc>
          <w:tcPr>
            <w:tcW w:w="375" w:type="dxa"/>
            <w:tcBorders/>
            <w:vAlign w:val="center"/>
          </w:tcPr>
          <w:p>
            <w:pPr>
              <w:pStyle w:val="TableContents"/>
              <w:bidi w:val="0"/>
              <w:spacing w:before="0" w:after="1"/>
              <w:ind w:left="0" w:right="0" w:hanging="0"/>
              <w:jc w:val="left"/>
              <w:rPr/>
            </w:pPr>
            <w:r>
              <w:rPr/>
              <w:t>​</w:t>
            </w:r>
          </w:p>
        </w:tc>
      </w:tr>
      <w:tr>
        <w:trPr/>
        <w:tc>
          <w:tcPr>
            <w:tcW w:w="4809"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LCFS generation </w:t>
            </w:r>
            <w:r>
              <w:rPr>
                <w:rFonts w:ascii="Times New Roman;Times;serif" w:hAnsi="Times New Roman;Times;serif"/>
                <w:sz w:val="15"/>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7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45"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7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6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bidi w:val="0"/>
              <w:spacing w:before="0" w:after="1"/>
              <w:ind w:left="0" w:right="0" w:hanging="0"/>
              <w:jc w:val="left"/>
              <w:rPr/>
            </w:pPr>
            <w:r>
              <w:rPr/>
              <w:t>​</w:t>
            </w:r>
          </w:p>
        </w:tc>
        <w:tc>
          <w:tcPr>
            <w:tcW w:w="8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0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Plus: Prior period LCFS carried into current period</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45"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6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1"/>
              <w:ind w:left="0" w:right="0" w:hanging="0"/>
              <w:jc w:val="left"/>
              <w:rPr/>
            </w:pPr>
            <w:r>
              <w:rPr/>
              <w:t>​</w:t>
            </w:r>
          </w:p>
        </w:tc>
        <w:tc>
          <w:tcPr>
            <w:tcW w:w="8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0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LCFS sold</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45"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1"/>
              <w:ind w:left="0" w:right="0" w:hanging="0"/>
              <w:jc w:val="left"/>
              <w:rPr/>
            </w:pPr>
            <w:r>
              <w:rPr/>
              <w:t>​</w:t>
            </w:r>
          </w:p>
        </w:tc>
        <w:tc>
          <w:tcPr>
            <w:tcW w:w="8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0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LCFS inventory</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7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45"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7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6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1"/>
              <w:ind w:left="0" w:right="0" w:hanging="0"/>
              <w:jc w:val="left"/>
              <w:rPr/>
            </w:pPr>
            <w:r>
              <w:rPr/>
              <w:t>​</w:t>
            </w:r>
          </w:p>
        </w:tc>
        <w:tc>
          <w:tcPr>
            <w:tcW w:w="8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09"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Average realized LCFS price </w:t>
            </w:r>
            <w:r>
              <w:rPr>
                <w:rFonts w:ascii="Times New Roman;Times;serif" w:hAnsi="Times New Roman;Times;serif"/>
                <w:sz w:val="15"/>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59.75</w:t>
            </w:r>
          </w:p>
        </w:tc>
        <w:tc>
          <w:tcPr>
            <w:tcW w:w="345"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54.37</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w:t>
            </w:r>
          </w:p>
        </w:tc>
        <w:tc>
          <w:tcPr>
            <w:tcW w:w="326" w:type="dxa"/>
            <w:tcBorders/>
            <w:shd w:fill="CCEEFF" w:val="clear"/>
            <w:vAlign w:val="center"/>
          </w:tcPr>
          <w:p>
            <w:pPr>
              <w:pStyle w:val="TableContents"/>
              <w:bidi w:val="0"/>
              <w:spacing w:before="0" w:after="1"/>
              <w:ind w:left="0" w:right="0" w:hanging="0"/>
              <w:jc w:val="left"/>
              <w:rPr/>
            </w:pPr>
            <w:r>
              <w:rPr/>
              <w:t>​</w:t>
            </w:r>
          </w:p>
        </w:tc>
        <w:tc>
          <w:tcPr>
            <w:tcW w:w="8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09"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29" w:type="dxa"/>
            <w:tcBorders/>
            <w:vAlign w:val="center"/>
          </w:tcPr>
          <w:p>
            <w:pPr>
              <w:pStyle w:val="TableContents"/>
              <w:bidi w:val="0"/>
              <w:spacing w:before="0" w:after="1"/>
              <w:ind w:left="0" w:right="0" w:hanging="0"/>
              <w:jc w:val="right"/>
              <w:rPr/>
            </w:pPr>
            <w:r>
              <w:rPr/>
              <w:t>​</w:t>
            </w:r>
          </w:p>
        </w:tc>
        <w:tc>
          <w:tcPr>
            <w:tcW w:w="345"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2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6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51" w:type="dxa"/>
            <w:tcBorders/>
            <w:vAlign w:val="center"/>
          </w:tcPr>
          <w:p>
            <w:pPr>
              <w:pStyle w:val="TableContents"/>
              <w:bidi w:val="0"/>
              <w:spacing w:before="0" w:after="1"/>
              <w:ind w:left="0" w:right="0" w:hanging="0"/>
              <w:jc w:val="right"/>
              <w:rPr/>
            </w:pPr>
            <w:r>
              <w:rPr/>
              <w:t>​</w:t>
            </w:r>
          </w:p>
        </w:tc>
        <w:tc>
          <w:tcPr>
            <w:tcW w:w="375" w:type="dxa"/>
            <w:tcBorders/>
            <w:vAlign w:val="center"/>
          </w:tcPr>
          <w:p>
            <w:pPr>
              <w:pStyle w:val="TableContents"/>
              <w:bidi w:val="0"/>
              <w:spacing w:before="0" w:after="1"/>
              <w:ind w:left="0" w:right="0" w:hanging="0"/>
              <w:jc w:val="left"/>
              <w:rPr/>
            </w:pPr>
            <w:r>
              <w:rPr/>
              <w:t>​</w:t>
            </w:r>
          </w:p>
        </w:tc>
      </w:tr>
      <w:tr>
        <w:trPr/>
        <w:tc>
          <w:tcPr>
            <w:tcW w:w="480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RNG operating expenses </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c>
          <w:tcPr>
            <w:tcW w:w="7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2,826</w:t>
            </w:r>
          </w:p>
        </w:tc>
        <w:tc>
          <w:tcPr>
            <w:tcW w:w="345"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c>
          <w:tcPr>
            <w:tcW w:w="7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5,640</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c>
          <w:tcPr>
            <w:tcW w:w="6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(2,814)</w:t>
            </w:r>
          </w:p>
        </w:tc>
        <w:tc>
          <w:tcPr>
            <w:tcW w:w="326" w:type="dxa"/>
            <w:tcBorders/>
            <w:shd w:fill="CCEEFF" w:val="clear"/>
            <w:vAlign w:val="center"/>
          </w:tcPr>
          <w:p>
            <w:pPr>
              <w:pStyle w:val="TableContents"/>
              <w:bidi w:val="0"/>
              <w:spacing w:before="0" w:after="1"/>
              <w:ind w:left="0" w:right="0" w:hanging="0"/>
              <w:jc w:val="left"/>
              <w:rPr/>
            </w:pPr>
            <w:r>
              <w:rPr/>
              <w:t>​</w:t>
            </w:r>
          </w:p>
        </w:tc>
        <w:tc>
          <w:tcPr>
            <w:tcW w:w="8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r>
      <w:tr>
        <w:trPr/>
        <w:tc>
          <w:tcPr>
            <w:tcW w:w="480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RNG operating expenses per MMBTU (actual)</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30.72</w:t>
            </w:r>
          </w:p>
        </w:tc>
        <w:tc>
          <w:tcPr>
            <w:tcW w:w="345"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59.37</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(28.65)</w:t>
            </w:r>
          </w:p>
        </w:tc>
        <w:tc>
          <w:tcPr>
            <w:tcW w:w="326" w:type="dxa"/>
            <w:tcBorders/>
            <w:vAlign w:val="center"/>
          </w:tcPr>
          <w:p>
            <w:pPr>
              <w:pStyle w:val="TableContents"/>
              <w:bidi w:val="0"/>
              <w:spacing w:before="0" w:after="1"/>
              <w:ind w:left="0" w:right="0" w:hanging="0"/>
              <w:jc w:val="left"/>
              <w:rPr/>
            </w:pPr>
            <w:r>
              <w:rPr/>
              <w:t>​</w:t>
            </w:r>
          </w:p>
        </w:tc>
        <w:tc>
          <w:tcPr>
            <w:tcW w:w="8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tbl>
      <w:tblPr>
        <w:tblW w:w="10205" w:type="dxa"/>
        <w:jc w:val="left"/>
        <w:tblInd w:w="0" w:type="dxa"/>
        <w:tblLayout w:type="fixed"/>
        <w:tblCellMar>
          <w:top w:w="0" w:type="dxa"/>
          <w:left w:w="0" w:type="dxa"/>
          <w:bottom w:w="0" w:type="dxa"/>
          <w:right w:w="0" w:type="dxa"/>
        </w:tblCellMar>
      </w:tblPr>
      <w:tblGrid>
        <w:gridCol w:w="4956"/>
        <w:gridCol w:w="326"/>
        <w:gridCol w:w="226"/>
        <w:gridCol w:w="687"/>
        <w:gridCol w:w="326"/>
        <w:gridCol w:w="211"/>
        <w:gridCol w:w="690"/>
        <w:gridCol w:w="326"/>
        <w:gridCol w:w="211"/>
        <w:gridCol w:w="687"/>
        <w:gridCol w:w="326"/>
        <w:gridCol w:w="859"/>
        <w:gridCol w:w="374"/>
      </w:tblGrid>
      <w:tr>
        <w:trPr/>
        <w:tc>
          <w:tcPr>
            <w:tcW w:w="4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3147060" cy="175260"/>
                      <wp:effectExtent l="0" t="0" r="0" b="0"/>
                      <wp:wrapNone/>
                      <wp:docPr id="465" name="Frame465"/>
                      <a:graphic xmlns:a="http://schemas.openxmlformats.org/drawingml/2006/main">
                        <a:graphicData uri="http://schemas.microsoft.com/office/word/2010/wordprocessingShape">
                          <wps:wsp>
                            <wps:cNvSpPr txBox="1"/>
                            <wps:spPr>
                              <a:xfrm>
                                <a:off x="0" y="0"/>
                                <a:ext cx="3147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07010" cy="175260"/>
                      <wp:effectExtent l="0" t="0" r="0" b="0"/>
                      <wp:wrapNone/>
                      <wp:docPr id="466" name="Frame4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143510" cy="175260"/>
                      <wp:effectExtent l="0" t="0" r="0" b="0"/>
                      <wp:wrapNone/>
                      <wp:docPr id="467" name="Frame46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436245" cy="175260"/>
                      <wp:effectExtent l="0" t="0" r="0" b="0"/>
                      <wp:wrapNone/>
                      <wp:docPr id="468" name="Frame468"/>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07010" cy="175260"/>
                      <wp:effectExtent l="0" t="0" r="0" b="0"/>
                      <wp:wrapNone/>
                      <wp:docPr id="469" name="Frame4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133985" cy="175260"/>
                      <wp:effectExtent l="0" t="0" r="0" b="0"/>
                      <wp:wrapNone/>
                      <wp:docPr id="470" name="Frame4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438150" cy="175260"/>
                      <wp:effectExtent l="0" t="0" r="0" b="0"/>
                      <wp:wrapNone/>
                      <wp:docPr id="471" name="Frame471"/>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07010" cy="175260"/>
                      <wp:effectExtent l="0" t="0" r="0" b="0"/>
                      <wp:wrapNone/>
                      <wp:docPr id="472" name="Frame4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133985" cy="175260"/>
                      <wp:effectExtent l="0" t="0" r="0" b="0"/>
                      <wp:wrapNone/>
                      <wp:docPr id="473" name="Frame4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436245" cy="175260"/>
                      <wp:effectExtent l="0" t="0" r="0" b="0"/>
                      <wp:wrapNone/>
                      <wp:docPr id="474" name="Frame474"/>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07010" cy="175260"/>
                      <wp:effectExtent l="0" t="0" r="0" b="0"/>
                      <wp:wrapNone/>
                      <wp:docPr id="475" name="Frame4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545465" cy="175260"/>
                      <wp:effectExtent l="0" t="0" r="0" b="0"/>
                      <wp:wrapNone/>
                      <wp:docPr id="476" name="Frame476"/>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37490" cy="175260"/>
                      <wp:effectExtent l="0" t="0" r="0" b="0"/>
                      <wp:wrapNone/>
                      <wp:docPr id="477" name="Frame477"/>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left"/>
              <w:rPr/>
            </w:pPr>
            <w:r>
              <w:rPr/>
              <w:t>​</w:t>
            </w:r>
          </w:p>
        </w:tc>
        <w:tc>
          <w:tcPr>
            <w:tcW w:w="374" w:type="dxa"/>
            <w:tcBorders/>
            <w:vAlign w:val="center"/>
          </w:tcPr>
          <w:p>
            <w:pPr>
              <w:pStyle w:val="TableContents"/>
              <w:bidi w:val="0"/>
              <w:spacing w:before="0" w:after="1"/>
              <w:ind w:left="0" w:right="0" w:hanging="0"/>
              <w:jc w:val="left"/>
              <w:rPr/>
            </w:pPr>
            <w:r>
              <w:rPr/>
              <w:t>​</w:t>
            </w:r>
          </w:p>
        </w:tc>
      </w:tr>
      <w:tr>
        <w:trPr/>
        <w:tc>
          <w:tcPr>
            <w:tcW w:w="49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thousands, unless otherwise indicated)</w:t>
            </w:r>
          </w:p>
        </w:tc>
        <w:tc>
          <w:tcPr>
            <w:tcW w:w="326" w:type="dxa"/>
            <w:tcBorders/>
            <w:vAlign w:val="center"/>
          </w:tcPr>
          <w:p>
            <w:pPr>
              <w:pStyle w:val="TableContents"/>
              <w:bidi w:val="0"/>
              <w:spacing w:before="0" w:after="1"/>
              <w:ind w:left="0" w:right="0" w:hanging="0"/>
              <w:jc w:val="left"/>
              <w:rPr/>
            </w:pPr>
            <w:r>
              <w:rPr/>
              <w:t>    </w:t>
            </w:r>
          </w:p>
        </w:tc>
        <w:tc>
          <w:tcPr>
            <w:tcW w:w="9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8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26" w:type="dxa"/>
            <w:tcBorders/>
            <w:vAlign w:val="center"/>
          </w:tcPr>
          <w:p>
            <w:pPr>
              <w:pStyle w:val="TableContents"/>
              <w:bidi w:val="0"/>
              <w:spacing w:before="0" w:after="1"/>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74" w:type="dxa"/>
            <w:tcBorders/>
            <w:vAlign w:val="center"/>
          </w:tcPr>
          <w:p>
            <w:pPr>
              <w:pStyle w:val="TableContents"/>
              <w:bidi w:val="0"/>
              <w:spacing w:before="0" w:after="1"/>
              <w:ind w:left="0" w:right="0" w:hanging="0"/>
              <w:jc w:val="left"/>
              <w:rPr/>
            </w:pPr>
            <w:r>
              <w:rPr/>
              <w:t>    </w:t>
            </w:r>
          </w:p>
        </w:tc>
      </w:tr>
      <w:tr>
        <w:trPr/>
        <w:tc>
          <w:tcPr>
            <w:tcW w:w="49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revenues</w:t>
            </w:r>
          </w:p>
        </w:tc>
        <w:tc>
          <w:tcPr>
            <w:tcW w:w="32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687"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87"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pPr>
            <w:r>
              <w:rPr/>
              <w:t>  </w:t>
            </w:r>
          </w:p>
        </w:tc>
        <w:tc>
          <w:tcPr>
            <w:tcW w:w="374" w:type="dxa"/>
            <w:tcBorders/>
            <w:shd w:fill="CCEEFF" w:val="clear"/>
            <w:vAlign w:val="center"/>
          </w:tcPr>
          <w:p>
            <w:pPr>
              <w:pStyle w:val="TableContents"/>
              <w:bidi w:val="0"/>
              <w:spacing w:before="0" w:after="1"/>
              <w:ind w:left="0" w:right="0" w:hanging="0"/>
              <w:jc w:val="left"/>
              <w:rPr/>
            </w:pPr>
            <w:r>
              <w:rPr/>
              <w:t> </w:t>
            </w:r>
          </w:p>
        </w:tc>
      </w:tr>
      <w:tr>
        <w:trPr/>
        <w:tc>
          <w:tcPr>
            <w:tcW w:w="4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Renewable natural gas (RNG)</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c>
          <w:tcPr>
            <w:tcW w:w="326"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Environmental attributes - RINs</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(2,075)</w:t>
            </w:r>
          </w:p>
        </w:tc>
        <w:tc>
          <w:tcPr>
            <w:tcW w:w="326"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Environmental attributes - LCFS </w:t>
            </w:r>
          </w:p>
        </w:tc>
        <w:tc>
          <w:tcPr>
            <w:tcW w:w="32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3,552</w:t>
            </w:r>
          </w:p>
        </w:tc>
        <w:tc>
          <w:tcPr>
            <w:tcW w:w="326"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9,953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8,313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1,640</w:t>
            </w:r>
          </w:p>
        </w:tc>
        <w:tc>
          <w:tcPr>
            <w:tcW w:w="326"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RNG metrics (MMBtu)</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687"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7"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right"/>
              <w:rPr/>
            </w:pPr>
            <w:r>
              <w:rPr/>
              <w:t>  </w:t>
            </w:r>
          </w:p>
        </w:tc>
        <w:tc>
          <w:tcPr>
            <w:tcW w:w="374" w:type="dxa"/>
            <w:tcBorders/>
            <w:vAlign w:val="center"/>
          </w:tcPr>
          <w:p>
            <w:pPr>
              <w:pStyle w:val="TableContents"/>
              <w:bidi w:val="0"/>
              <w:spacing w:before="0" w:after="1"/>
              <w:ind w:left="0" w:right="0" w:hanging="0"/>
              <w:jc w:val="left"/>
              <w:rPr/>
            </w:pPr>
            <w:r>
              <w:rPr/>
              <w:t>​</w:t>
            </w:r>
          </w:p>
        </w:tc>
      </w:tr>
      <w:tr>
        <w:trPr/>
        <w:tc>
          <w:tcPr>
            <w:tcW w:w="4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RNG production volumes</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RNG production volumes dispensed</w:t>
            </w:r>
          </w:p>
        </w:tc>
        <w:tc>
          <w:tcPr>
            <w:tcW w:w="32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5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RNG volumes available for RIN and LCFS generation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RIN metrics</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687"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7"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right"/>
              <w:rPr/>
            </w:pPr>
            <w:r>
              <w:rPr/>
              <w:t>  </w:t>
            </w:r>
          </w:p>
        </w:tc>
        <w:tc>
          <w:tcPr>
            <w:tcW w:w="374" w:type="dxa"/>
            <w:tcBorders/>
            <w:vAlign w:val="center"/>
          </w:tcPr>
          <w:p>
            <w:pPr>
              <w:pStyle w:val="TableContents"/>
              <w:bidi w:val="0"/>
              <w:spacing w:before="0" w:after="1"/>
              <w:ind w:left="0" w:right="0" w:hanging="0"/>
              <w:jc w:val="left"/>
              <w:rPr/>
            </w:pPr>
            <w:r>
              <w:rPr/>
              <w:t>​</w:t>
            </w:r>
          </w:p>
        </w:tc>
      </w:tr>
      <w:tr>
        <w:trPr/>
        <w:tc>
          <w:tcPr>
            <w:tcW w:w="495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RIN generation </w:t>
            </w:r>
            <w:r>
              <w:rPr>
                <w:rFonts w:ascii="Times New Roman;Times;serif" w:hAnsi="Times New Roman;Times;serif"/>
                <w:sz w:val="15"/>
              </w:rPr>
              <w:t>(2)</w:t>
            </w:r>
            <w:r>
              <w:rPr>
                <w:rFonts w:ascii="Times New Roman;Times;serif" w:hAnsi="Times New Roman;Times;serif"/>
                <w:sz w:val="20"/>
              </w:rPr>
              <w:t xml:space="preserve"> </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w:t>
            </w:r>
          </w:p>
        </w:tc>
        <w:tc>
          <w:tcPr>
            <w:tcW w:w="326"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Plus: Prior period RINs carried into current period</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6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w:t>
            </w:r>
          </w:p>
        </w:tc>
        <w:tc>
          <w:tcPr>
            <w:tcW w:w="326"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RINs sold</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w:t>
            </w:r>
          </w:p>
        </w:tc>
        <w:tc>
          <w:tcPr>
            <w:tcW w:w="326"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RIN inventory</w:t>
            </w:r>
          </w:p>
        </w:tc>
        <w:tc>
          <w:tcPr>
            <w:tcW w:w="32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6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69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6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5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Average realized RIN price </w:t>
            </w:r>
            <w:r>
              <w:rPr>
                <w:rFonts w:ascii="Times New Roman;Times;serif" w:hAnsi="Times New Roman;Times;serif"/>
                <w:sz w:val="15"/>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(0.62)</w:t>
            </w:r>
          </w:p>
        </w:tc>
        <w:tc>
          <w:tcPr>
            <w:tcW w:w="326"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LCFS metrics</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687"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7"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right"/>
              <w:rPr/>
            </w:pPr>
            <w:r>
              <w:rPr/>
              <w:t>  </w:t>
            </w:r>
          </w:p>
        </w:tc>
        <w:tc>
          <w:tcPr>
            <w:tcW w:w="374" w:type="dxa"/>
            <w:tcBorders/>
            <w:vAlign w:val="center"/>
          </w:tcPr>
          <w:p>
            <w:pPr>
              <w:pStyle w:val="TableContents"/>
              <w:bidi w:val="0"/>
              <w:spacing w:before="0" w:after="1"/>
              <w:ind w:left="0" w:right="0" w:hanging="0"/>
              <w:jc w:val="left"/>
              <w:rPr/>
            </w:pPr>
            <w:r>
              <w:rPr/>
              <w:t>​</w:t>
            </w:r>
          </w:p>
        </w:tc>
      </w:tr>
      <w:tr>
        <w:trPr/>
        <w:tc>
          <w:tcPr>
            <w:tcW w:w="495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LCFS generation </w:t>
            </w:r>
            <w:r>
              <w:rPr>
                <w:rFonts w:ascii="Times New Roman;Times;serif" w:hAnsi="Times New Roman;Times;serif"/>
                <w:sz w:val="15"/>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326"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Plus: Prior period LCFS carried into current period</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6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LCFS sold</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LCFS inventory</w:t>
            </w:r>
          </w:p>
        </w:tc>
        <w:tc>
          <w:tcPr>
            <w:tcW w:w="32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6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69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6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5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Average realized LCFS price </w:t>
            </w:r>
            <w:r>
              <w:rPr>
                <w:rFonts w:ascii="Times New Roman;Times;serif" w:hAnsi="Times New Roman;Times;serif"/>
                <w:sz w:val="15"/>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62.85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55.56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7.28</w:t>
            </w:r>
          </w:p>
        </w:tc>
        <w:tc>
          <w:tcPr>
            <w:tcW w:w="326"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68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right"/>
              <w:rPr/>
            </w:pPr>
            <w:r>
              <w:rPr/>
              <w:t>​</w:t>
            </w:r>
          </w:p>
        </w:tc>
        <w:tc>
          <w:tcPr>
            <w:tcW w:w="374" w:type="dxa"/>
            <w:tcBorders/>
            <w:vAlign w:val="center"/>
          </w:tcPr>
          <w:p>
            <w:pPr>
              <w:pStyle w:val="TableContents"/>
              <w:bidi w:val="0"/>
              <w:spacing w:before="0" w:after="1"/>
              <w:ind w:left="0" w:right="0" w:hanging="0"/>
              <w:jc w:val="left"/>
              <w:rPr/>
            </w:pPr>
            <w:r>
              <w:rPr/>
              <w:t>​</w:t>
            </w:r>
          </w:p>
        </w:tc>
      </w:tr>
      <w:tr>
        <w:trPr/>
        <w:tc>
          <w:tcPr>
            <w:tcW w:w="4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RNG operating expenses </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10,745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(2,717)</w:t>
            </w:r>
          </w:p>
        </w:tc>
        <w:tc>
          <w:tcPr>
            <w:tcW w:w="326"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RNG operating expenses per MMBTU (actual)</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46.67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58.40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(11.72)</w:t>
            </w:r>
          </w:p>
        </w:tc>
        <w:tc>
          <w:tcPr>
            <w:tcW w:w="326"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7397" w:type="dxa"/>
        <w:jc w:val="left"/>
        <w:tblInd w:w="0" w:type="dxa"/>
        <w:tblLayout w:type="fixed"/>
        <w:tblCellMar>
          <w:top w:w="0" w:type="dxa"/>
          <w:left w:w="0" w:type="dxa"/>
          <w:bottom w:w="0" w:type="dxa"/>
          <w:right w:w="0" w:type="dxa"/>
        </w:tblCellMar>
      </w:tblPr>
      <w:tblGrid>
        <w:gridCol w:w="346"/>
        <w:gridCol w:w="705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0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gas production which has not been dispensed to generate RINs and LCFS.</w:t>
            </w:r>
          </w:p>
        </w:tc>
      </w:tr>
    </w:tbl>
    <w:tbl>
      <w:tblPr>
        <w:tblW w:w="6782" w:type="dxa"/>
        <w:jc w:val="left"/>
        <w:tblInd w:w="0" w:type="dxa"/>
        <w:tblLayout w:type="fixed"/>
        <w:tblCellMar>
          <w:top w:w="0" w:type="dxa"/>
          <w:left w:w="0" w:type="dxa"/>
          <w:bottom w:w="0" w:type="dxa"/>
          <w:right w:w="0" w:type="dxa"/>
        </w:tblCellMar>
      </w:tblPr>
      <w:tblGrid>
        <w:gridCol w:w="346"/>
        <w:gridCol w:w="643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4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RINs are generally generated in the month following the gas being dispensed.</w:t>
            </w:r>
          </w:p>
        </w:tc>
      </w:tr>
    </w:tbl>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MMBtu of RNG has approximately the same energy content as 11.693 gallons of ethanol, and thus may generate 11.693 RINs under the RFS Program.</w:t>
            </w:r>
          </w:p>
        </w:tc>
      </w:tr>
    </w:tbl>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prices for environmental attributes (under the temporary pathway) are net of third-party commissions and thus do not correspond directly to index prices.</w:t>
            </w:r>
          </w:p>
        </w:tc>
      </w:tr>
    </w:tbl>
    <w:tbl>
      <w:tblPr>
        <w:tblW w:w="8207" w:type="dxa"/>
        <w:jc w:val="left"/>
        <w:tblInd w:w="0" w:type="dxa"/>
        <w:tblLayout w:type="fixed"/>
        <w:tblCellMar>
          <w:top w:w="0" w:type="dxa"/>
          <w:left w:w="0" w:type="dxa"/>
          <w:bottom w:w="0" w:type="dxa"/>
          <w:right w:w="0" w:type="dxa"/>
        </w:tblCellMar>
      </w:tblPr>
      <w:tblGrid>
        <w:gridCol w:w="346"/>
        <w:gridCol w:w="786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78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LCFS credits are generally generated in the calendar quarter following the gas being dispensed.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GevoND Key Operating Metrics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production and price levels from the date of acquisition for our GevoND segment:</w:t>
      </w:r>
    </w:p>
    <w:tbl>
      <w:tblPr>
        <w:tblW w:w="10205" w:type="dxa"/>
        <w:jc w:val="left"/>
        <w:tblInd w:w="0" w:type="dxa"/>
        <w:tblLayout w:type="fixed"/>
        <w:tblCellMar>
          <w:top w:w="0" w:type="dxa"/>
          <w:left w:w="0" w:type="dxa"/>
          <w:bottom w:w="0" w:type="dxa"/>
          <w:right w:w="0" w:type="dxa"/>
        </w:tblCellMar>
      </w:tblPr>
      <w:tblGrid>
        <w:gridCol w:w="2139"/>
        <w:gridCol w:w="326"/>
        <w:gridCol w:w="271"/>
        <w:gridCol w:w="1036"/>
        <w:gridCol w:w="326"/>
        <w:gridCol w:w="324"/>
        <w:gridCol w:w="808"/>
        <w:gridCol w:w="326"/>
        <w:gridCol w:w="442"/>
        <w:gridCol w:w="1104"/>
        <w:gridCol w:w="326"/>
        <w:gridCol w:w="271"/>
        <w:gridCol w:w="931"/>
        <w:gridCol w:w="326"/>
        <w:gridCol w:w="271"/>
        <w:gridCol w:w="978"/>
      </w:tblGrid>
      <w:tr>
        <w:trPr/>
        <w:tc>
          <w:tcPr>
            <w:tcW w:w="21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358265" cy="175260"/>
                      <wp:effectExtent l="0" t="0" r="0" b="0"/>
                      <wp:wrapNone/>
                      <wp:docPr id="478" name="Frame478"/>
                      <a:graphic xmlns:a="http://schemas.openxmlformats.org/drawingml/2006/main">
                        <a:graphicData uri="http://schemas.microsoft.com/office/word/2010/wordprocessingShape">
                          <wps:wsp>
                            <wps:cNvSpPr txBox="1"/>
                            <wps:spPr>
                              <a:xfrm>
                                <a:off x="0" y="0"/>
                                <a:ext cx="1358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07010" cy="175260"/>
                      <wp:effectExtent l="0" t="0" r="0" b="0"/>
                      <wp:wrapNone/>
                      <wp:docPr id="479" name="Frame4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172085" cy="175260"/>
                      <wp:effectExtent l="0" t="0" r="0" b="0"/>
                      <wp:wrapNone/>
                      <wp:docPr id="480" name="Frame480"/>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657860" cy="175260"/>
                      <wp:effectExtent l="0" t="0" r="0" b="0"/>
                      <wp:wrapNone/>
                      <wp:docPr id="481" name="Frame48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07010" cy="175260"/>
                      <wp:effectExtent l="0" t="0" r="0" b="0"/>
                      <wp:wrapNone/>
                      <wp:docPr id="482" name="Frame4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05740" cy="175260"/>
                      <wp:effectExtent l="0" t="0" r="0" b="0"/>
                      <wp:wrapNone/>
                      <wp:docPr id="483" name="Frame483"/>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513080" cy="175260"/>
                      <wp:effectExtent l="0" t="0" r="0" b="0"/>
                      <wp:wrapNone/>
                      <wp:docPr id="484" name="Frame484"/>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207010" cy="175260"/>
                      <wp:effectExtent l="0" t="0" r="0" b="0"/>
                      <wp:wrapNone/>
                      <wp:docPr id="485" name="Frame4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80670" cy="175260"/>
                      <wp:effectExtent l="0" t="0" r="0" b="0"/>
                      <wp:wrapNone/>
                      <wp:docPr id="486" name="Frame486"/>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701040" cy="175260"/>
                      <wp:effectExtent l="0" t="0" r="0" b="0"/>
                      <wp:wrapNone/>
                      <wp:docPr id="487" name="Frame487"/>
                      <a:graphic xmlns:a="http://schemas.openxmlformats.org/drawingml/2006/main">
                        <a:graphicData uri="http://schemas.microsoft.com/office/word/2010/wordprocessingShape">
                          <wps:wsp>
                            <wps:cNvSpPr txBox="1"/>
                            <wps:spPr>
                              <a:xfrm>
                                <a:off x="0" y="0"/>
                                <a:ext cx="701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207010" cy="175260"/>
                      <wp:effectExtent l="0" t="0" r="0" b="0"/>
                      <wp:wrapNone/>
                      <wp:docPr id="488" name="Frame4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172085" cy="175260"/>
                      <wp:effectExtent l="0" t="0" r="0" b="0"/>
                      <wp:wrapNone/>
                      <wp:docPr id="489" name="Frame48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591185" cy="175260"/>
                      <wp:effectExtent l="0" t="0" r="0" b="0"/>
                      <wp:wrapNone/>
                      <wp:docPr id="490" name="Frame49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07010" cy="175260"/>
                      <wp:effectExtent l="0" t="0" r="0" b="0"/>
                      <wp:wrapNone/>
                      <wp:docPr id="491" name="Frame4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172085" cy="175260"/>
                      <wp:effectExtent l="0" t="0" r="0" b="0"/>
                      <wp:wrapNone/>
                      <wp:docPr id="492" name="Frame492"/>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621030" cy="175260"/>
                      <wp:effectExtent l="0" t="0" r="0" b="0"/>
                      <wp:wrapNone/>
                      <wp:docPr id="493" name="Frame493"/>
                      <a:graphic xmlns:a="http://schemas.openxmlformats.org/drawingml/2006/main">
                        <a:graphicData uri="http://schemas.microsoft.com/office/word/2010/wordprocessingShape">
                          <wps:wsp>
                            <wps:cNvSpPr txBox="1"/>
                            <wps:spPr>
                              <a:xfrm>
                                <a:off x="0" y="0"/>
                                <a:ext cx="621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740"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2025</w:t>
            </w:r>
          </w:p>
        </w:tc>
      </w:tr>
      <w:tr>
        <w:trPr/>
        <w:tc>
          <w:tcPr>
            <w:tcW w:w="213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 unless otherwise indicated)</w:t>
            </w:r>
          </w:p>
        </w:tc>
        <w:tc>
          <w:tcPr>
            <w:tcW w:w="326" w:type="dxa"/>
            <w:tcBorders/>
            <w:vAlign w:val="center"/>
          </w:tcPr>
          <w:p>
            <w:pPr>
              <w:pStyle w:val="TableContents"/>
              <w:bidi w:val="0"/>
              <w:spacing w:before="0" w:after="0"/>
              <w:ind w:left="0" w:right="0" w:hanging="0"/>
              <w:jc w:val="left"/>
              <w:rPr/>
            </w:pPr>
            <w:r>
              <w:rPr/>
              <w:t>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Ethanol</w:t>
              <w:br/>
              <w:t>(gallons)</w:t>
            </w:r>
          </w:p>
        </w:tc>
        <w:tc>
          <w:tcPr>
            <w:tcW w:w="326" w:type="dxa"/>
            <w:tcBorders/>
            <w:vAlign w:val="center"/>
          </w:tcPr>
          <w:p>
            <w:pPr>
              <w:pStyle w:val="TableContents"/>
              <w:bidi w:val="0"/>
              <w:spacing w:before="0" w:after="0"/>
              <w:ind w:left="0" w:right="0" w:hanging="0"/>
              <w:jc w:val="left"/>
              <w:rPr/>
            </w:pPr>
            <w:r>
              <w:rPr/>
              <w:t>    </w:t>
            </w:r>
          </w:p>
        </w:tc>
        <w:tc>
          <w:tcPr>
            <w:tcW w:w="11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Dried</w:t>
              <w:br/>
              <w:t>Distillers Grains</w:t>
              <w:br/>
              <w:t>(tons)</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Modified Distillers Grains </w:t>
              <w:br/>
              <w:t>(tons)</w:t>
            </w:r>
          </w:p>
        </w:tc>
        <w:tc>
          <w:tcPr>
            <w:tcW w:w="326" w:type="dxa"/>
            <w:tcBorders/>
            <w:vAlign w:val="center"/>
          </w:tcPr>
          <w:p>
            <w:pPr>
              <w:pStyle w:val="TableContents"/>
              <w:bidi w:val="0"/>
              <w:spacing w:before="0" w:after="0"/>
              <w:ind w:left="0" w:right="0" w:hanging="0"/>
              <w:jc w:val="left"/>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Corn Oil </w:t>
              <w:br/>
              <w:t xml:space="preserve">&amp; Syrup Sold </w:t>
              <w:br/>
              <w:t>(lbs)</w:t>
            </w:r>
          </w:p>
        </w:tc>
        <w:tc>
          <w:tcPr>
            <w:tcW w:w="326" w:type="dxa"/>
            <w:tcBorders/>
            <w:vAlign w:val="center"/>
          </w:tcPr>
          <w:p>
            <w:pPr>
              <w:pStyle w:val="TableContents"/>
              <w:bidi w:val="0"/>
              <w:spacing w:before="0" w:after="0"/>
              <w:ind w:left="0" w:right="0" w:hanging="0"/>
              <w:jc w:val="left"/>
              <w:rPr/>
            </w:pPr>
            <w:r>
              <w:rPr/>
              <w:t>    </w:t>
            </w:r>
          </w:p>
        </w:tc>
        <w:tc>
          <w:tcPr>
            <w:tcW w:w="12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Production quantities</w:t>
            </w:r>
          </w:p>
        </w:tc>
        <w:tc>
          <w:tcPr>
            <w:tcW w:w="326" w:type="dxa"/>
            <w:tcBorders/>
            <w:shd w:fill="CCEEFF" w:val="clear"/>
            <w:vAlign w:val="center"/>
          </w:tcPr>
          <w:p>
            <w:pPr>
              <w:pStyle w:val="TableContents"/>
              <w:bidi w:val="0"/>
              <w:spacing w:before="0" w:after="0"/>
              <w:ind w:left="0" w:right="0" w:hanging="0"/>
              <w:jc w:val="left"/>
              <w:rPr/>
            </w:pPr>
            <w:r>
              <w:rPr/>
              <w:t> </w:t>
            </w:r>
          </w:p>
        </w:tc>
        <w:tc>
          <w:tcPr>
            <w:tcW w:w="27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16,845,538</w:t>
            </w:r>
          </w:p>
        </w:tc>
        <w:tc>
          <w:tcPr>
            <w:tcW w:w="32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26,778</w:t>
            </w:r>
          </w:p>
        </w:tc>
        <w:tc>
          <w:tcPr>
            <w:tcW w:w="326"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left"/>
              <w:rPr/>
            </w:pPr>
            <w:r>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24,801</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5,056,240</w:t>
            </w:r>
          </w:p>
        </w:tc>
        <w:tc>
          <w:tcPr>
            <w:tcW w:w="326" w:type="dxa"/>
            <w:tcBorders/>
            <w:shd w:fill="CCEEFF" w:val="clear"/>
            <w:vAlign w:val="center"/>
          </w:tcPr>
          <w:p>
            <w:pPr>
              <w:pStyle w:val="TableContents"/>
              <w:bidi w:val="0"/>
              <w:spacing w:before="0" w:after="0"/>
              <w:ind w:left="0" w:right="0" w:hanging="0"/>
              <w:jc w:val="left"/>
              <w:rPr/>
            </w:pPr>
            <w:r>
              <w:rPr/>
              <w:t> </w:t>
            </w:r>
          </w:p>
        </w:tc>
        <w:tc>
          <w:tcPr>
            <w:tcW w:w="271"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pPr>
            <w:r>
              <w:rPr/>
              <w:t>  </w:t>
            </w:r>
          </w:p>
        </w:tc>
      </w:tr>
      <w:tr>
        <w:trPr/>
        <w:tc>
          <w:tcPr>
            <w:tcW w:w="21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 price</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326" w:type="dxa"/>
            <w:tcBorders/>
            <w:vAlign w:val="center"/>
          </w:tcPr>
          <w:p>
            <w:pPr>
              <w:pStyle w:val="TableContents"/>
              <w:bidi w:val="0"/>
              <w:spacing w:before="0" w:after="0"/>
              <w:ind w:left="0" w:right="0" w:hanging="0"/>
              <w:jc w:val="left"/>
              <w:rPr/>
            </w:pPr>
            <w:r>
              <w:rPr/>
              <w:t>​</w:t>
            </w:r>
          </w:p>
        </w:tc>
        <w:tc>
          <w:tcPr>
            <w:tcW w:w="32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148.14</w:t>
            </w:r>
          </w:p>
        </w:tc>
        <w:tc>
          <w:tcPr>
            <w:tcW w:w="326" w:type="dxa"/>
            <w:tcBorders/>
            <w:vAlign w:val="center"/>
          </w:tcPr>
          <w:p>
            <w:pPr>
              <w:pStyle w:val="TableContents"/>
              <w:bidi w:val="0"/>
              <w:spacing w:before="0" w:after="0"/>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74.59</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0.58</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r>
      <w:tr>
        <w:trPr/>
        <w:tc>
          <w:tcPr>
            <w:tcW w:w="21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28,666</w:t>
            </w:r>
          </w:p>
        </w:tc>
        <w:tc>
          <w:tcPr>
            <w:tcW w:w="326" w:type="dxa"/>
            <w:tcBorders/>
            <w:shd w:fill="CCEEFF" w:val="clear"/>
            <w:vAlign w:val="center"/>
          </w:tcPr>
          <w:p>
            <w:pPr>
              <w:pStyle w:val="TableContents"/>
              <w:bidi w:val="0"/>
              <w:spacing w:before="0" w:after="0"/>
              <w:ind w:left="0" w:right="0" w:hanging="0"/>
              <w:jc w:val="left"/>
              <w:rPr/>
            </w:pPr>
            <w:r>
              <w:rPr/>
              <w:t>​</w:t>
            </w:r>
          </w:p>
        </w:tc>
        <w:tc>
          <w:tcPr>
            <w:tcW w:w="3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3,967</w:t>
            </w:r>
          </w:p>
        </w:tc>
        <w:tc>
          <w:tcPr>
            <w:tcW w:w="326" w:type="dxa"/>
            <w:tcBorders/>
            <w:shd w:fill="CCEEFF" w:val="clear"/>
            <w:vAlign w:val="center"/>
          </w:tcPr>
          <w:p>
            <w:pPr>
              <w:pStyle w:val="TableContents"/>
              <w:bidi w:val="0"/>
              <w:spacing w:before="0" w:after="0"/>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1,850</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2,912</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37,395</w:t>
            </w:r>
          </w:p>
        </w:tc>
      </w:tr>
      <w:tr>
        <w:trPr/>
        <w:tc>
          <w:tcPr>
            <w:tcW w:w="21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Marketing fees and other </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26" w:type="dxa"/>
            <w:tcBorders/>
            <w:vAlign w:val="center"/>
          </w:tcPr>
          <w:p>
            <w:pPr>
              <w:pStyle w:val="TableContents"/>
              <w:bidi w:val="0"/>
              <w:spacing w:before="0" w:after="0"/>
              <w:ind w:left="0" w:right="0" w:hanging="0"/>
              <w:jc w:val="left"/>
              <w:rPr/>
            </w:pPr>
            <w:r>
              <w:rPr/>
              <w:t>​</w:t>
            </w:r>
          </w:p>
        </w:tc>
        <w:tc>
          <w:tcPr>
            <w:tcW w:w="3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26" w:type="dxa"/>
            <w:tcBorders/>
            <w:vAlign w:val="center"/>
          </w:tcPr>
          <w:p>
            <w:pPr>
              <w:pStyle w:val="TableContents"/>
              <w:bidi w:val="0"/>
              <w:spacing w:before="0" w:after="0"/>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r>
      <w:tr>
        <w:trPr/>
        <w:tc>
          <w:tcPr>
            <w:tcW w:w="21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28,508</w:t>
            </w:r>
          </w:p>
        </w:tc>
        <w:tc>
          <w:tcPr>
            <w:tcW w:w="326" w:type="dxa"/>
            <w:tcBorders/>
            <w:shd w:fill="CCEEFF" w:val="clear"/>
            <w:vAlign w:val="center"/>
          </w:tcPr>
          <w:p>
            <w:pPr>
              <w:pStyle w:val="TableContents"/>
              <w:bidi w:val="0"/>
              <w:spacing w:before="0" w:after="0"/>
              <w:ind w:left="0" w:right="0" w:hanging="0"/>
              <w:jc w:val="left"/>
              <w:rPr/>
            </w:pPr>
            <w:r>
              <w:rPr/>
              <w:t>​</w:t>
            </w:r>
          </w:p>
        </w:tc>
        <w:tc>
          <w:tcPr>
            <w:tcW w:w="3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r>
              <w:rPr>
                <w:rFonts w:ascii="Times New Roman;Times;serif" w:hAnsi="Times New Roman;Times;serif"/>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3,913</w:t>
            </w:r>
          </w:p>
        </w:tc>
        <w:tc>
          <w:tcPr>
            <w:tcW w:w="326" w:type="dxa"/>
            <w:tcBorders/>
            <w:shd w:fill="CCEEFF" w:val="clear"/>
            <w:vAlign w:val="center"/>
          </w:tcPr>
          <w:p>
            <w:pPr>
              <w:pStyle w:val="TableContents"/>
              <w:bidi w:val="0"/>
              <w:spacing w:before="0" w:after="0"/>
              <w:ind w:left="0" w:right="0" w:hanging="0"/>
              <w:jc w:val="left"/>
              <w:rPr/>
            </w:pPr>
            <w:r>
              <w:rPr/>
              <w:t>​</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r>
              <w:rPr>
                <w:rFonts w:ascii="Times New Roman;Times;serif" w:hAnsi="Times New Roman;Times;serif"/>
                <w:sz w:val="20"/>
              </w:rPr>
              <w:t>$</w:t>
            </w:r>
          </w:p>
        </w:tc>
        <w:tc>
          <w:tcPr>
            <w:tcW w:w="11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1,850</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2,909</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r>
              <w:rPr>
                <w:rFonts w:ascii="Times New Roman;Times;serif" w:hAnsi="Times New Roman;Times;serif"/>
                <w:sz w:val="20"/>
              </w:rPr>
              <w:t>$</w:t>
            </w:r>
          </w:p>
        </w:tc>
        <w:tc>
          <w:tcPr>
            <w:tcW w:w="9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37,180</w:t>
            </w:r>
          </w:p>
        </w:tc>
      </w:tr>
      <w:tr>
        <w:trPr/>
        <w:tc>
          <w:tcPr>
            <w:tcW w:w="21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left"/>
              <w:rPr/>
            </w:pPr>
            <w:r>
              <w:rPr/>
              <w:t>​</w:t>
            </w:r>
          </w:p>
        </w:tc>
        <w:tc>
          <w:tcPr>
            <w:tcW w:w="110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r>
      <w:tr>
        <w:trPr/>
        <w:tc>
          <w:tcPr>
            <w:tcW w:w="21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Primary production costs: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left"/>
              <w:rPr/>
            </w:pPr>
            <w:r>
              <w:rPr/>
              <w:t>​</w:t>
            </w:r>
          </w:p>
        </w:tc>
        <w:tc>
          <w:tcPr>
            <w:tcW w:w="110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left"/>
              <w:rPr/>
            </w:pPr>
            <w:r>
              <w:rPr/>
              <w:t>​</w:t>
            </w:r>
          </w:p>
        </w:tc>
      </w:tr>
      <w:tr>
        <w:trPr/>
        <w:tc>
          <w:tcPr>
            <w:tcW w:w="21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left"/>
              <w:rPr/>
            </w:pPr>
            <w:r>
              <w:rPr/>
              <w:t>​</w:t>
            </w:r>
          </w:p>
        </w:tc>
        <w:tc>
          <w:tcPr>
            <w:tcW w:w="11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left"/>
              <w:rPr/>
            </w:pPr>
            <w:r>
              <w:rPr/>
              <w:t>​</w:t>
            </w:r>
          </w:p>
        </w:tc>
      </w:tr>
      <w:tr>
        <w:trPr/>
        <w:tc>
          <w:tcPr>
            <w:tcW w:w="21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Corn ground (bushels)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left"/>
              <w:rPr/>
            </w:pPr>
            <w:r>
              <w:rPr/>
              <w:t>​</w:t>
            </w:r>
          </w:p>
        </w:tc>
        <w:tc>
          <w:tcPr>
            <w:tcW w:w="110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5,659,744</w:t>
            </w:r>
          </w:p>
        </w:tc>
      </w:tr>
      <w:tr>
        <w:trPr/>
        <w:tc>
          <w:tcPr>
            <w:tcW w:w="21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Corn cost per bushel</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left"/>
              <w:rPr/>
            </w:pPr>
            <w:r>
              <w:rPr/>
              <w:t>​</w:t>
            </w:r>
          </w:p>
        </w:tc>
        <w:tc>
          <w:tcPr>
            <w:tcW w:w="11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w:t>
            </w:r>
          </w:p>
        </w:tc>
      </w:tr>
      <w:tr>
        <w:trPr/>
        <w:tc>
          <w:tcPr>
            <w:tcW w:w="21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corn production costs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left"/>
              <w:rPr/>
            </w:pPr>
            <w:r>
              <w:rPr/>
              <w:t>​</w:t>
            </w:r>
          </w:p>
        </w:tc>
        <w:tc>
          <w:tcPr>
            <w:tcW w:w="110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23,941</w:t>
            </w:r>
          </w:p>
        </w:tc>
      </w:tr>
      <w:tr>
        <w:trPr/>
        <w:tc>
          <w:tcPr>
            <w:tcW w:w="21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left"/>
              <w:rPr/>
            </w:pPr>
            <w:r>
              <w:rPr/>
              <w:t>​</w:t>
            </w:r>
          </w:p>
        </w:tc>
        <w:tc>
          <w:tcPr>
            <w:tcW w:w="11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left"/>
              <w:rPr/>
            </w:pPr>
            <w:r>
              <w:rPr/>
              <w:t>​</w:t>
            </w:r>
          </w:p>
        </w:tc>
      </w:tr>
      <w:tr>
        <w:trPr/>
        <w:tc>
          <w:tcPr>
            <w:tcW w:w="21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Natural gas (MMBTU)</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left"/>
              <w:rPr/>
            </w:pPr>
            <w:r>
              <w:rPr/>
              <w:t>​</w:t>
            </w:r>
          </w:p>
        </w:tc>
        <w:tc>
          <w:tcPr>
            <w:tcW w:w="110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408,184</w:t>
            </w:r>
          </w:p>
        </w:tc>
      </w:tr>
      <w:tr>
        <w:trPr/>
        <w:tc>
          <w:tcPr>
            <w:tcW w:w="21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Natural gas cost per MMBTU</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left"/>
              <w:rPr/>
            </w:pPr>
            <w:r>
              <w:rPr/>
              <w:t>​</w:t>
            </w:r>
          </w:p>
        </w:tc>
        <w:tc>
          <w:tcPr>
            <w:tcW w:w="11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r>
      <w:tr>
        <w:trPr/>
        <w:tc>
          <w:tcPr>
            <w:tcW w:w="21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natural gas production costs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left"/>
              <w:rPr/>
            </w:pPr>
            <w:r>
              <w:rPr/>
              <w:t>​</w:t>
            </w:r>
          </w:p>
        </w:tc>
        <w:tc>
          <w:tcPr>
            <w:tcW w:w="110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849</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44"/>
        <w:gridCol w:w="326"/>
        <w:gridCol w:w="271"/>
        <w:gridCol w:w="1036"/>
        <w:gridCol w:w="326"/>
        <w:gridCol w:w="323"/>
        <w:gridCol w:w="807"/>
        <w:gridCol w:w="326"/>
        <w:gridCol w:w="441"/>
        <w:gridCol w:w="1101"/>
        <w:gridCol w:w="326"/>
        <w:gridCol w:w="271"/>
        <w:gridCol w:w="931"/>
        <w:gridCol w:w="326"/>
        <w:gridCol w:w="271"/>
        <w:gridCol w:w="979"/>
      </w:tblGrid>
      <w:tr>
        <w:trPr/>
        <w:tc>
          <w:tcPr>
            <w:tcW w:w="2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1361440" cy="175260"/>
                      <wp:effectExtent l="0" t="0" r="0" b="0"/>
                      <wp:wrapNone/>
                      <wp:docPr id="494" name="Frame494"/>
                      <a:graphic xmlns:a="http://schemas.openxmlformats.org/drawingml/2006/main">
                        <a:graphicData uri="http://schemas.microsoft.com/office/word/2010/wordprocessingShape">
                          <wps:wsp>
                            <wps:cNvSpPr txBox="1"/>
                            <wps:spPr>
                              <a:xfrm>
                                <a:off x="0" y="0"/>
                                <a:ext cx="1361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07010" cy="175260"/>
                      <wp:effectExtent l="0" t="0" r="0" b="0"/>
                      <wp:wrapNone/>
                      <wp:docPr id="495" name="Frame4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172085" cy="175260"/>
                      <wp:effectExtent l="0" t="0" r="0" b="0"/>
                      <wp:wrapNone/>
                      <wp:docPr id="496" name="Frame496"/>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657860" cy="175260"/>
                      <wp:effectExtent l="0" t="0" r="0" b="0"/>
                      <wp:wrapNone/>
                      <wp:docPr id="497" name="Frame49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207010" cy="175260"/>
                      <wp:effectExtent l="0" t="0" r="0" b="0"/>
                      <wp:wrapNone/>
                      <wp:docPr id="498" name="Frame4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05105" cy="175260"/>
                      <wp:effectExtent l="0" t="0" r="0" b="0"/>
                      <wp:wrapNone/>
                      <wp:docPr id="499" name="Frame499"/>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512445" cy="175260"/>
                      <wp:effectExtent l="0" t="0" r="0" b="0"/>
                      <wp:wrapNone/>
                      <wp:docPr id="500" name="Frame500"/>
                      <a:graphic xmlns:a="http://schemas.openxmlformats.org/drawingml/2006/main">
                        <a:graphicData uri="http://schemas.microsoft.com/office/word/2010/wordprocessingShape">
                          <wps:wsp>
                            <wps:cNvSpPr txBox="1"/>
                            <wps:spPr>
                              <a:xfrm>
                                <a:off x="0" y="0"/>
                                <a:ext cx="512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07010" cy="175260"/>
                      <wp:effectExtent l="0" t="0" r="0" b="0"/>
                      <wp:wrapNone/>
                      <wp:docPr id="501" name="Frame5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280035" cy="175260"/>
                      <wp:effectExtent l="0" t="0" r="0" b="0"/>
                      <wp:wrapNone/>
                      <wp:docPr id="502" name="Frame502"/>
                      <a:graphic xmlns:a="http://schemas.openxmlformats.org/drawingml/2006/main">
                        <a:graphicData uri="http://schemas.microsoft.com/office/word/2010/wordprocessingShape">
                          <wps:wsp>
                            <wps:cNvSpPr txBox="1"/>
                            <wps:spPr>
                              <a:xfrm>
                                <a:off x="0" y="0"/>
                                <a:ext cx="280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699135" cy="175260"/>
                      <wp:effectExtent l="0" t="0" r="0" b="0"/>
                      <wp:wrapNone/>
                      <wp:docPr id="503" name="Frame503"/>
                      <a:graphic xmlns:a="http://schemas.openxmlformats.org/drawingml/2006/main">
                        <a:graphicData uri="http://schemas.microsoft.com/office/word/2010/wordprocessingShape">
                          <wps:wsp>
                            <wps:cNvSpPr txBox="1"/>
                            <wps:spPr>
                              <a:xfrm>
                                <a:off x="0" y="0"/>
                                <a:ext cx="699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07010" cy="175260"/>
                      <wp:effectExtent l="0" t="0" r="0" b="0"/>
                      <wp:wrapNone/>
                      <wp:docPr id="504" name="Frame5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172085" cy="175260"/>
                      <wp:effectExtent l="0" t="0" r="0" b="0"/>
                      <wp:wrapNone/>
                      <wp:docPr id="505" name="Frame50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591185" cy="175260"/>
                      <wp:effectExtent l="0" t="0" r="0" b="0"/>
                      <wp:wrapNone/>
                      <wp:docPr id="506" name="Frame50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07010" cy="175260"/>
                      <wp:effectExtent l="0" t="0" r="0" b="0"/>
                      <wp:wrapNone/>
                      <wp:docPr id="507" name="Frame5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172085" cy="175260"/>
                      <wp:effectExtent l="0" t="0" r="0" b="0"/>
                      <wp:wrapNone/>
                      <wp:docPr id="508" name="Frame508"/>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621665" cy="175260"/>
                      <wp:effectExtent l="0" t="0" r="0" b="0"/>
                      <wp:wrapNone/>
                      <wp:docPr id="509" name="Frame509"/>
                      <a:graphic xmlns:a="http://schemas.openxmlformats.org/drawingml/2006/main">
                        <a:graphicData uri="http://schemas.microsoft.com/office/word/2010/wordprocessingShape">
                          <wps:wsp>
                            <wps:cNvSpPr txBox="1"/>
                            <wps:spPr>
                              <a:xfrm>
                                <a:off x="0" y="0"/>
                                <a:ext cx="621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73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2025</w:t>
            </w:r>
          </w:p>
        </w:tc>
      </w:tr>
      <w:tr>
        <w:trPr/>
        <w:tc>
          <w:tcPr>
            <w:tcW w:w="214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 unless otherwise indicated)</w:t>
            </w:r>
          </w:p>
        </w:tc>
        <w:tc>
          <w:tcPr>
            <w:tcW w:w="326" w:type="dxa"/>
            <w:tcBorders/>
            <w:vAlign w:val="center"/>
          </w:tcPr>
          <w:p>
            <w:pPr>
              <w:pStyle w:val="TableContents"/>
              <w:bidi w:val="0"/>
              <w:spacing w:before="0" w:after="0"/>
              <w:ind w:left="0" w:right="0" w:hanging="0"/>
              <w:jc w:val="left"/>
              <w:rPr/>
            </w:pPr>
            <w:r>
              <w:rPr/>
              <w:t>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Ethanol</w:t>
              <w:br/>
              <w:t>(gallons)</w:t>
            </w:r>
          </w:p>
        </w:tc>
        <w:tc>
          <w:tcPr>
            <w:tcW w:w="326" w:type="dxa"/>
            <w:tcBorders/>
            <w:vAlign w:val="center"/>
          </w:tcPr>
          <w:p>
            <w:pPr>
              <w:pStyle w:val="TableContents"/>
              <w:bidi w:val="0"/>
              <w:spacing w:before="0" w:after="0"/>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Dried</w:t>
              <w:br/>
              <w:t>Distillers Grains</w:t>
              <w:br/>
              <w:t>(tons)</w:t>
            </w:r>
          </w:p>
        </w:tc>
        <w:tc>
          <w:tcPr>
            <w:tcW w:w="326" w:type="dxa"/>
            <w:tcBorders/>
            <w:vAlign w:val="center"/>
          </w:tcPr>
          <w:p>
            <w:pPr>
              <w:pStyle w:val="TableContents"/>
              <w:bidi w:val="0"/>
              <w:spacing w:before="0" w:after="0"/>
              <w:ind w:left="0" w:right="0" w:hanging="0"/>
              <w:jc w:val="left"/>
              <w:rPr/>
            </w:pPr>
            <w:r>
              <w:rPr/>
              <w:t>    </w:t>
            </w:r>
          </w:p>
        </w:tc>
        <w:tc>
          <w:tcPr>
            <w:tcW w:w="15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Modified Distillers Grains </w:t>
              <w:br/>
              <w:t>(tons)</w:t>
            </w:r>
          </w:p>
        </w:tc>
        <w:tc>
          <w:tcPr>
            <w:tcW w:w="326" w:type="dxa"/>
            <w:tcBorders/>
            <w:vAlign w:val="center"/>
          </w:tcPr>
          <w:p>
            <w:pPr>
              <w:pStyle w:val="TableContents"/>
              <w:bidi w:val="0"/>
              <w:spacing w:before="0" w:after="0"/>
              <w:ind w:left="0" w:right="0" w:hanging="0"/>
              <w:jc w:val="left"/>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Corn Oil </w:t>
              <w:br/>
              <w:t xml:space="preserve">&amp; Syrup Sold </w:t>
              <w:br/>
              <w:t>(lbs)</w:t>
            </w:r>
          </w:p>
        </w:tc>
        <w:tc>
          <w:tcPr>
            <w:tcW w:w="326" w:type="dxa"/>
            <w:tcBorders/>
            <w:vAlign w:val="center"/>
          </w:tcPr>
          <w:p>
            <w:pPr>
              <w:pStyle w:val="TableContents"/>
              <w:bidi w:val="0"/>
              <w:spacing w:before="0" w:after="0"/>
              <w:ind w:left="0" w:right="0" w:hanging="0"/>
              <w:jc w:val="left"/>
              <w:rPr/>
            </w:pPr>
            <w:r>
              <w:rPr/>
              <w:t>    </w:t>
            </w:r>
          </w:p>
        </w:tc>
        <w:tc>
          <w:tcPr>
            <w:tcW w:w="12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4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revenues</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left"/>
              <w:rPr/>
            </w:pPr>
            <w:r>
              <w:rPr/>
              <w:t>​</w:t>
            </w:r>
          </w:p>
        </w:tc>
        <w:tc>
          <w:tcPr>
            <w:tcW w:w="1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left"/>
              <w:rPr/>
            </w:pPr>
            <w:r>
              <w:rPr/>
              <w:t>​</w:t>
            </w:r>
          </w:p>
        </w:tc>
      </w:tr>
      <w:tr>
        <w:trPr/>
        <w:tc>
          <w:tcPr>
            <w:tcW w:w="21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Production quantities</w:t>
            </w:r>
          </w:p>
        </w:tc>
        <w:tc>
          <w:tcPr>
            <w:tcW w:w="326" w:type="dxa"/>
            <w:tcBorders/>
            <w:shd w:fill="CCEEFF" w:val="clear"/>
            <w:vAlign w:val="center"/>
          </w:tcPr>
          <w:p>
            <w:pPr>
              <w:pStyle w:val="TableContents"/>
              <w:bidi w:val="0"/>
              <w:spacing w:before="0" w:after="0"/>
              <w:ind w:left="0" w:right="0" w:hanging="0"/>
              <w:jc w:val="left"/>
              <w:rPr/>
            </w:pPr>
            <w:r>
              <w:rPr/>
              <w:t> </w:t>
            </w:r>
          </w:p>
        </w:tc>
        <w:tc>
          <w:tcPr>
            <w:tcW w:w="27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27,982,122</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38,370</w:t>
            </w:r>
          </w:p>
        </w:tc>
        <w:tc>
          <w:tcPr>
            <w:tcW w:w="326" w:type="dxa"/>
            <w:tcBorders/>
            <w:shd w:fill="CCEEFF" w:val="clear"/>
            <w:vAlign w:val="center"/>
          </w:tcPr>
          <w:p>
            <w:pPr>
              <w:pStyle w:val="TableContents"/>
              <w:bidi w:val="0"/>
              <w:spacing w:before="0" w:after="0"/>
              <w:ind w:left="0" w:right="0" w:hanging="0"/>
              <w:jc w:val="left"/>
              <w:rPr/>
            </w:pPr>
            <w:r>
              <w:rPr/>
              <w:t>​</w:t>
            </w:r>
          </w:p>
        </w:tc>
        <w:tc>
          <w:tcPr>
            <w:tcW w:w="441" w:type="dxa"/>
            <w:tcBorders/>
            <w:shd w:fill="CCEEFF" w:val="clear"/>
            <w:vAlign w:val="center"/>
          </w:tcPr>
          <w:p>
            <w:pPr>
              <w:pStyle w:val="TableContents"/>
              <w:bidi w:val="0"/>
              <w:spacing w:before="0" w:after="0"/>
              <w:ind w:left="0" w:right="0" w:hanging="0"/>
              <w:jc w:val="left"/>
              <w:rPr/>
            </w:pPr>
            <w:r>
              <w:rPr/>
              <w:t>​</w:t>
            </w:r>
          </w:p>
        </w:tc>
        <w:tc>
          <w:tcPr>
            <w:tcW w:w="11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54,830</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7,960,860</w:t>
            </w:r>
          </w:p>
        </w:tc>
        <w:tc>
          <w:tcPr>
            <w:tcW w:w="326" w:type="dxa"/>
            <w:tcBorders/>
            <w:shd w:fill="CCEEFF" w:val="clear"/>
            <w:vAlign w:val="center"/>
          </w:tcPr>
          <w:p>
            <w:pPr>
              <w:pStyle w:val="TableContents"/>
              <w:bidi w:val="0"/>
              <w:spacing w:before="0" w:after="0"/>
              <w:ind w:left="0" w:right="0" w:hanging="0"/>
              <w:jc w:val="left"/>
              <w:rPr/>
            </w:pPr>
            <w:r>
              <w:rPr/>
              <w:t> </w:t>
            </w:r>
          </w:p>
        </w:tc>
        <w:tc>
          <w:tcPr>
            <w:tcW w:w="271"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pPr>
            <w:r>
              <w:rPr/>
              <w:t>  </w:t>
            </w:r>
          </w:p>
        </w:tc>
      </w:tr>
      <w:tr>
        <w:trPr/>
        <w:tc>
          <w:tcPr>
            <w:tcW w:w="2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 price</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326" w:type="dxa"/>
            <w:tcBorders/>
            <w:vAlign w:val="center"/>
          </w:tcPr>
          <w:p>
            <w:pPr>
              <w:pStyle w:val="TableContents"/>
              <w:bidi w:val="0"/>
              <w:spacing w:before="0" w:after="0"/>
              <w:ind w:left="0" w:right="0" w:hanging="0"/>
              <w:jc w:val="left"/>
              <w:rPr/>
            </w:pPr>
            <w:r>
              <w:rPr/>
              <w:t>​</w:t>
            </w:r>
          </w:p>
        </w:tc>
        <w:tc>
          <w:tcPr>
            <w:tcW w:w="32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152.36</w:t>
            </w:r>
          </w:p>
        </w:tc>
        <w:tc>
          <w:tcPr>
            <w:tcW w:w="326" w:type="dxa"/>
            <w:tcBorders/>
            <w:vAlign w:val="center"/>
          </w:tcPr>
          <w:p>
            <w:pPr>
              <w:pStyle w:val="TableContents"/>
              <w:bidi w:val="0"/>
              <w:spacing w:before="0" w:after="0"/>
              <w:ind w:left="0" w:right="0" w:hanging="0"/>
              <w:jc w:val="left"/>
              <w:rPr/>
            </w:pPr>
            <w:r>
              <w:rPr/>
              <w:t>​</w:t>
            </w:r>
          </w:p>
        </w:tc>
        <w:tc>
          <w:tcPr>
            <w:tcW w:w="4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73.55</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0.56</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pPr>
            <w:r>
              <w:rPr/>
              <w:t>​</w:t>
            </w:r>
          </w:p>
        </w:tc>
      </w:tr>
      <w:tr>
        <w:trPr/>
        <w:tc>
          <w:tcPr>
            <w:tcW w:w="21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46,016</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5,846</w:t>
            </w:r>
          </w:p>
        </w:tc>
        <w:tc>
          <w:tcPr>
            <w:tcW w:w="326" w:type="dxa"/>
            <w:tcBorders/>
            <w:shd w:fill="CCEEFF" w:val="clear"/>
            <w:vAlign w:val="center"/>
          </w:tcPr>
          <w:p>
            <w:pPr>
              <w:pStyle w:val="TableContents"/>
              <w:bidi w:val="0"/>
              <w:spacing w:before="0" w:after="0"/>
              <w:ind w:left="0" w:right="0" w:hanging="0"/>
              <w:jc w:val="left"/>
              <w:rPr/>
            </w:pPr>
            <w:r>
              <w:rPr/>
              <w:t>​</w:t>
            </w:r>
          </w:p>
        </w:tc>
        <w:tc>
          <w:tcPr>
            <w:tcW w:w="4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4,033</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4,478</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60,373</w:t>
            </w:r>
          </w:p>
        </w:tc>
      </w:tr>
      <w:tr>
        <w:trPr/>
        <w:tc>
          <w:tcPr>
            <w:tcW w:w="2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Less: Marketing fees and other </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c>
          <w:tcPr>
            <w:tcW w:w="326" w:type="dxa"/>
            <w:tcBorders/>
            <w:vAlign w:val="center"/>
          </w:tcPr>
          <w:p>
            <w:pPr>
              <w:pStyle w:val="TableContents"/>
              <w:bidi w:val="0"/>
              <w:spacing w:before="0" w:after="0"/>
              <w:ind w:left="0" w:right="0" w:hanging="0"/>
              <w:jc w:val="left"/>
              <w:rPr/>
            </w:pPr>
            <w:r>
              <w:rPr/>
              <w:t>​</w:t>
            </w:r>
          </w:p>
        </w:tc>
        <w:tc>
          <w:tcPr>
            <w:tcW w:w="3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26" w:type="dxa"/>
            <w:tcBorders/>
            <w:vAlign w:val="center"/>
          </w:tcPr>
          <w:p>
            <w:pPr>
              <w:pStyle w:val="TableContents"/>
              <w:bidi w:val="0"/>
              <w:spacing w:before="0" w:after="0"/>
              <w:ind w:left="0" w:right="0" w:hanging="0"/>
              <w:jc w:val="left"/>
              <w:rPr/>
            </w:pPr>
            <w:r>
              <w:rPr/>
              <w:t>​</w:t>
            </w:r>
          </w:p>
        </w:tc>
        <w:tc>
          <w:tcPr>
            <w:tcW w:w="4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w:t>
            </w:r>
          </w:p>
        </w:tc>
      </w:tr>
      <w:tr>
        <w:trPr/>
        <w:tc>
          <w:tcPr>
            <w:tcW w:w="21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45,753</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r>
              <w:rPr>
                <w:rFonts w:ascii="Times New Roman;Times;serif" w:hAnsi="Times New Roman;Times;serif"/>
                <w:sz w:val="20"/>
              </w:rPr>
              <w:t>$</w:t>
            </w:r>
          </w:p>
        </w:tc>
        <w:tc>
          <w:tcPr>
            <w:tcW w:w="8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5,769</w:t>
            </w:r>
          </w:p>
        </w:tc>
        <w:tc>
          <w:tcPr>
            <w:tcW w:w="326" w:type="dxa"/>
            <w:tcBorders/>
            <w:shd w:fill="CCEEFF" w:val="clear"/>
            <w:vAlign w:val="center"/>
          </w:tcPr>
          <w:p>
            <w:pPr>
              <w:pStyle w:val="TableContents"/>
              <w:bidi w:val="0"/>
              <w:spacing w:before="0" w:after="0"/>
              <w:ind w:left="0" w:right="0" w:hanging="0"/>
              <w:jc w:val="left"/>
              <w:rPr/>
            </w:pPr>
            <w:r>
              <w:rPr/>
              <w:t>​</w:t>
            </w:r>
          </w:p>
        </w:tc>
        <w:tc>
          <w:tcPr>
            <w:tcW w:w="4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r>
              <w:rPr>
                <w:rFonts w:ascii="Times New Roman;Times;serif" w:hAnsi="Times New Roman;Times;serif"/>
                <w:sz w:val="20"/>
              </w:rPr>
              <w:t>$</w:t>
            </w:r>
          </w:p>
        </w:tc>
        <w:tc>
          <w:tcPr>
            <w:tcW w:w="11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4,033</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4,438</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r>
              <w:rPr>
                <w:rFonts w:ascii="Times New Roman;Times;serif" w:hAnsi="Times New Roman;Times;serif"/>
                <w:sz w:val="20"/>
              </w:rPr>
              <w:t>$</w:t>
            </w:r>
          </w:p>
        </w:tc>
        <w:tc>
          <w:tcPr>
            <w:tcW w:w="9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59,993</w:t>
            </w:r>
          </w:p>
        </w:tc>
      </w:tr>
      <w:tr>
        <w:trPr/>
        <w:tc>
          <w:tcPr>
            <w:tcW w:w="21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left"/>
              <w:rPr/>
            </w:pPr>
            <w:r>
              <w:rPr/>
              <w:t>​</w:t>
            </w:r>
          </w:p>
        </w:tc>
        <w:tc>
          <w:tcPr>
            <w:tcW w:w="11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pPr>
            <w:r>
              <w:rPr/>
              <w:t>​</w:t>
            </w:r>
          </w:p>
        </w:tc>
      </w:tr>
      <w:tr>
        <w:trPr/>
        <w:tc>
          <w:tcPr>
            <w:tcW w:w="214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Primary production costs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1" w:type="dxa"/>
            <w:tcBorders/>
            <w:shd w:fill="CCEEFF" w:val="clear"/>
            <w:vAlign w:val="center"/>
          </w:tcPr>
          <w:p>
            <w:pPr>
              <w:pStyle w:val="TableContents"/>
              <w:bidi w:val="0"/>
              <w:spacing w:before="0" w:after="0"/>
              <w:ind w:left="0" w:right="0" w:hanging="0"/>
              <w:jc w:val="left"/>
              <w:rPr/>
            </w:pPr>
            <w:r>
              <w:rPr/>
              <w:t>​</w:t>
            </w:r>
          </w:p>
        </w:tc>
        <w:tc>
          <w:tcPr>
            <w:tcW w:w="11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left"/>
              <w:rPr/>
            </w:pPr>
            <w:r>
              <w:rPr/>
              <w:t>​</w:t>
            </w:r>
          </w:p>
        </w:tc>
      </w:tr>
      <w:tr>
        <w:trPr/>
        <w:tc>
          <w:tcPr>
            <w:tcW w:w="2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Corn ground (bushels)</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left"/>
              <w:rPr/>
            </w:pPr>
            <w:r>
              <w:rPr/>
              <w:t>​</w:t>
            </w:r>
          </w:p>
        </w:tc>
        <w:tc>
          <w:tcPr>
            <w:tcW w:w="1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9,527,232</w:t>
            </w:r>
          </w:p>
        </w:tc>
      </w:tr>
      <w:tr>
        <w:trPr/>
        <w:tc>
          <w:tcPr>
            <w:tcW w:w="21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Corn cost per bushel</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1" w:type="dxa"/>
            <w:tcBorders/>
            <w:shd w:fill="CCEEFF" w:val="clear"/>
            <w:vAlign w:val="center"/>
          </w:tcPr>
          <w:p>
            <w:pPr>
              <w:pStyle w:val="TableContents"/>
              <w:bidi w:val="0"/>
              <w:spacing w:before="0" w:after="0"/>
              <w:ind w:left="0" w:right="0" w:hanging="0"/>
              <w:jc w:val="left"/>
              <w:rPr/>
            </w:pPr>
            <w:r>
              <w:rPr/>
              <w:t>​</w:t>
            </w:r>
          </w:p>
        </w:tc>
        <w:tc>
          <w:tcPr>
            <w:tcW w:w="11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w:t>
            </w:r>
          </w:p>
        </w:tc>
      </w:tr>
      <w:tr>
        <w:trPr/>
        <w:tc>
          <w:tcPr>
            <w:tcW w:w="2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corn production costs</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left"/>
              <w:rPr/>
            </w:pPr>
            <w:r>
              <w:rPr/>
              <w:t>​</w:t>
            </w:r>
          </w:p>
        </w:tc>
        <w:tc>
          <w:tcPr>
            <w:tcW w:w="1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39,633</w:t>
            </w:r>
          </w:p>
        </w:tc>
      </w:tr>
      <w:tr>
        <w:trPr/>
        <w:tc>
          <w:tcPr>
            <w:tcW w:w="21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Natural gas (MMBTU)</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1" w:type="dxa"/>
            <w:tcBorders/>
            <w:shd w:fill="CCEEFF" w:val="clear"/>
            <w:vAlign w:val="center"/>
          </w:tcPr>
          <w:p>
            <w:pPr>
              <w:pStyle w:val="TableContents"/>
              <w:bidi w:val="0"/>
              <w:spacing w:before="0" w:after="0"/>
              <w:ind w:left="0" w:right="0" w:hanging="0"/>
              <w:jc w:val="left"/>
              <w:rPr/>
            </w:pPr>
            <w:r>
              <w:rPr/>
              <w:t>​</w:t>
            </w:r>
          </w:p>
        </w:tc>
        <w:tc>
          <w:tcPr>
            <w:tcW w:w="11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672,301</w:t>
            </w:r>
          </w:p>
        </w:tc>
      </w:tr>
      <w:tr>
        <w:trPr/>
        <w:tc>
          <w:tcPr>
            <w:tcW w:w="2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Natural gas cost per MMBTU</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left"/>
              <w:rPr/>
            </w:pPr>
            <w:r>
              <w:rPr/>
              <w:t>​</w:t>
            </w:r>
          </w:p>
        </w:tc>
        <w:tc>
          <w:tcPr>
            <w:tcW w:w="1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r>
      <w:tr>
        <w:trPr/>
        <w:tc>
          <w:tcPr>
            <w:tcW w:w="21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natural gas production costs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1" w:type="dxa"/>
            <w:tcBorders/>
            <w:shd w:fill="CCEEFF" w:val="clear"/>
            <w:vAlign w:val="center"/>
          </w:tcPr>
          <w:p>
            <w:pPr>
              <w:pStyle w:val="TableContents"/>
              <w:bidi w:val="0"/>
              <w:spacing w:before="0" w:after="0"/>
              <w:ind w:left="0" w:right="0" w:hanging="0"/>
              <w:jc w:val="left"/>
              <w:rPr/>
            </w:pPr>
            <w:r>
              <w:rPr/>
              <w:t>​</w:t>
            </w:r>
          </w:p>
        </w:tc>
        <w:tc>
          <w:tcPr>
            <w:tcW w:w="11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1,876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Comparison of the Three Months Ended June 30, 2025 and 2024 (in thousands):</w:t>
      </w:r>
    </w:p>
    <w:tbl>
      <w:tblPr>
        <w:tblW w:w="9858" w:type="dxa"/>
        <w:jc w:val="left"/>
        <w:tblInd w:w="0" w:type="dxa"/>
        <w:tblLayout w:type="fixed"/>
        <w:tblCellMar>
          <w:top w:w="0" w:type="dxa"/>
          <w:left w:w="0" w:type="dxa"/>
          <w:bottom w:w="0" w:type="dxa"/>
          <w:right w:w="0" w:type="dxa"/>
        </w:tblCellMar>
      </w:tblPr>
      <w:tblGrid>
        <w:gridCol w:w="4366"/>
        <w:gridCol w:w="326"/>
        <w:gridCol w:w="218"/>
        <w:gridCol w:w="714"/>
        <w:gridCol w:w="337"/>
        <w:gridCol w:w="218"/>
        <w:gridCol w:w="823"/>
        <w:gridCol w:w="326"/>
        <w:gridCol w:w="326"/>
        <w:gridCol w:w="691"/>
        <w:gridCol w:w="326"/>
        <w:gridCol w:w="871"/>
        <w:gridCol w:w="316"/>
      </w:tblGrid>
      <w:tr>
        <w:trPr/>
        <w:tc>
          <w:tcPr>
            <w:tcW w:w="4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2772410" cy="175260"/>
                      <wp:effectExtent l="0" t="0" r="0" b="0"/>
                      <wp:wrapNone/>
                      <wp:docPr id="510" name="Frame510"/>
                      <a:graphic xmlns:a="http://schemas.openxmlformats.org/drawingml/2006/main">
                        <a:graphicData uri="http://schemas.microsoft.com/office/word/2010/wordprocessingShape">
                          <wps:wsp>
                            <wps:cNvSpPr txBox="1"/>
                            <wps:spPr>
                              <a:xfrm>
                                <a:off x="0" y="0"/>
                                <a:ext cx="2772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07010" cy="175260"/>
                      <wp:effectExtent l="0" t="0" r="0" b="0"/>
                      <wp:wrapNone/>
                      <wp:docPr id="511" name="Frame5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138430" cy="175260"/>
                      <wp:effectExtent l="0" t="0" r="0" b="0"/>
                      <wp:wrapNone/>
                      <wp:docPr id="512" name="Frame512"/>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453390" cy="175260"/>
                      <wp:effectExtent l="0" t="0" r="0" b="0"/>
                      <wp:wrapNone/>
                      <wp:docPr id="513" name="Frame513"/>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213995" cy="175260"/>
                      <wp:effectExtent l="0" t="0" r="0" b="0"/>
                      <wp:wrapNone/>
                      <wp:docPr id="514" name="Frame514"/>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138430" cy="175260"/>
                      <wp:effectExtent l="0" t="0" r="0" b="0"/>
                      <wp:wrapNone/>
                      <wp:docPr id="515" name="Frame515"/>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522605" cy="175260"/>
                      <wp:effectExtent l="0" t="0" r="0" b="0"/>
                      <wp:wrapNone/>
                      <wp:docPr id="516" name="Frame516"/>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207010" cy="175260"/>
                      <wp:effectExtent l="0" t="0" r="0" b="0"/>
                      <wp:wrapNone/>
                      <wp:docPr id="517" name="Frame5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07010" cy="175260"/>
                      <wp:effectExtent l="0" t="0" r="0" b="0"/>
                      <wp:wrapNone/>
                      <wp:docPr id="518" name="Frame5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438785" cy="175260"/>
                      <wp:effectExtent l="0" t="0" r="0" b="0"/>
                      <wp:wrapNone/>
                      <wp:docPr id="519" name="Frame51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207010" cy="175260"/>
                      <wp:effectExtent l="0" t="0" r="0" b="0"/>
                      <wp:wrapNone/>
                      <wp:docPr id="520" name="Frame5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553085" cy="175260"/>
                      <wp:effectExtent l="0" t="0" r="0" b="0"/>
                      <wp:wrapNone/>
                      <wp:docPr id="521" name="Frame521"/>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00660" cy="175260"/>
                      <wp:effectExtent l="0" t="0" r="0" b="0"/>
                      <wp:wrapNone/>
                      <wp:docPr id="522" name="Frame52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3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 </w:t>
            </w:r>
          </w:p>
        </w:tc>
      </w:tr>
      <w:tr>
        <w:trPr/>
        <w:tc>
          <w:tcPr>
            <w:tcW w:w="43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37" w:type="dxa"/>
            <w:tcBorders/>
            <w:vAlign w:val="center"/>
          </w:tcPr>
          <w:p>
            <w:pPr>
              <w:pStyle w:val="TableContents"/>
              <w:bidi w:val="0"/>
              <w:spacing w:before="0" w:after="1"/>
              <w:ind w:left="0" w:right="0" w:hanging="0"/>
              <w:jc w:val="left"/>
              <w:rPr/>
            </w:pPr>
            <w:r>
              <w:rPr/>
              <w:t>    </w:t>
            </w:r>
          </w:p>
        </w:tc>
        <w:tc>
          <w:tcPr>
            <w:tcW w:w="10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0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16" w:type="dxa"/>
            <w:tcBorders/>
            <w:vAlign w:val="center"/>
          </w:tcPr>
          <w:p>
            <w:pPr>
              <w:pStyle w:val="TableContents"/>
              <w:bidi w:val="0"/>
              <w:spacing w:before="0" w:after="1"/>
              <w:ind w:left="0" w:right="0" w:hanging="0"/>
              <w:jc w:val="left"/>
              <w:rPr/>
            </w:pPr>
            <w:r>
              <w:rPr/>
              <w:t> </w:t>
            </w:r>
          </w:p>
        </w:tc>
      </w:tr>
      <w:tr>
        <w:trPr/>
        <w:tc>
          <w:tcPr>
            <w:tcW w:w="43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operating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43,413</w:t>
            </w:r>
          </w:p>
        </w:tc>
        <w:tc>
          <w:tcPr>
            <w:tcW w:w="337"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5,260</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38,153</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714" w:type="dxa"/>
            <w:tcBorders/>
            <w:vAlign w:val="center"/>
          </w:tcPr>
          <w:p>
            <w:pPr>
              <w:pStyle w:val="TableContents"/>
              <w:bidi w:val="0"/>
              <w:spacing w:before="0" w:after="1"/>
              <w:ind w:left="0" w:right="0" w:hanging="0"/>
              <w:jc w:val="right"/>
              <w:rPr/>
            </w:pPr>
            <w:r>
              <w:rPr/>
              <w:t>​</w:t>
            </w:r>
          </w:p>
        </w:tc>
        <w:tc>
          <w:tcPr>
            <w:tcW w:w="337"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4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production</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17,265</w:t>
            </w:r>
          </w:p>
        </w:tc>
        <w:tc>
          <w:tcPr>
            <w:tcW w:w="337"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3,423</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13,842</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7,213</w:t>
            </w:r>
          </w:p>
        </w:tc>
        <w:tc>
          <w:tcPr>
            <w:tcW w:w="337"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4,277</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2,936</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934</w:t>
            </w:r>
          </w:p>
        </w:tc>
        <w:tc>
          <w:tcPr>
            <w:tcW w:w="337"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1,641</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(707)</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10,783</w:t>
            </w:r>
          </w:p>
        </w:tc>
        <w:tc>
          <w:tcPr>
            <w:tcW w:w="337"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11,513</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Project development costs</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831</w:t>
            </w:r>
          </w:p>
        </w:tc>
        <w:tc>
          <w:tcPr>
            <w:tcW w:w="337"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7,736</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(6,905)</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 related costs</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714" w:type="dxa"/>
            <w:tcBorders/>
            <w:vAlign w:val="center"/>
          </w:tcPr>
          <w:p>
            <w:pPr>
              <w:pStyle w:val="TableContents"/>
              <w:bidi w:val="0"/>
              <w:spacing w:before="0" w:after="1"/>
              <w:ind w:left="0" w:right="0" w:hanging="0"/>
              <w:jc w:val="right"/>
              <w:rPr/>
            </w:pPr>
            <w:r>
              <w:rPr/>
              <w:t>—</w:t>
            </w:r>
          </w:p>
        </w:tc>
        <w:tc>
          <w:tcPr>
            <w:tcW w:w="337"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Facility idling costs</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w:t>
            </w:r>
          </w:p>
        </w:tc>
        <w:tc>
          <w:tcPr>
            <w:tcW w:w="337"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699</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37,617</w:t>
            </w:r>
          </w:p>
        </w:tc>
        <w:tc>
          <w:tcPr>
            <w:tcW w:w="337"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29,289</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8,328</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5,796</w:t>
            </w:r>
          </w:p>
        </w:tc>
        <w:tc>
          <w:tcPr>
            <w:tcW w:w="337"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(24,029)</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29,825</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(expense) income</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714" w:type="dxa"/>
            <w:tcBorders/>
            <w:vAlign w:val="center"/>
          </w:tcPr>
          <w:p>
            <w:pPr>
              <w:pStyle w:val="TableContents"/>
              <w:bidi w:val="0"/>
              <w:spacing w:before="0" w:after="1"/>
              <w:ind w:left="0" w:right="0" w:hanging="0"/>
              <w:jc w:val="right"/>
              <w:rPr/>
            </w:pPr>
            <w:r>
              <w:rPr/>
              <w:t>  </w:t>
            </w:r>
          </w:p>
        </w:tc>
        <w:tc>
          <w:tcPr>
            <w:tcW w:w="337"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4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(4,345)</w:t>
            </w:r>
          </w:p>
        </w:tc>
        <w:tc>
          <w:tcPr>
            <w:tcW w:w="337"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(1,113)</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(3,232)</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investment income</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1,322</w:t>
            </w:r>
          </w:p>
        </w:tc>
        <w:tc>
          <w:tcPr>
            <w:tcW w:w="337"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4,143</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(2,821)</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 income, net</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37"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(expense) income, net</w:t>
            </w:r>
          </w:p>
        </w:tc>
        <w:tc>
          <w:tcPr>
            <w:tcW w:w="326"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(3,067)</w:t>
            </w:r>
          </w:p>
        </w:tc>
        <w:tc>
          <w:tcPr>
            <w:tcW w:w="337"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3,027</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(6,094)</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2,729</w:t>
            </w:r>
          </w:p>
        </w:tc>
        <w:tc>
          <w:tcPr>
            <w:tcW w:w="337" w:type="dxa"/>
            <w:tcBorders/>
            <w:shd w:fill="CCEEFF" w:val="clear"/>
            <w:vAlign w:val="center"/>
          </w:tcPr>
          <w:p>
            <w:pPr>
              <w:pStyle w:val="TableContents"/>
              <w:bidi w:val="0"/>
              <w:spacing w:before="0" w:after="1"/>
              <w:ind w:left="0" w:right="0" w:hanging="0"/>
              <w:jc w:val="righ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(21,002)</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23,731</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attributable to non-controlling interest</w:t>
            </w:r>
          </w:p>
        </w:tc>
        <w:tc>
          <w:tcPr>
            <w:tcW w:w="326"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w:t>
            </w:r>
          </w:p>
        </w:tc>
        <w:tc>
          <w:tcPr>
            <w:tcW w:w="337"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(loss) attributable to Gevo, Inc.</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2,144</w:t>
            </w:r>
          </w:p>
        </w:tc>
        <w:tc>
          <w:tcPr>
            <w:tcW w:w="337" w:type="dxa"/>
            <w:tcBorders/>
            <w:shd w:fill="CCEEFF" w:val="clear"/>
            <w:vAlign w:val="center"/>
          </w:tcPr>
          <w:p>
            <w:pPr>
              <w:pStyle w:val="TableContents"/>
              <w:bidi w:val="0"/>
              <w:spacing w:before="0" w:after="1"/>
              <w:ind w:left="0" w:right="0" w:hanging="0"/>
              <w:jc w:val="righ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(21,002)</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23,146</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Operating revenue. </w:t>
      </w:r>
      <w:r>
        <w:rPr>
          <w:rFonts w:ascii="Times New Roman;Times;serif" w:hAnsi="Times New Roman;Times;serif"/>
          <w:sz w:val="20"/>
        </w:rPr>
        <w:t>During the three months ended June 30, 2025, operating revenue increased by $38.2 million compared to the three months ended June 30, 2024. This increase was primarily due to $37.2 million in revenue from GevoND, and $0.9 million in revenue from the sale of isooctane and others.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Cost of production.</w:t>
      </w:r>
      <w:r>
        <w:rPr>
          <w:rFonts w:ascii="Times New Roman;Times;serif" w:hAnsi="Times New Roman;Times;serif"/>
          <w:sz w:val="20"/>
        </w:rPr>
        <w:t xml:space="preserve"> Cost of production increased $13.8 million during the three months ended June 30, 2025, compared to the three months ended June 30, 2024, primarily due to production costs related to GevoND operation, partially offset by $20.8 million 45Z tax credit booked, net of transaction costs. The 45Z tax credit, designed to incentivize the production of SAF, allowed us to lower overall production costs, while maintaining production levels.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Depreciation and amortization. </w:t>
      </w:r>
      <w:r>
        <w:rPr>
          <w:rFonts w:ascii="Times New Roman;Times;serif" w:hAnsi="Times New Roman;Times;serif"/>
          <w:sz w:val="20"/>
        </w:rPr>
        <w:t>Depreciation and amortization increased $2.9 million during the three months ended June 30, 2025, compared to the three months ended June 30, 2024, primarily due to $4.8 million depreciation related to GevoND, partially offset by a $2.5 million reduction of depreciation related to assets fully depreciated at our Luverne Facility.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Research and development expense.</w:t>
      </w:r>
      <w:r>
        <w:rPr>
          <w:rFonts w:ascii="Times New Roman;Times;serif" w:hAnsi="Times New Roman;Times;serif"/>
          <w:sz w:val="20"/>
        </w:rPr>
        <w:t xml:space="preserve"> Research and development expenses decreased $0.7 million during the three months ended June 30, 2025, compared to the three months ended June 30, 2024, primarily due to decreased consulting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General and administrative expense.</w:t>
      </w:r>
      <w:r>
        <w:rPr>
          <w:rFonts w:ascii="Times New Roman;Times;serif" w:hAnsi="Times New Roman;Times;serif"/>
          <w:sz w:val="20"/>
        </w:rPr>
        <w:t xml:space="preserve"> General and administrative expense decreased $0.7 million during the three months ended June 30, 2025, compared to the three months ended June 30, 2024, primarily due to a $1.9 million decrease in stock-based compensation, partially offset by $1.2 million higher insurance costs, professional and consulting services and computer and software costs.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Project development costs</w:t>
      </w:r>
      <w:r>
        <w:rPr>
          <w:rFonts w:ascii="Times New Roman;Times;serif" w:hAnsi="Times New Roman;Times;serif"/>
          <w:sz w:val="20"/>
        </w:rPr>
        <w:t xml:space="preserve">. Project development costs are primarily related to our Alcohol-to-Jet Projects and Verity, which consist primarily of employee expenses, preliminary engineering costs, and technical consulting fees. Project development costs decreased $6.9 million during the three months ended June 30, 2025, compared to the three months ended June 30, 2024, primarily due to a $3.3 million decrease in consulting and professional services fees, as well as the timing of $3.5 million reimbursement received from the USDA program during the second quarter.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Income (loss) from operations. </w:t>
      </w:r>
      <w:r>
        <w:rPr>
          <w:rFonts w:ascii="Times New Roman;Times;serif" w:hAnsi="Times New Roman;Times;serif"/>
          <w:sz w:val="20"/>
        </w:rPr>
        <w:t>The Company’s loss from operations decreased by $29.8 million for the three months ended June 30, 2025, compared to the same period in 2024. This improvement was primarily driven by increased revenues from GevoND, lower cost of production due to the recognition of the 45Z tax credit, a reduction in project development expenses, and decreased general and administrative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Interest expense</w:t>
      </w:r>
      <w:r>
        <w:rPr>
          <w:rFonts w:ascii="Times New Roman;Times;serif" w:hAnsi="Times New Roman;Times;serif"/>
          <w:sz w:val="20"/>
        </w:rPr>
        <w:t>. Interest expense increased $3.2 million during the three months ended June 30, 2025, compared to the three months ended June 30, 2024, primarily due to the debt used to acquire GevoND and a higher interest rate on our Remarketed Bonds.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Interest and investment income. </w:t>
      </w:r>
      <w:r>
        <w:rPr>
          <w:rFonts w:ascii="Times New Roman;Times;serif" w:hAnsi="Times New Roman;Times;serif"/>
          <w:sz w:val="20"/>
        </w:rPr>
        <w:t>Interest and investment income decreased $2.8 million during the three months ended June 30, 2025, compared to the three months ended June 30, 2024, primarily due to the acquisition of GevoND and to fund our capital projects and operating costs, resulting in a lower balance of cash equivalent investments during the three months ended June 30, 2025.</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Comparison of the Six Months Ended June 30, 2025 and 2024 (in thousands):</w:t>
      </w:r>
    </w:p>
    <w:tbl>
      <w:tblPr>
        <w:tblW w:w="10113" w:type="dxa"/>
        <w:jc w:val="left"/>
        <w:tblInd w:w="0" w:type="dxa"/>
        <w:tblLayout w:type="fixed"/>
        <w:tblCellMar>
          <w:top w:w="0" w:type="dxa"/>
          <w:left w:w="0" w:type="dxa"/>
          <w:bottom w:w="0" w:type="dxa"/>
          <w:right w:w="0" w:type="dxa"/>
        </w:tblCellMar>
      </w:tblPr>
      <w:tblGrid>
        <w:gridCol w:w="4366"/>
        <w:gridCol w:w="326"/>
        <w:gridCol w:w="211"/>
        <w:gridCol w:w="796"/>
        <w:gridCol w:w="326"/>
        <w:gridCol w:w="211"/>
        <w:gridCol w:w="796"/>
        <w:gridCol w:w="326"/>
        <w:gridCol w:w="326"/>
        <w:gridCol w:w="796"/>
        <w:gridCol w:w="326"/>
        <w:gridCol w:w="991"/>
        <w:gridCol w:w="316"/>
      </w:tblGrid>
      <w:tr>
        <w:trPr/>
        <w:tc>
          <w:tcPr>
            <w:tcW w:w="4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2772410" cy="175260"/>
                      <wp:effectExtent l="0" t="0" r="0" b="0"/>
                      <wp:wrapNone/>
                      <wp:docPr id="523" name="Frame523"/>
                      <a:graphic xmlns:a="http://schemas.openxmlformats.org/drawingml/2006/main">
                        <a:graphicData uri="http://schemas.microsoft.com/office/word/2010/wordprocessingShape">
                          <wps:wsp>
                            <wps:cNvSpPr txBox="1"/>
                            <wps:spPr>
                              <a:xfrm>
                                <a:off x="0" y="0"/>
                                <a:ext cx="2772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207010" cy="175260"/>
                      <wp:effectExtent l="0" t="0" r="0" b="0"/>
                      <wp:wrapNone/>
                      <wp:docPr id="524" name="Frame5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133985" cy="175260"/>
                      <wp:effectExtent l="0" t="0" r="0" b="0"/>
                      <wp:wrapNone/>
                      <wp:docPr id="525" name="Frame5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505460" cy="175260"/>
                      <wp:effectExtent l="0" t="0" r="0" b="0"/>
                      <wp:wrapNone/>
                      <wp:docPr id="526" name="Frame52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207010" cy="175260"/>
                      <wp:effectExtent l="0" t="0" r="0" b="0"/>
                      <wp:wrapNone/>
                      <wp:docPr id="527" name="Frame5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133985" cy="175260"/>
                      <wp:effectExtent l="0" t="0" r="0" b="0"/>
                      <wp:wrapNone/>
                      <wp:docPr id="528" name="Frame5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505460" cy="175260"/>
                      <wp:effectExtent l="0" t="0" r="0" b="0"/>
                      <wp:wrapNone/>
                      <wp:docPr id="529" name="Frame52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207010" cy="175260"/>
                      <wp:effectExtent l="0" t="0" r="0" b="0"/>
                      <wp:wrapNone/>
                      <wp:docPr id="530" name="Frame5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07010" cy="175260"/>
                      <wp:effectExtent l="0" t="0" r="0" b="0"/>
                      <wp:wrapNone/>
                      <wp:docPr id="531" name="Frame5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505460" cy="175260"/>
                      <wp:effectExtent l="0" t="0" r="0" b="0"/>
                      <wp:wrapNone/>
                      <wp:docPr id="532" name="Frame53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207010" cy="175260"/>
                      <wp:effectExtent l="0" t="0" r="0" b="0"/>
                      <wp:wrapNone/>
                      <wp:docPr id="533" name="Frame5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629285" cy="175260"/>
                      <wp:effectExtent l="0" t="0" r="0" b="0"/>
                      <wp:wrapNone/>
                      <wp:docPr id="534" name="Frame534"/>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00660" cy="175260"/>
                      <wp:effectExtent l="0" t="0" r="0" b="0"/>
                      <wp:wrapNone/>
                      <wp:docPr id="535" name="Frame53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3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 </w:t>
            </w:r>
          </w:p>
        </w:tc>
      </w:tr>
      <w:tr>
        <w:trPr/>
        <w:tc>
          <w:tcPr>
            <w:tcW w:w="43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1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26" w:type="dxa"/>
            <w:tcBorders/>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16" w:type="dxa"/>
            <w:tcBorders/>
            <w:vAlign w:val="center"/>
          </w:tcPr>
          <w:p>
            <w:pPr>
              <w:pStyle w:val="TableContents"/>
              <w:bidi w:val="0"/>
              <w:spacing w:before="0" w:after="1"/>
              <w:ind w:left="0" w:right="0" w:hanging="0"/>
              <w:jc w:val="left"/>
              <w:rPr/>
            </w:pPr>
            <w:r>
              <w:rPr/>
              <w:t> </w:t>
            </w:r>
          </w:p>
        </w:tc>
      </w:tr>
      <w:tr>
        <w:trPr/>
        <w:tc>
          <w:tcPr>
            <w:tcW w:w="43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operating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72,522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9,250</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63,272</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4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38,711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6,010</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32,701</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12,835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8,728</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4,107</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3,189</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(1,203)</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21,867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23,663</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(1,796)</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Project development costs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13,055</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(7,222)</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 related costs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4,438</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Facility idling costs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1,775</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86,865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56,420</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30,445</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(14,343)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(47,170)</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32,827</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(expense)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4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(7,639)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(1,655)</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(5,984)</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investment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8,736</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(5,644)</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 income,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(expense) income,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(4,701)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7,293</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(11,994)</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(19,044)</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(39,877)</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20,833</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attributable to non-controlling interest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 attributable to Gevo, Inc.</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(19,584)</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(39,877)</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20,293</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Operating revenue. </w:t>
      </w:r>
      <w:r>
        <w:rPr>
          <w:rFonts w:ascii="Times New Roman;Times;serif" w:hAnsi="Times New Roman;Times;serif"/>
          <w:sz w:val="20"/>
        </w:rPr>
        <w:t xml:space="preserve">During the six months ended June 30, 2025, operating revenue increased by $63.3 million compared to the six months ended June 30, 2024. This increase was primarily due to $60.0 million in revenue from GevoND, $1.6 million in additional revenue from our RNG </w:t>
      </w:r>
      <w:r>
        <w:rPr>
          <w:rFonts w:ascii="Times New Roman;Times;serif" w:hAnsi="Times New Roman;Times;serif"/>
          <w:color w:val="212529"/>
          <w:sz w:val="20"/>
          <w:shd w:fill="FFFFFF" w:val="clear"/>
        </w:rPr>
        <w:t xml:space="preserve">business </w:t>
      </w:r>
      <w:r>
        <w:rPr>
          <w:rFonts w:ascii="Times New Roman;Times;serif" w:hAnsi="Times New Roman;Times;serif"/>
          <w:sz w:val="20"/>
        </w:rPr>
        <w:t xml:space="preserve">driven by an increase in LCFS credits generated due to our improved carbon score for the LCFS program and $1.6 million from the sale of isooctane.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Cost of production.</w:t>
      </w:r>
      <w:r>
        <w:rPr>
          <w:rFonts w:ascii="Times New Roman;Times;serif" w:hAnsi="Times New Roman;Times;serif"/>
          <w:sz w:val="20"/>
        </w:rPr>
        <w:t xml:space="preserve"> Cost of production increased $32.7 million during the six months ended June 30, 2025, compared to the same period in 2024. The increase was primarily driven by $38.5 million in net production costs associated with GevoND, which already reflects the benefit of the 45Z tax credit. In addition, $4.6 million in gains from future corn basis gains further reduced the cost of production.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Depreciation and amortization. </w:t>
      </w:r>
      <w:r>
        <w:rPr>
          <w:rFonts w:ascii="Times New Roman;Times;serif" w:hAnsi="Times New Roman;Times;serif"/>
          <w:sz w:val="20"/>
        </w:rPr>
        <w:t>Depreciation and amortization increased $4.1 million during the six months ended June 30, 2025, compared to the six months ended June 30, 2024, primarily due to $8.5 million of depreciation related to GevoND, partially offset by a $5.1 million reduction of depreciation related to assets fully depreciated at our Luverne Facility.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Research and development expense.</w:t>
      </w:r>
      <w:r>
        <w:rPr>
          <w:rFonts w:ascii="Times New Roman;Times;serif" w:hAnsi="Times New Roman;Times;serif"/>
          <w:sz w:val="20"/>
        </w:rPr>
        <w:t xml:space="preserve"> Research and development expenses decreased $1.2 million during the six months ended June 30, 2025, compared to the six months ended June 30, 2024, primarily due to decreased consulting expenses.</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General and administrative expense.</w:t>
      </w:r>
      <w:r>
        <w:rPr>
          <w:rFonts w:ascii="Times New Roman;Times;serif" w:hAnsi="Times New Roman;Times;serif"/>
          <w:sz w:val="20"/>
        </w:rPr>
        <w:t xml:space="preserve"> General and administrative expense decreased $1.8 million during the six months ended June 30, 2025, compared to the six months ended June 30, 2024, primarily due to a $4.0 million decrease in stock-based compensation, partially offset by $2.2 million increase related to professional services, insurance, and other G&amp;A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Project development costs</w:t>
      </w:r>
      <w:r>
        <w:rPr>
          <w:rFonts w:ascii="Times New Roman;Times;serif" w:hAnsi="Times New Roman;Times;serif"/>
          <w:sz w:val="20"/>
        </w:rPr>
        <w:t>. Project development costs are primarily related to our ATJ projects and Verity, and consist mainly of employee expenses, preliminary engineering costs, and technical consulting fees. Project development costs decreased $7.2 million during the six months ended June 30, 2025, compared to the same period in 2024. The decrease was primarily due to a $1.8 million wind-down fee incurred in 2024, $3.3 million reduction in consulting and professional services fees, a $2.8 million reduction due to USDA reimbursement, net of grower fees, partially offset by $0.7 million in additional employee-related costs.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Acquisition related costs</w:t>
      </w:r>
      <w:r>
        <w:rPr>
          <w:rFonts w:ascii="Times New Roman;Times;serif" w:hAnsi="Times New Roman;Times;serif"/>
          <w:sz w:val="20"/>
        </w:rPr>
        <w:t>. Acquisition related costs of $4.4 million are due to our acquisition of GevoND.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Facility idling costs. </w:t>
      </w:r>
      <w:r>
        <w:rPr>
          <w:rFonts w:ascii="Times New Roman;Times;serif" w:hAnsi="Times New Roman;Times;serif"/>
          <w:sz w:val="20"/>
          <w:shd w:fill="FFFFFF" w:val="clear"/>
        </w:rPr>
        <w:t>Facility idling costs are related to the care and maintenance of our Luverne Facility and reprocessing plant. </w:t>
      </w:r>
      <w:r>
        <w:rPr>
          <w:rFonts w:ascii="Times New Roman;Times;serif" w:hAnsi="Times New Roman;Times;serif"/>
          <w:sz w:val="20"/>
        </w:rPr>
        <w:t>Facility idling costs decreased $0.6 million during the six months ended June 30, 2025, compared to the six months ended June 30, 2024,</w:t>
      </w:r>
      <w:r>
        <w:rPr>
          <w:rFonts w:ascii="Times New Roman;Times;serif" w:hAnsi="Times New Roman;Times;serif"/>
          <w:sz w:val="20"/>
          <w:shd w:fill="FFFFFF" w:val="clear"/>
        </w:rPr>
        <w:t xml:space="preserve"> primarily due to utilizing the reprocessing plant for isooctane production.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Loss from operations</w:t>
      </w:r>
      <w:r>
        <w:rPr>
          <w:rFonts w:ascii="Times New Roman;Times;serif" w:hAnsi="Times New Roman;Times;serif"/>
          <w:sz w:val="20"/>
        </w:rPr>
        <w:t>. The Company’s loss from operations decreased by $32.8 million during the six months ended June 30, 2025, compared to the same period in 2024. This improvement was primarily driven by increased revenues from GevoND, lower production costs benefiting from the recognition of the 45Z tax credit, and reduced project development and general and administrative expenses. These benefits were partially offset by acquisition-related costs.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Interest expense</w:t>
      </w:r>
      <w:r>
        <w:rPr>
          <w:rFonts w:ascii="Times New Roman;Times;serif" w:hAnsi="Times New Roman;Times;serif"/>
          <w:sz w:val="20"/>
        </w:rPr>
        <w:t>. Interest expense increased $6.0 million during the six months ended June 30, 2025, compared to the six months ended June 30, 2024, primarily due to the debt used to acquire GevoND and a higher interest rate on our Remarketed Bonds.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Interest and investment income. </w:t>
      </w:r>
      <w:r>
        <w:rPr>
          <w:rFonts w:ascii="Times New Roman;Times;serif" w:hAnsi="Times New Roman;Times;serif"/>
          <w:sz w:val="20"/>
        </w:rPr>
        <w:t>Interest and investment income decreased $5.6 million during the six months ended June 30, 2025, compared to the six months ended June 30, 2024, primarily due to the usage of cash for the acquisition of GevoND and to fund our capital projects and operating costs, resulting in a lower balance of cash equivalent investments during the six months ended June 30,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Other income (expense), net</w:t>
      </w:r>
      <w:r>
        <w:rPr>
          <w:rFonts w:ascii="Times New Roman;Times;serif" w:hAnsi="Times New Roman;Times;serif"/>
          <w:sz w:val="20"/>
        </w:rPr>
        <w:t>. Other income (expense), net remained flat for the six months ended June 30, 2025, compared to the six months ended June 30,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have been no significant changes to our critical accounting estimates and policies since March 31, 2025, except for the adoption of a new accounting policy related to the recognition, measurement, and presentation of transferable Clean Fuel Production Credits under Section 45Z of the Internal Revenue Code. In accordance with IAS 20, "Accounting for Government Grants and Disclosure of Government Assistance," we have adopted a policy to account for the Section 45Z Clean Fuel Production Credit as a form of government assistance. This credit, which was part of the Inflation Reduction Act of 2022, and subsequently extended by the One Big Beautiful Bill Act of 2025, incentivizes the production of clean transportation fuels, is available to us for the production of low-carbon ethanol and SAF meeting specific carbon intensity reduction criteria. The credit is available for such fuels produced starting January 1, 2025, and we have the option to transfer these credits to third parties in exchange for cash as a means for us to monetize their value.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Under this new policy, we recognize the Section 45Z credits as an intangible asset, which is treated as a reduction to Cost of Goods Sold (COGS) when the qualifying fuel is produced. The amount recognized is based on the fair value per gallon of fuel produced, which is determined based on the expected transfer price of the credits. The recognition of the credits is contingent on meeting the relevant criteria under Section 45Z, including compliance with sustainability and carbon intensity reduction thresholds.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a description of our other critical accounting policies and estimates that affect our significant judgments and estimates used in the preparation of our condensed consolidated financial statements, refer to “Management’s Discussion and Analysis of Financial Condition and Results of Operations—Critical Accounting Estimates” contained in our 2024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unaudited condensed consolidated financial statements are prepared in conformity with GAAP and require our management to make estimates and assumptions that affect the reported amounts of assets, liabilities, revenues, costs and expenses and related disclosures. We base our estimates on historical experience and on various other assumptions that we believe to be reasonable under the circumstances. Actual results may differ from these estimates, and such estimates may change if the underlying conditions or assumptions change.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June 30, 2025, we had cash and cash equivalents of $57.3 million and current restricted cash of $69.6 million, totaling $126.9 million in cash, cash equivalents, and restricted cash. </w:t>
      </w:r>
      <w:r>
        <w:rPr>
          <w:rFonts w:ascii="Times New Roman;Times;serif" w:hAnsi="Times New Roman;Times;serif"/>
          <w:sz w:val="20"/>
          <w:shd w:fill="FFFFFF" w:val="clear"/>
        </w:rPr>
        <w:t>Our cash equivalents consist of investments in U.S. government money market funds. We expect to use our cash, cash equivalents, and restricted cash for the following purposes: (i) identification, development, engineering, licensing, acquisition and construction of production facilities and the Company’s Alcohol-to-Jet Projects; (ii) potential investment in RNG business; (iii) operating activities at the Company’s corporate headquarters in Colorado, including research and development work; (iv) exploration of strategic alternatives and additional financing, including project financing; and (v) debt service obligations associated with any future borrowings. We believe that as a result of our cash and cash equivalents balances and the performance of our current and expected operations, we will be able to meet our obligations and other potential cash requirements during the next 12 months from the date of this report</w:t>
      </w:r>
      <w:r>
        <w:rPr>
          <w:rFonts w:ascii="Times New Roman;Times;serif" w:hAnsi="Times New Roman;Times;serif"/>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Since our inception in 2005, we have devoted most of our cash resources to the development and commercialization of routes to efficiently produce fuels and chemicals from carbohydrates, such as renewable feedstock, using alcohols (isobutanol and ethanol) as intermediates. We have incurred losses since inception, have a significant accumulated deficit, and expect to incur losses for the foreseeable future. Historically we have financed our operations primarily with proceeds from the issuance of equity, warrants, borrowings under debt facilities, and interest income. Our current sources of cash include sales of ethanol, distillers grains, RNG, environmental attributes, and licensing fees. We may also fund future operations through additional private and/or public offerings of equity or debt securities. In addition, we may seek additional capital, on acceptable terms, through arrangements with strategic partners or from other sources. Notwithstanding, there can be no assurance that we will be able to raise additional funds or achieve or sustain profitability or positive cash flows from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transition to profitability is dependent upon, among other things, the successful development and commercialization of our projects, the development, licensing, acquisition and construction of commercial level production facilities to support our offtake agreements, the achievement of a level of revenues adequate to support the Company’s cost structure, and the ability to raise capital to finance the development, licensing, acquisition, and construction of additional production facilities.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major sources and uses of cash for each of the periods set forth below (in thousands):</w:t>
      </w:r>
    </w:p>
    <w:tbl>
      <w:tblPr>
        <w:tblW w:w="7032" w:type="dxa"/>
        <w:jc w:val="left"/>
        <w:tblInd w:w="0" w:type="dxa"/>
        <w:tblLayout w:type="fixed"/>
        <w:tblCellMar>
          <w:top w:w="0" w:type="dxa"/>
          <w:left w:w="0" w:type="dxa"/>
          <w:bottom w:w="0" w:type="dxa"/>
          <w:right w:w="0" w:type="dxa"/>
        </w:tblCellMar>
      </w:tblPr>
      <w:tblGrid>
        <w:gridCol w:w="4216"/>
        <w:gridCol w:w="326"/>
        <w:gridCol w:w="211"/>
        <w:gridCol w:w="901"/>
        <w:gridCol w:w="326"/>
        <w:gridCol w:w="211"/>
        <w:gridCol w:w="841"/>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2677160" cy="175260"/>
                      <wp:effectExtent l="0" t="0" r="0" b="0"/>
                      <wp:wrapNone/>
                      <wp:docPr id="536" name="Frame536"/>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207010" cy="175260"/>
                      <wp:effectExtent l="0" t="0" r="0" b="0"/>
                      <wp:wrapNone/>
                      <wp:docPr id="537" name="Frame5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133985" cy="175260"/>
                      <wp:effectExtent l="0" t="0" r="0" b="0"/>
                      <wp:wrapNone/>
                      <wp:docPr id="538" name="Frame5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572135" cy="175260"/>
                      <wp:effectExtent l="0" t="0" r="0" b="0"/>
                      <wp:wrapNone/>
                      <wp:docPr id="539" name="Frame53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207010" cy="175260"/>
                      <wp:effectExtent l="0" t="0" r="0" b="0"/>
                      <wp:wrapNone/>
                      <wp:docPr id="540" name="Frame5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133985" cy="175260"/>
                      <wp:effectExtent l="0" t="0" r="0" b="0"/>
                      <wp:wrapNone/>
                      <wp:docPr id="541" name="Frame5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534035" cy="175260"/>
                      <wp:effectExtent l="0" t="0" r="0" b="0"/>
                      <wp:wrapNone/>
                      <wp:docPr id="542" name="Frame54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(26,570)</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(27,520)</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(209,538)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(26,708)</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103,976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(6,049)</w:t>
            </w:r>
          </w:p>
        </w:tc>
      </w:tr>
    </w:tbl>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Operating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primary uses of cash from operating activities are personnel-related expenses, and research and development-related expenses, including costs incurred under development agreements, costs of licensing of technology, legal-related costs, and expenses for the development and commercialization of routes to efficiently produce fuels and chemicals from renewable feedstock carbohydrates using alcohols (isobutanol and ethanol) as an intermediate.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During the six months ended June 30, 2025, net cash used in operating activities was $26.6 million compared to $27.5 million for the six months ended June 30, 2024. Non-cash charges primarily consisted of $12.8 million in depreciation and amortization and $4.1 million in stock-based compensation expense. The accounts receivable balance increased significantly, reflecting increased billing activity from GevoND as well as higher revenue from our RNG plant due to the approval of the provisional Tier 2 pathway. This resulted in a $4.0 million increase compared to the same period in the prior year. The change in the fair value of derivative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instruments, totaling $0.7 million, represents the fair value adjustment of our hedging program implemented following the acquisition of the GevoND.</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Investing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six months ended June 30, 2025, the Company completed the acquisition of Red Trail Energy for consideration of $198.5 million, in addition to $10.0 million which was paid to an escrow account in 2024. This acquisition is reflected as a cash outflow in the period, consistent with the Company’s investing activities. Additionally, the Company made capital investments totaling $11.1 million in the development of its ATJ-60 project, along with other ongoing projects. These investments primarily relate to the acquisition of property, plant, and equipment, and are aimed at advancing the Company’s strategic initiatives in renewable energy and related sectors.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substantially completed the engineering design on our ATJ-60 project and are proceeding with detailed engineering and modularization design. We are refining the project cost estimates with engineering, procurement, and construction (“EPC”) partners to identify opportunities to reduce and negotiate the cost. We currently expect to finance the construction of ATJ-60 at the subsidiary level using a combination of Company equity and third-party capital, to include non-recourse debt. The Company previously projected a range of $90.0 – $125.0 million to be spent on ATJ-60 between January 2024 and the financial close of ATJ-60. The Company expects the remaining spend until the financial close of ATJ-60 to fall below the previously estimated range. Cash distributions from future ATJ-60 earnings would be proportionate to Gevo’s ownership in ATJ-60 under this expected financing structure. The use of project debt and third-party equity allows us to conserve capital for use on other growth projects. We expect to apply similar development and financing strategies to future Alcohol-to-Jet Projects to grow our SAF production to meet the demand for SAF.</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Gevo is in the process of identifying and performing early site development work for additional Alcohol-to-Jet production locations. These potential sites include greenfield and brownfield (i.e., at an existing ethanol plant) locations that are advantageous in terms of potential economics, opportunities to decarbonize, and time to market. Early development work at GevoND is currently underway.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six months ended June 30, 2024, </w:t>
      </w:r>
      <w:r>
        <w:rPr>
          <w:rFonts w:ascii="Times New Roman" w:hAnsi="Times New Roman"/>
          <w:sz w:val="20"/>
        </w:rPr>
        <w:t xml:space="preserve">we had $26.7 million in cash used in investing activities, comprised of investments in our capital projects, including $1.0 million in the RNG </w:t>
      </w:r>
      <w:r>
        <w:rPr>
          <w:rFonts w:ascii="Times New Roman;Times;serif" w:hAnsi="Times New Roman;Times;serif"/>
          <w:color w:val="212529"/>
          <w:sz w:val="20"/>
          <w:shd w:fill="FFFFFF" w:val="clear"/>
        </w:rPr>
        <w:t>business</w:t>
      </w:r>
      <w:r>
        <w:rPr>
          <w:rFonts w:ascii="Times New Roman" w:hAnsi="Times New Roman"/>
          <w:sz w:val="20"/>
        </w:rPr>
        <w:t>, $15.3 million for NZ1, and $10.4 million in other projects.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six months ended June 30, 2025, the Company entered into a credit agreement with OIC for $105 million. The proceeds from this credit agreement were partially used to fund the acquisition of Red Trail Energy. Additionally, the lenders made an equity investment of $5 million in Gevo Intermediate HoldCo, LLC on the Closing Date. This equity investment is reflected as a cash inflow within financing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currently expect to finance the construction of ATJ-60 at the subsidiary level using a combination of our own, third-party, and debt capital. The Company expects to retain an equity interest in the project and may invest equity in the project using the proceeds from the reimbursement of the Company’s ATJ-60 development expenditures. Cash distributions from future ATJ-60 earnings would be proportionate to Gevo’s ownership in ATJ-60 under this expected financing structure which would allow us to conserve and redeploy our capital on other growth projects, including future Alcohol-to-Jet projects. We expect to apply similar development and financing strategies to future Alcohol-to-Jet Projects to enable growth of SAF production to meet demand for SAF.</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six months ended June 30, 2024, </w:t>
      </w:r>
      <w:r>
        <w:rPr>
          <w:rFonts w:ascii="Times New Roman" w:hAnsi="Times New Roman"/>
          <w:sz w:val="20"/>
        </w:rPr>
        <w:t>we had $6.0 million of net cash used in financing activities, due to payments for repurchases of the Company’s common stock, debt issuance costs, finance lease liabilities, and equipment loans</w:t>
      </w:r>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Stock Repurchase Program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May 30, 2023, we authorized a stock repurchase program, under which we may repurchase up to $25 million of our common stock. The primary goal of the repurchase program is to allow us to opportunistically repurchase shares, while maintaining our ability to fund our development projects. Under the stock repurchase program, we may repurchase shares from time to time in the open market or through privately negotiated transactions. The timing, volume and nature of stock repurchases, if any, will be at our sole discretion and will be dependent on market conditions, applicable securities laws, and other factors. The stock repurchase program may be suspended or discontinued at any time and does not have an expiration date.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did not repurchase shares of common stock under the stock repurchase program during the three and six months ended June 30, 2025. The Company repurchased 4.0 million and 6.1 million shares of common stock for $2.7 million and $4.1 million under the stock repurchase program during the three and six months ended June 30, 2024, respectively. Shares were repurchased at market value, and were retired immediately upon repurchase. As of June 30, 2025, approximately $20.3 million remained available under the stock repurchase program.</w:t>
      </w:r>
    </w:p>
    <w:p>
      <w:pPr>
        <w:pStyle w:val="TextBody"/>
        <w:bidi w:val="0"/>
        <w:spacing w:before="0" w:after="240"/>
        <w:ind w:left="0" w:right="0" w:hanging="0"/>
        <w:jc w:val="left"/>
        <w:rPr>
          <w:rFonts w:ascii="Times New Roman;Times;serif" w:hAnsi="Times New Roman;Times;serif"/>
          <w:b/>
          <w:sz w:val="20"/>
        </w:rPr>
      </w:pPr>
      <w:bookmarkStart w:id="1731" w:name="Item3QuantitativeandQualitativeDisclosur"/>
      <w:bookmarkStart w:id="1732" w:name="_73b45c32_c065_462f_ba32_0e10a84b43ef"/>
      <w:bookmarkEnd w:id="1731"/>
      <w:bookmarkEnd w:id="1732"/>
      <w:r>
        <w:rPr>
          <w:rFonts w:ascii="Times New Roman;Times;serif" w:hAnsi="Times New Roman;Times;serif"/>
          <w:b/>
          <w:sz w:val="20"/>
        </w:rPr>
        <w:t>Item 3. Quantitative and Qualitative Disclosures About Market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smaller reporting company, we are not required to provide the information required by this Item. However, we note that we are exposed to market risks in the ordinary course of our business. These risks primarily consist of environmental attribute pricing, increased project costs, commodity pricing, interest rate, credit risk with our contract counterparties, and equity price risks. There have been no material changes since our disclosure in “Quantitative and Qualitative Disclosures About Market Risk” included in Part II, Item 7A of our 2024 Annual Report.</w:t>
      </w:r>
    </w:p>
    <w:p>
      <w:pPr>
        <w:pStyle w:val="TextBody"/>
        <w:bidi w:val="0"/>
        <w:spacing w:before="0" w:after="240"/>
        <w:ind w:left="0" w:right="0" w:hanging="0"/>
        <w:jc w:val="left"/>
        <w:rPr>
          <w:rFonts w:ascii="Times New Roman;Times;serif" w:hAnsi="Times New Roman;Times;serif"/>
          <w:b/>
          <w:sz w:val="20"/>
        </w:rPr>
      </w:pPr>
      <w:bookmarkStart w:id="1733" w:name="Item4ControlsandProcedures_150025"/>
      <w:bookmarkStart w:id="1734" w:name="_8e2f0fe7_05d5_4a31_8515_4e61f390e0a4"/>
      <w:bookmarkEnd w:id="1733"/>
      <w:bookmarkEnd w:id="1734"/>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maintain disclosure controls and procedures, as such term is defined in Rules 13a-15(e) and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previously reported in our Annual Report on Form 10-K for the year ended December 31, 2024, we have determined that we did not maintain a sufficient complement of personnel with the necessary technical expertise and accounting knowledge to appropriately address complex and non-routine transactions, which control deficiency constitutes a material weakness.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addition, as part of our post-acquisition internal control design and effectiveness testing (typically conducted in the first year following an acquisition), we discovered a material weakness resulting from the failure to design and maintain effective segregation of duties related to the preparation and review of journal entries at the Company’s Gevo North Dakota operations. Additionally, we identified that management did not design and maintain user access controls to adequately restrict user and privileged access to financial applications, programs, and data to appropriate company personnel, which is also considered a material weakness.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material weakness is defined as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June 30, 2025, we have initiated steps toward remediation of the issues. The material weaknesses cannot be considered completely remediated until the applicable controls have operated for a sufficient period of time and management has concluded, through testing, that these controls are operating effectively. We expect this to take through 2025 and beyond as necessary.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response to the identified material weaknesses, we have implemented and will continue to implement additional corrective actions to enhance the effectiveness of our controls and ensure that they are operating as intended.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Such measures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Hiring additional accounting personnel with the necessary technical accounting expertise and financial reporting knowledge to perform control activities surrounding complex and non-routine transactions.</w:t>
            </w:r>
          </w:p>
        </w:tc>
      </w:tr>
    </w:tbl>
    <w:tbl>
      <w:tblPr>
        <w:tblW w:w="5901" w:type="dxa"/>
        <w:jc w:val="left"/>
        <w:tblInd w:w="0" w:type="dxa"/>
        <w:tblLayout w:type="fixed"/>
        <w:tblCellMar>
          <w:top w:w="28" w:type="dxa"/>
          <w:left w:w="28" w:type="dxa"/>
          <w:bottom w:w="28" w:type="dxa"/>
          <w:right w:w="28" w:type="dxa"/>
        </w:tblCellMar>
      </w:tblPr>
      <w:tblGrid>
        <w:gridCol w:w="124"/>
        <w:gridCol w:w="256"/>
        <w:gridCol w:w="5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Providing extensive and recurring training of our accounting staff.</w:t>
            </w:r>
          </w:p>
        </w:tc>
      </w:tr>
    </w:tbl>
    <w:tbl>
      <w:tblPr>
        <w:tblW w:w="8811" w:type="dxa"/>
        <w:jc w:val="left"/>
        <w:tblInd w:w="0" w:type="dxa"/>
        <w:tblLayout w:type="fixed"/>
        <w:tblCellMar>
          <w:top w:w="28" w:type="dxa"/>
          <w:left w:w="28" w:type="dxa"/>
          <w:bottom w:w="28" w:type="dxa"/>
          <w:right w:w="28" w:type="dxa"/>
        </w:tblCellMar>
      </w:tblPr>
      <w:tblGrid>
        <w:gridCol w:w="124"/>
        <w:gridCol w:w="256"/>
        <w:gridCol w:w="8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Continuing our engagement with an external firm to assist with complex and non-routine transactions.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are improving communication channels among departments and teams involved in contract execution and those that handle financial reporting and internal control activities.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 xml:space="preserve">We are reviewing access to our accounting systems to ensure that administrator access is limited to individuals who do not have the ability to record or approve transactions in the system. </w:t>
            </w:r>
            <w:r>
              <w:rPr>
                <w:rFonts w:ascii="Times New Roman;Times;serif" w:hAnsi="Times New Roman;Times;serif"/>
                <w:b w:val="false"/>
                <w:i w:val="false"/>
                <w:caps w:val="false"/>
                <w:smallCaps w:val="false"/>
                <w:sz w:val="20"/>
              </w:rPr>
              <w:t>The accounting system access issues discovered at our Gevo North Dakota operations were promptly corrected in July 2025 as a result of our post-acquisition review of system access controls.</w:t>
            </w:r>
          </w:p>
        </w:tc>
      </w:tr>
    </w:tbl>
    <w:p>
      <w:pPr>
        <w:pStyle w:val="TextBody"/>
        <w:bidi w:val="0"/>
        <w:spacing w:before="0" w:after="0"/>
        <w:ind w:left="1080" w:right="0" w:hanging="0"/>
        <w:jc w:val="left"/>
        <w:rPr>
          <w:shd w:fill="FFFFFF" w:val="clear"/>
        </w:rPr>
      </w:pPr>
      <w:r>
        <w:rPr>
          <w:shd w:fill="FFFFFF" w:val="clea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fiscal period covered by this report, our management, with the participation of our Chief Executive Officer and Chief Financial Officer, carried out an evaluation of the effectiveness of the design and operation of our disclosure controls and procedures (as defined in Rules 13a-15(e) and 15d-15(e) of the Exchange Act). Based on such evaluation, our Chief Executive Officer and Chief Financial Officer have concluded that, as of June 30, 2025, our disclosure controls and procedures were effective to ensure that information required to be disclosed by us in reports that we file or submit under the Exchange Act are recorded, processed, summarized and reported within the required time periods and are designed to ensure that information required to be disclosed in our reports is accumulated and communicated to our management, including our Chief Executive Officer and Chief Financial Officer as appropriate, to allow timely decisions regarding required disclosure.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Except as disclosed above, there were no changes that occurred during the three months ended June 30, 2025,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735" w:name="PARTIIOTHERINFORMATION_881509"/>
      <w:bookmarkStart w:id="1736" w:name="_2a330374_850a_4227_8eec_1a9b59176a53"/>
      <w:bookmarkEnd w:id="1735"/>
      <w:bookmarkEnd w:id="1736"/>
      <w:r>
        <w:rPr>
          <w:rFonts w:ascii="Times New Roman;Times;serif" w:hAnsi="Times New Roman;Times;serif"/>
          <w:b/>
          <w:sz w:val="20"/>
        </w:rPr>
        <w:t>PART II. OTHER INFORMATION</w:t>
      </w:r>
    </w:p>
    <w:p>
      <w:pPr>
        <w:pStyle w:val="TextBody"/>
        <w:bidi w:val="0"/>
        <w:spacing w:before="0" w:after="240"/>
        <w:ind w:left="0" w:right="0" w:hanging="0"/>
        <w:jc w:val="left"/>
        <w:rPr>
          <w:rFonts w:ascii="Times New Roman;Times;serif" w:hAnsi="Times New Roman;Times;serif"/>
          <w:b/>
          <w:sz w:val="20"/>
        </w:rPr>
      </w:pPr>
      <w:bookmarkStart w:id="1737" w:name="Item1LegalProceedings_687788"/>
      <w:bookmarkEnd w:id="1737"/>
      <w:r>
        <w:rPr>
          <w:rFonts w:ascii="Times New Roman;Times;serif" w:hAnsi="Times New Roman;Times;serif"/>
          <w:b/>
          <w:sz w:val="20"/>
        </w:rPr>
        <w:t>Item 1. Legal Proceedings.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discussion of legal matters is found in Note 19, Commitments and Contingencies, in the accompanying Notes to the Financial Statements included in Part I - Item 1. Financial Statements of this Report.</w:t>
      </w:r>
    </w:p>
    <w:p>
      <w:pPr>
        <w:pStyle w:val="TextBody"/>
        <w:bidi w:val="0"/>
        <w:spacing w:before="0" w:after="240"/>
        <w:ind w:left="0" w:right="0" w:hanging="0"/>
        <w:jc w:val="left"/>
        <w:rPr>
          <w:rFonts w:ascii="Times New Roman;Times;serif" w:hAnsi="Times New Roman;Times;serif"/>
          <w:b/>
          <w:sz w:val="20"/>
        </w:rPr>
      </w:pPr>
      <w:bookmarkStart w:id="1738" w:name="Item1ARiskFactors_410492"/>
      <w:bookmarkStart w:id="1739" w:name="_c9bc6b65_7f1f_4718_8abe_e651fb2d920e"/>
      <w:bookmarkEnd w:id="1738"/>
      <w:bookmarkEnd w:id="1739"/>
      <w:r>
        <w:rPr>
          <w:rFonts w:ascii="Times New Roman;Times;serif" w:hAnsi="Times New Roman;Times;serif"/>
          <w:b/>
          <w:sz w:val="20"/>
        </w:rPr>
        <w:t>Item 1A. Risk Factors.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You should carefully consider the risk factors discussed in Part I, Item 1A. “Risk Factors” in our 2024 Annual Report, which could materially affect our business, financial condition, cash flows or future results. There have been no material changes in our risk factors included in our 2024 Annual Report. The risk factors in our 2024 Annual Report are not the only risks facing our company. Additional risks and uncertainties not currently known to us or that we currently deem to be immaterial also may materially adversely affect our business, financial condition or future results.</w:t>
      </w:r>
    </w:p>
    <w:p>
      <w:pPr>
        <w:pStyle w:val="TextBody"/>
        <w:bidi w:val="0"/>
        <w:spacing w:before="0" w:after="240"/>
        <w:ind w:left="0" w:right="0" w:hanging="0"/>
        <w:jc w:val="left"/>
        <w:rPr>
          <w:rFonts w:ascii="Times New Roman;Times;serif" w:hAnsi="Times New Roman;Times;serif"/>
          <w:b/>
          <w:sz w:val="20"/>
        </w:rPr>
      </w:pPr>
      <w:bookmarkStart w:id="1740" w:name="Item2UnregisteredSalesofEquitySecurities"/>
      <w:bookmarkStart w:id="1741" w:name="_7b799a91_4239_46a3_9d14_ccba9aeca7d0"/>
      <w:bookmarkStart w:id="1742" w:name="_Item_2._Unregistered"/>
      <w:bookmarkEnd w:id="1740"/>
      <w:bookmarkEnd w:id="1741"/>
      <w:bookmarkEnd w:id="1742"/>
      <w:r>
        <w:rPr>
          <w:rFonts w:ascii="Times New Roman;Times;serif" w:hAnsi="Times New Roman;Times;serif"/>
          <w:b/>
          <w:sz w:val="20"/>
        </w:rPr>
        <w:t>Item 2. Unregistered Sales of Equity Securities, and Use of Proceeds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743" w:name="Item3DefaultsUponSeniorSecurities_300980"/>
      <w:bookmarkStart w:id="1744" w:name="_fcd4539f_74ab_4b18_b3c9_fd52c684e6ec"/>
      <w:bookmarkEnd w:id="1743"/>
      <w:bookmarkEnd w:id="1744"/>
      <w:r>
        <w:rPr>
          <w:rFonts w:ascii="Times New Roman;Times;serif" w:hAnsi="Times New Roman;Times;serif"/>
          <w:b/>
          <w:sz w:val="20"/>
        </w:rPr>
        <w:t>Item 3. Defaults Upon Senior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745" w:name="Item4MineSafetyDisclosures_988747"/>
      <w:bookmarkStart w:id="1746" w:name="_ee08a718_4c72_450a_a549_951f3b2b289f"/>
      <w:bookmarkEnd w:id="1745"/>
      <w:bookmarkEnd w:id="1746"/>
      <w:r>
        <w:rPr>
          <w:rFonts w:ascii="Times New Roman;Times;serif" w:hAnsi="Times New Roman;Times;serif"/>
          <w:b/>
          <w:sz w:val="20"/>
        </w:rPr>
        <w:t>Item 4. Mine Safety Disclosures.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747" w:name="Item5OtherInformation_31786"/>
      <w:bookmarkStart w:id="1748" w:name="_cea31f6d_22fd_44c3_bfc5_d3d88cbeeae4"/>
      <w:bookmarkEnd w:id="1747"/>
      <w:bookmarkEnd w:id="1748"/>
      <w:r>
        <w:rPr>
          <w:rFonts w:ascii="Times New Roman;Times;serif" w:hAnsi="Times New Roman;Times;serif"/>
          <w:b/>
          <w:sz w:val="20"/>
        </w:rPr>
        <w:t>Item 5. Other Information.</w:t>
      </w:r>
    </w:p>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sz w:val="20"/>
        </w:rPr>
        <w:t>No directors or officers, as defined in Rule 16a-1(f), adopted, modified and/or terminated a “Rule 10b5-1 trading arrangement,” or a “non-Rule 10b5-1 trading arrangement,” each as defined in Item 408 of Regulation S-K, during our last fiscal quarter.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749" w:name="Item6Exhibits_75368"/>
      <w:bookmarkStart w:id="1750" w:name="_be524fc0_4c55_4313_b714_fb8ef723333d"/>
      <w:bookmarkEnd w:id="1749"/>
      <w:bookmarkEnd w:id="1750"/>
      <w:r>
        <w:rPr>
          <w:rFonts w:ascii="Times New Roman;Times;serif" w:hAnsi="Times New Roman;Times;serif"/>
          <w:b/>
          <w:sz w:val="20"/>
        </w:rPr>
        <w:t>Item 6. Exhibits.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exhibits listed below are filed or furnished as part of this report.</w:t>
      </w:r>
    </w:p>
    <w:tbl>
      <w:tblPr>
        <w:tblW w:w="10205" w:type="dxa"/>
        <w:jc w:val="left"/>
        <w:tblInd w:w="0" w:type="dxa"/>
        <w:tblLayout w:type="fixed"/>
        <w:tblCellMar>
          <w:top w:w="0" w:type="dxa"/>
          <w:left w:w="0" w:type="dxa"/>
          <w:bottom w:w="0" w:type="dxa"/>
          <w:right w:w="0" w:type="dxa"/>
        </w:tblCellMar>
      </w:tblPr>
      <w:tblGrid>
        <w:gridCol w:w="709"/>
        <w:gridCol w:w="326"/>
        <w:gridCol w:w="3474"/>
        <w:gridCol w:w="326"/>
        <w:gridCol w:w="526"/>
        <w:gridCol w:w="326"/>
        <w:gridCol w:w="702"/>
        <w:gridCol w:w="326"/>
        <w:gridCol w:w="1195"/>
        <w:gridCol w:w="326"/>
        <w:gridCol w:w="676"/>
        <w:gridCol w:w="326"/>
        <w:gridCol w:w="120"/>
        <w:gridCol w:w="570"/>
        <w:gridCol w:w="121"/>
        <w:gridCol w:w="156"/>
      </w:tblGrid>
      <w:tr>
        <w:trPr/>
        <w:tc>
          <w:tcPr>
            <w:tcW w:w="7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23"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Incorporated by Reference</w:t>
            </w:r>
          </w:p>
        </w:tc>
        <w:tc>
          <w:tcPr>
            <w:tcW w:w="570" w:type="dxa"/>
            <w:tcBorders/>
            <w:vAlign w:val="center"/>
          </w:tcPr>
          <w:p>
            <w:pPr>
              <w:pStyle w:val="TableContents"/>
              <w:bidi w:val="0"/>
              <w:spacing w:before="0" w:after="0"/>
              <w:ind w:left="0" w:right="0" w:hanging="0"/>
              <w:jc w:val="left"/>
              <w:rPr/>
            </w:pPr>
            <w:r>
              <w:rPr/>
              <w:t>​</w:t>
            </w:r>
          </w:p>
        </w:tc>
        <w:tc>
          <w:tcPr>
            <w:tcW w:w="277" w:type="dxa"/>
            <w:gridSpan w:val="2"/>
            <w:tcBorders/>
            <w:vAlign w:val="center"/>
          </w:tcPr>
          <w:p>
            <w:pPr>
              <w:pStyle w:val="TableContents"/>
              <w:bidi w:val="0"/>
              <w:spacing w:before="0" w:after="0"/>
              <w:ind w:left="0" w:right="0" w:hanging="0"/>
              <w:jc w:val="left"/>
              <w:rPr/>
            </w:pPr>
            <w:r>
              <w:rPr/>
              <w:t>​</w:t>
            </w:r>
          </w:p>
        </w:tc>
      </w:tr>
      <w:tr>
        <w:trPr/>
        <w:tc>
          <w:tcPr>
            <w:tcW w:w="10205"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709"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Exhibit</w:t>
              <w:br/>
              <w:t>No.</w:t>
            </w:r>
          </w:p>
        </w:tc>
        <w:tc>
          <w:tcPr>
            <w:tcW w:w="326" w:type="dxa"/>
            <w:tcBorders/>
            <w:vAlign w:val="center"/>
          </w:tcPr>
          <w:p>
            <w:pPr>
              <w:pStyle w:val="TableHeading"/>
              <w:bidi w:val="0"/>
              <w:spacing w:before="0" w:after="0"/>
              <w:ind w:left="0" w:right="0" w:hanging="0"/>
              <w:jc w:val="left"/>
              <w:rPr/>
            </w:pPr>
            <w:r>
              <w:rPr/>
              <w:t>    </w:t>
            </w:r>
          </w:p>
        </w:tc>
        <w:tc>
          <w:tcPr>
            <w:tcW w:w="3474"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Description</w:t>
            </w:r>
          </w:p>
        </w:tc>
        <w:tc>
          <w:tcPr>
            <w:tcW w:w="326" w:type="dxa"/>
            <w:tcBorders/>
            <w:vAlign w:val="center"/>
          </w:tcPr>
          <w:p>
            <w:pPr>
              <w:pStyle w:val="TableHeading"/>
              <w:bidi w:val="0"/>
              <w:spacing w:before="0" w:after="0"/>
              <w:ind w:left="0" w:right="0" w:hanging="0"/>
              <w:jc w:val="left"/>
              <w:rPr/>
            </w:pPr>
            <w:r>
              <w:rPr/>
              <w:t>    </w:t>
            </w:r>
          </w:p>
        </w:tc>
        <w:tc>
          <w:tcPr>
            <w:tcW w:w="52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w:t>
            </w:r>
          </w:p>
        </w:tc>
        <w:tc>
          <w:tcPr>
            <w:tcW w:w="326" w:type="dxa"/>
            <w:tcBorders>
              <w:top w:val="single" w:sz="2" w:space="0" w:color="000000"/>
            </w:tcBorders>
            <w:tcMar>
              <w:top w:w="28" w:type="dxa"/>
            </w:tcMar>
            <w:vAlign w:val="center"/>
          </w:tcPr>
          <w:p>
            <w:pPr>
              <w:pStyle w:val="TableHeading"/>
              <w:bidi w:val="0"/>
              <w:spacing w:before="0" w:after="0"/>
              <w:ind w:left="0" w:right="0" w:hanging="0"/>
              <w:jc w:val="left"/>
              <w:rPr/>
            </w:pPr>
            <w:r>
              <w:rPr/>
              <w:t>    </w:t>
            </w:r>
          </w:p>
        </w:tc>
        <w:tc>
          <w:tcPr>
            <w:tcW w:w="702"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File No.</w:t>
            </w:r>
          </w:p>
        </w:tc>
        <w:tc>
          <w:tcPr>
            <w:tcW w:w="326" w:type="dxa"/>
            <w:tcBorders>
              <w:top w:val="single" w:sz="2" w:space="0" w:color="000000"/>
            </w:tcBorders>
            <w:tcMar>
              <w:top w:w="28" w:type="dxa"/>
            </w:tcMar>
            <w:vAlign w:val="center"/>
          </w:tcPr>
          <w:p>
            <w:pPr>
              <w:pStyle w:val="TableHeading"/>
              <w:bidi w:val="0"/>
              <w:spacing w:before="0" w:after="0"/>
              <w:ind w:left="0" w:right="0" w:hanging="0"/>
              <w:jc w:val="left"/>
              <w:rPr/>
            </w:pPr>
            <w:r>
              <w:rPr/>
              <w:t>    </w:t>
            </w:r>
          </w:p>
        </w:tc>
        <w:tc>
          <w:tcPr>
            <w:tcW w:w="1195"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Filing Date</w:t>
            </w:r>
          </w:p>
        </w:tc>
        <w:tc>
          <w:tcPr>
            <w:tcW w:w="326" w:type="dxa"/>
            <w:tcBorders>
              <w:top w:val="single" w:sz="2" w:space="0" w:color="000000"/>
            </w:tcBorders>
            <w:tcMar>
              <w:top w:w="28" w:type="dxa"/>
            </w:tcMar>
            <w:vAlign w:val="center"/>
          </w:tcPr>
          <w:p>
            <w:pPr>
              <w:pStyle w:val="TableHeading"/>
              <w:bidi w:val="0"/>
              <w:spacing w:before="0" w:after="0"/>
              <w:ind w:left="0" w:right="0" w:hanging="0"/>
              <w:jc w:val="left"/>
              <w:rPr/>
            </w:pPr>
            <w:r>
              <w:rPr/>
              <w:t>    </w:t>
            </w:r>
          </w:p>
        </w:tc>
        <w:tc>
          <w:tcPr>
            <w:tcW w:w="67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Exhibit</w:t>
            </w:r>
          </w:p>
        </w:tc>
        <w:tc>
          <w:tcPr>
            <w:tcW w:w="326" w:type="dxa"/>
            <w:tcBorders/>
            <w:vAlign w:val="center"/>
          </w:tcPr>
          <w:p>
            <w:pPr>
              <w:pStyle w:val="TableHeading"/>
              <w:bidi w:val="0"/>
              <w:spacing w:before="0" w:after="0"/>
              <w:ind w:left="0" w:right="0" w:hanging="0"/>
              <w:jc w:val="left"/>
              <w:rPr/>
            </w:pPr>
            <w:r>
              <w:rPr/>
              <w:t>    </w:t>
            </w:r>
          </w:p>
        </w:tc>
        <w:tc>
          <w:tcPr>
            <w:tcW w:w="811"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Filed</w:t>
              <w:br/>
              <w:t>Herewith</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09" w:type="dxa"/>
            <w:tcBorders>
              <w:top w:val="single" w:sz="2" w:space="0" w:color="000000"/>
            </w:tcBorders>
            <w:tcMar>
              <w:top w:w="28" w:type="dxa"/>
            </w:tcMar>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74"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526"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702"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1195"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3.1</w:t>
            </w:r>
          </w:p>
        </w:tc>
        <w:tc>
          <w:tcPr>
            <w:tcW w:w="326" w:type="dxa"/>
            <w:tcBorders/>
            <w:vAlign w:val="center"/>
          </w:tcPr>
          <w:p>
            <w:pPr>
              <w:pStyle w:val="TableHeading"/>
              <w:bidi w:val="0"/>
              <w:spacing w:before="0" w:after="0"/>
              <w:ind w:left="0" w:right="0" w:hanging="0"/>
              <w:jc w:val="left"/>
              <w:rPr/>
            </w:pPr>
            <w:r>
              <w:rPr/>
              <w:t>​</w:t>
            </w:r>
          </w:p>
        </w:tc>
        <w:tc>
          <w:tcPr>
            <w:tcW w:w="3474" w:type="dxa"/>
            <w:tcBorders/>
            <w:vAlign w:val="center"/>
          </w:tcPr>
          <w:p>
            <w:pPr>
              <w:pStyle w:val="TableHeading"/>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Amended and Restated Certificate of Incorporation of Gevo, Inc.</w:t>
              </w:r>
            </w:hyperlink>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10-K</w:t>
            </w:r>
          </w:p>
        </w:tc>
        <w:tc>
          <w:tcPr>
            <w:tcW w:w="326" w:type="dxa"/>
            <w:tcBorders/>
            <w:vAlign w:val="center"/>
          </w:tcPr>
          <w:p>
            <w:pPr>
              <w:pStyle w:val="TableHeading"/>
              <w:bidi w:val="0"/>
              <w:spacing w:before="0" w:after="0"/>
              <w:ind w:left="0" w:right="0" w:hanging="0"/>
              <w:jc w:val="left"/>
              <w:rPr/>
            </w:pPr>
            <w:r>
              <w:rPr/>
              <w:t>​</w:t>
            </w:r>
          </w:p>
        </w:tc>
        <w:tc>
          <w:tcPr>
            <w:tcW w:w="702"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001-35073</w:t>
            </w:r>
          </w:p>
        </w:tc>
        <w:tc>
          <w:tcPr>
            <w:tcW w:w="326" w:type="dxa"/>
            <w:tcBorders/>
            <w:vAlign w:val="center"/>
          </w:tcPr>
          <w:p>
            <w:pPr>
              <w:pStyle w:val="TableHeading"/>
              <w:bidi w:val="0"/>
              <w:spacing w:before="0" w:after="0"/>
              <w:ind w:left="0" w:right="0" w:hanging="0"/>
              <w:jc w:val="center"/>
              <w:rPr/>
            </w:pPr>
            <w:r>
              <w:rPr/>
              <w:t>​</w:t>
            </w:r>
          </w:p>
        </w:tc>
        <w:tc>
          <w:tcPr>
            <w:tcW w:w="1195"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February 24, 2022</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3.1</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74"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2"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9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3.2</w:t>
            </w:r>
          </w:p>
        </w:tc>
        <w:tc>
          <w:tcPr>
            <w:tcW w:w="326" w:type="dxa"/>
            <w:tcBorders/>
            <w:vAlign w:val="center"/>
          </w:tcPr>
          <w:p>
            <w:pPr>
              <w:pStyle w:val="TableHeading"/>
              <w:bidi w:val="0"/>
              <w:spacing w:before="0" w:after="0"/>
              <w:ind w:left="0" w:right="0" w:hanging="0"/>
              <w:jc w:val="left"/>
              <w:rPr/>
            </w:pPr>
            <w:r>
              <w:rPr/>
              <w:t>​</w:t>
            </w:r>
          </w:p>
        </w:tc>
        <w:tc>
          <w:tcPr>
            <w:tcW w:w="3474" w:type="dxa"/>
            <w:tcBorders/>
            <w:vAlign w:val="center"/>
          </w:tcPr>
          <w:p>
            <w:pPr>
              <w:pStyle w:val="TableHeading"/>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Second Amended and Restated Bylaws of Gevo, Inc.</w:t>
              </w:r>
            </w:hyperlink>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8-K</w:t>
            </w:r>
          </w:p>
        </w:tc>
        <w:tc>
          <w:tcPr>
            <w:tcW w:w="326" w:type="dxa"/>
            <w:tcBorders/>
            <w:vAlign w:val="center"/>
          </w:tcPr>
          <w:p>
            <w:pPr>
              <w:pStyle w:val="TableHeading"/>
              <w:bidi w:val="0"/>
              <w:spacing w:before="0" w:after="0"/>
              <w:ind w:left="0" w:right="0" w:hanging="0"/>
              <w:jc w:val="left"/>
              <w:rPr/>
            </w:pPr>
            <w:r>
              <w:rPr/>
              <w:t>​</w:t>
            </w:r>
          </w:p>
        </w:tc>
        <w:tc>
          <w:tcPr>
            <w:tcW w:w="702"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001-35073</w:t>
            </w:r>
          </w:p>
        </w:tc>
        <w:tc>
          <w:tcPr>
            <w:tcW w:w="326" w:type="dxa"/>
            <w:tcBorders/>
            <w:vAlign w:val="center"/>
          </w:tcPr>
          <w:p>
            <w:pPr>
              <w:pStyle w:val="TableHeading"/>
              <w:bidi w:val="0"/>
              <w:spacing w:before="0" w:after="0"/>
              <w:ind w:left="0" w:right="0" w:hanging="0"/>
              <w:jc w:val="center"/>
              <w:rPr/>
            </w:pPr>
            <w:r>
              <w:rPr/>
              <w:t>​</w:t>
            </w:r>
          </w:p>
        </w:tc>
        <w:tc>
          <w:tcPr>
            <w:tcW w:w="1195"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November 24, 2021</w:t>
            </w:r>
          </w:p>
        </w:tc>
        <w:tc>
          <w:tcPr>
            <w:tcW w:w="326" w:type="dxa"/>
            <w:tcBorders/>
            <w:vAlign w:val="center"/>
          </w:tcPr>
          <w:p>
            <w:pPr>
              <w:pStyle w:val="TableHeading"/>
              <w:bidi w:val="0"/>
              <w:spacing w:before="0" w:after="0"/>
              <w:ind w:left="0" w:right="0" w:hanging="0"/>
              <w:jc w:val="center"/>
              <w:rPr/>
            </w:pPr>
            <w:r>
              <w:rPr/>
              <w:t>​</w:t>
            </w:r>
          </w:p>
        </w:tc>
        <w:tc>
          <w:tcPr>
            <w:tcW w:w="67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3.1</w:t>
            </w:r>
          </w:p>
        </w:tc>
        <w:tc>
          <w:tcPr>
            <w:tcW w:w="326" w:type="dxa"/>
            <w:tcBorders/>
            <w:vAlign w:val="center"/>
          </w:tcPr>
          <w:p>
            <w:pPr>
              <w:pStyle w:val="TableHeading"/>
              <w:bidi w:val="0"/>
              <w:spacing w:before="0" w:after="0"/>
              <w:ind w:left="0" w:right="0" w:hanging="0"/>
              <w:jc w:val="center"/>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74"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2"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9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4.1</w:t>
            </w:r>
          </w:p>
        </w:tc>
        <w:tc>
          <w:tcPr>
            <w:tcW w:w="326" w:type="dxa"/>
            <w:tcBorders/>
            <w:vAlign w:val="center"/>
          </w:tcPr>
          <w:p>
            <w:pPr>
              <w:pStyle w:val="TableHeading"/>
              <w:bidi w:val="0"/>
              <w:spacing w:before="0" w:after="0"/>
              <w:ind w:left="0" w:right="0" w:hanging="0"/>
              <w:jc w:val="left"/>
              <w:rPr/>
            </w:pPr>
            <w:r>
              <w:rPr/>
              <w:t>​</w:t>
            </w:r>
          </w:p>
        </w:tc>
        <w:tc>
          <w:tcPr>
            <w:tcW w:w="3474" w:type="dxa"/>
            <w:tcBorders/>
            <w:vAlign w:val="center"/>
          </w:tcPr>
          <w:p>
            <w:pPr>
              <w:pStyle w:val="TableHeading"/>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18"/>
                </w:rPr>
                <w:t>Form of Gevo, Inc. Common Stock Certificate</w:t>
              </w:r>
            </w:hyperlink>
            <w:r>
              <w:rPr>
                <w:rFonts w:ascii="Times New Roman;Times;serif" w:hAnsi="Times New Roman;Times;serif"/>
                <w:b w:val="false"/>
                <w:sz w:val="18"/>
              </w:rPr>
              <w:t>.</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S-1</w:t>
            </w:r>
          </w:p>
        </w:tc>
        <w:tc>
          <w:tcPr>
            <w:tcW w:w="326" w:type="dxa"/>
            <w:tcBorders/>
            <w:vAlign w:val="center"/>
          </w:tcPr>
          <w:p>
            <w:pPr>
              <w:pStyle w:val="TableHeading"/>
              <w:bidi w:val="0"/>
              <w:spacing w:before="0" w:after="0"/>
              <w:ind w:left="0" w:right="0" w:hanging="0"/>
              <w:jc w:val="left"/>
              <w:rPr/>
            </w:pPr>
            <w:r>
              <w:rPr/>
              <w:t>​</w:t>
            </w:r>
          </w:p>
        </w:tc>
        <w:tc>
          <w:tcPr>
            <w:tcW w:w="702" w:type="dxa"/>
            <w:tcBorders/>
            <w:vAlign w:val="center"/>
          </w:tcPr>
          <w:p>
            <w:pPr>
              <w:pStyle w:val="TableHeading"/>
              <w:bidi w:val="0"/>
              <w:spacing w:before="0" w:after="0"/>
              <w:ind w:left="0" w:right="0" w:hanging="0"/>
              <w:jc w:val="center"/>
              <w:rPr>
                <w:rFonts w:ascii="Times New Roman;Times;serif" w:hAnsi="Times New Roman;Times;serif"/>
                <w:b w:val="false"/>
                <w:color w:val="212529"/>
                <w:sz w:val="18"/>
                <w:shd w:fill="FFFFFF" w:val="clear"/>
              </w:rPr>
            </w:pPr>
            <w:r>
              <w:rPr>
                <w:rFonts w:ascii="Times New Roman;Times;serif" w:hAnsi="Times New Roman;Times;serif"/>
                <w:b w:val="false"/>
                <w:color w:val="212529"/>
                <w:sz w:val="18"/>
                <w:shd w:fill="FFFFFF" w:val="clear"/>
              </w:rPr>
              <w:t>333-168792</w:t>
            </w:r>
          </w:p>
        </w:tc>
        <w:tc>
          <w:tcPr>
            <w:tcW w:w="326" w:type="dxa"/>
            <w:tcBorders/>
            <w:vAlign w:val="center"/>
          </w:tcPr>
          <w:p>
            <w:pPr>
              <w:pStyle w:val="TableHeading"/>
              <w:bidi w:val="0"/>
              <w:spacing w:before="0" w:after="0"/>
              <w:ind w:left="0" w:right="0" w:hanging="0"/>
              <w:jc w:val="left"/>
              <w:rPr/>
            </w:pPr>
            <w:r>
              <w:rPr/>
              <w:t>​</w:t>
            </w:r>
          </w:p>
        </w:tc>
        <w:tc>
          <w:tcPr>
            <w:tcW w:w="1195" w:type="dxa"/>
            <w:tcBorders/>
            <w:vAlign w:val="center"/>
          </w:tcPr>
          <w:p>
            <w:pPr>
              <w:pStyle w:val="TableHeading"/>
              <w:bidi w:val="0"/>
              <w:spacing w:before="0" w:after="0"/>
              <w:ind w:left="0" w:right="0" w:hanging="0"/>
              <w:jc w:val="center"/>
              <w:rPr>
                <w:rFonts w:ascii="Times New Roman;Times;serif" w:hAnsi="Times New Roman;Times;serif"/>
                <w:b w:val="false"/>
                <w:color w:val="212529"/>
                <w:sz w:val="18"/>
                <w:shd w:fill="FFFFFF" w:val="clear"/>
              </w:rPr>
            </w:pPr>
            <w:r>
              <w:rPr>
                <w:rFonts w:ascii="Times New Roman;Times;serif" w:hAnsi="Times New Roman;Times;serif"/>
                <w:b w:val="false"/>
                <w:color w:val="212529"/>
                <w:sz w:val="18"/>
                <w:shd w:fill="FFFFFF" w:val="clear"/>
              </w:rPr>
              <w:t>January 19, 2011</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rFonts w:ascii="Times New Roman;Times;serif" w:hAnsi="Times New Roman;Times;serif"/>
                <w:b w:val="false"/>
                <w:color w:val="212529"/>
                <w:sz w:val="18"/>
                <w:shd w:fill="FFFFFF" w:val="clear"/>
              </w:rPr>
            </w:pPr>
            <w:r>
              <w:rPr>
                <w:rFonts w:ascii="Times New Roman;Times;serif" w:hAnsi="Times New Roman;Times;serif"/>
                <w:b w:val="false"/>
                <w:color w:val="212529"/>
                <w:sz w:val="18"/>
                <w:shd w:fill="FFFFFF" w:val="clear"/>
              </w:rPr>
              <w:t>4.1</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74"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2"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9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w:t>
            </w:r>
          </w:p>
        </w:tc>
        <w:tc>
          <w:tcPr>
            <w:tcW w:w="326" w:type="dxa"/>
            <w:tcBorders/>
            <w:vAlign w:val="center"/>
          </w:tcPr>
          <w:p>
            <w:pPr>
              <w:pStyle w:val="TableHeading"/>
              <w:bidi w:val="0"/>
              <w:spacing w:before="0" w:after="0"/>
              <w:ind w:left="0" w:right="0" w:hanging="0"/>
              <w:jc w:val="left"/>
              <w:rPr/>
            </w:pPr>
            <w:r>
              <w:rPr/>
              <w:t>​</w:t>
            </w:r>
          </w:p>
        </w:tc>
        <w:tc>
          <w:tcPr>
            <w:tcW w:w="3474" w:type="dxa"/>
            <w:tcBorders/>
            <w:vAlign w:val="center"/>
          </w:tcPr>
          <w:p>
            <w:pPr>
              <w:pStyle w:val="TableHeading"/>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Gevo, Inc. Amended and Restated 2010 Stock Incentive Plan</w:t>
              </w:r>
            </w:hyperlink>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8-K</w:t>
            </w:r>
          </w:p>
        </w:tc>
        <w:tc>
          <w:tcPr>
            <w:tcW w:w="326" w:type="dxa"/>
            <w:tcBorders/>
            <w:vAlign w:val="center"/>
          </w:tcPr>
          <w:p>
            <w:pPr>
              <w:pStyle w:val="TableHeading"/>
              <w:bidi w:val="0"/>
              <w:spacing w:before="0" w:after="0"/>
              <w:ind w:left="0" w:right="0" w:hanging="0"/>
              <w:jc w:val="left"/>
              <w:rPr/>
            </w:pPr>
            <w:r>
              <w:rPr/>
              <w:t>​</w:t>
            </w:r>
          </w:p>
        </w:tc>
        <w:tc>
          <w:tcPr>
            <w:tcW w:w="702"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001-35073</w:t>
            </w:r>
          </w:p>
        </w:tc>
        <w:tc>
          <w:tcPr>
            <w:tcW w:w="326" w:type="dxa"/>
            <w:tcBorders/>
            <w:vAlign w:val="center"/>
          </w:tcPr>
          <w:p>
            <w:pPr>
              <w:pStyle w:val="TableHeading"/>
              <w:bidi w:val="0"/>
              <w:spacing w:before="0" w:after="0"/>
              <w:ind w:left="0" w:right="0" w:hanging="0"/>
              <w:jc w:val="left"/>
              <w:rPr/>
            </w:pPr>
            <w:r>
              <w:rPr/>
              <w:t>​</w:t>
            </w:r>
          </w:p>
        </w:tc>
        <w:tc>
          <w:tcPr>
            <w:tcW w:w="1195"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May 27, 2025</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74"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2"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9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10.2†</w:t>
            </w:r>
          </w:p>
        </w:tc>
        <w:tc>
          <w:tcPr>
            <w:tcW w:w="326" w:type="dxa"/>
            <w:tcBorders/>
            <w:vAlign w:val="center"/>
          </w:tcPr>
          <w:p>
            <w:pPr>
              <w:pStyle w:val="TableHeading"/>
              <w:bidi w:val="0"/>
              <w:spacing w:before="0" w:after="0"/>
              <w:ind w:left="0" w:right="0" w:hanging="0"/>
              <w:jc w:val="left"/>
              <w:rPr/>
            </w:pPr>
            <w:r>
              <w:rPr/>
              <w:t>​</w:t>
            </w:r>
          </w:p>
        </w:tc>
        <w:tc>
          <w:tcPr>
            <w:tcW w:w="3474" w:type="dxa"/>
            <w:tcBorders/>
            <w:vAlign w:val="center"/>
          </w:tcPr>
          <w:p>
            <w:pPr>
              <w:pStyle w:val="TableHeading"/>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SAF Scope 1 and Scope 3 Credit Supply Agreement dated April 7, 2025 by and between Gevo Net-Zero 1, LLC and Future Energy Capital Limited (T/A Future Energy Global)</w:t>
              </w:r>
            </w:hyperlink>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8-K</w:t>
            </w:r>
          </w:p>
        </w:tc>
        <w:tc>
          <w:tcPr>
            <w:tcW w:w="326" w:type="dxa"/>
            <w:tcBorders/>
            <w:vAlign w:val="center"/>
          </w:tcPr>
          <w:p>
            <w:pPr>
              <w:pStyle w:val="TableHeading"/>
              <w:bidi w:val="0"/>
              <w:spacing w:before="0" w:after="0"/>
              <w:ind w:left="0" w:right="0" w:hanging="0"/>
              <w:jc w:val="left"/>
              <w:rPr/>
            </w:pPr>
            <w:r>
              <w:rPr/>
              <w:t>​</w:t>
            </w:r>
          </w:p>
        </w:tc>
        <w:tc>
          <w:tcPr>
            <w:tcW w:w="702"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001-35073</w:t>
            </w:r>
          </w:p>
        </w:tc>
        <w:tc>
          <w:tcPr>
            <w:tcW w:w="326" w:type="dxa"/>
            <w:tcBorders/>
            <w:vAlign w:val="center"/>
          </w:tcPr>
          <w:p>
            <w:pPr>
              <w:pStyle w:val="TableHeading"/>
              <w:bidi w:val="0"/>
              <w:spacing w:before="0" w:after="0"/>
              <w:ind w:left="0" w:right="0" w:hanging="0"/>
              <w:jc w:val="left"/>
              <w:rPr/>
            </w:pPr>
            <w:r>
              <w:rPr/>
              <w:t>​</w:t>
            </w:r>
          </w:p>
        </w:tc>
        <w:tc>
          <w:tcPr>
            <w:tcW w:w="1195"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April 9, 2025</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74"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2"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9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10.3</w:t>
            </w:r>
          </w:p>
        </w:tc>
        <w:tc>
          <w:tcPr>
            <w:tcW w:w="326" w:type="dxa"/>
            <w:tcBorders/>
            <w:vAlign w:val="center"/>
          </w:tcPr>
          <w:p>
            <w:pPr>
              <w:pStyle w:val="TableHeading"/>
              <w:bidi w:val="0"/>
              <w:spacing w:before="0" w:after="0"/>
              <w:ind w:left="0" w:right="0" w:hanging="0"/>
              <w:jc w:val="left"/>
              <w:rPr/>
            </w:pPr>
            <w:r>
              <w:rPr/>
              <w:t>​</w:t>
            </w:r>
          </w:p>
        </w:tc>
        <w:tc>
          <w:tcPr>
            <w:tcW w:w="3474" w:type="dxa"/>
            <w:tcBorders/>
            <w:vAlign w:val="center"/>
          </w:tcPr>
          <w:p>
            <w:pPr>
              <w:pStyle w:val="TableHeading"/>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Form of Tax Credit Transfer Agreement</w:t>
              </w:r>
            </w:hyperlink>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8-K</w:t>
            </w:r>
          </w:p>
        </w:tc>
        <w:tc>
          <w:tcPr>
            <w:tcW w:w="326" w:type="dxa"/>
            <w:tcBorders/>
            <w:vAlign w:val="center"/>
          </w:tcPr>
          <w:p>
            <w:pPr>
              <w:pStyle w:val="TableHeading"/>
              <w:bidi w:val="0"/>
              <w:spacing w:before="0" w:after="0"/>
              <w:ind w:left="0" w:right="0" w:hanging="0"/>
              <w:jc w:val="left"/>
              <w:rPr/>
            </w:pPr>
            <w:r>
              <w:rPr/>
              <w:t>​</w:t>
            </w:r>
          </w:p>
        </w:tc>
        <w:tc>
          <w:tcPr>
            <w:tcW w:w="702"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001-35073</w:t>
            </w:r>
          </w:p>
        </w:tc>
        <w:tc>
          <w:tcPr>
            <w:tcW w:w="326" w:type="dxa"/>
            <w:tcBorders/>
            <w:vAlign w:val="center"/>
          </w:tcPr>
          <w:p>
            <w:pPr>
              <w:pStyle w:val="TableHeading"/>
              <w:bidi w:val="0"/>
              <w:spacing w:before="0" w:after="0"/>
              <w:ind w:left="0" w:right="0" w:hanging="0"/>
              <w:jc w:val="left"/>
              <w:rPr/>
            </w:pPr>
            <w:r>
              <w:rPr/>
              <w:t>​</w:t>
            </w:r>
          </w:p>
        </w:tc>
        <w:tc>
          <w:tcPr>
            <w:tcW w:w="1195"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July 7, 2025</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74"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2"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9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31.1</w:t>
            </w:r>
          </w:p>
        </w:tc>
        <w:tc>
          <w:tcPr>
            <w:tcW w:w="326" w:type="dxa"/>
            <w:tcBorders/>
            <w:vAlign w:val="center"/>
          </w:tcPr>
          <w:p>
            <w:pPr>
              <w:pStyle w:val="TableHeading"/>
              <w:bidi w:val="0"/>
              <w:spacing w:before="0" w:after="0"/>
              <w:ind w:left="0" w:right="0" w:hanging="0"/>
              <w:jc w:val="left"/>
              <w:rPr/>
            </w:pPr>
            <w:r>
              <w:rPr/>
              <w:t>​</w:t>
            </w:r>
          </w:p>
        </w:tc>
        <w:tc>
          <w:tcPr>
            <w:tcW w:w="3474" w:type="dxa"/>
            <w:tcBorders/>
            <w:vAlign w:val="center"/>
          </w:tcPr>
          <w:p>
            <w:pPr>
              <w:pStyle w:val="TableHeading"/>
              <w:bidi w:val="0"/>
              <w:spacing w:before="0" w:after="0"/>
              <w:ind w:left="0" w:right="0" w:hanging="0"/>
              <w:jc w:val="left"/>
              <w:rPr/>
            </w:pPr>
            <w:hyperlink w:anchor="gevo-20250630xex31d1.htm">
              <w:r>
                <w:rPr>
                  <w:rStyle w:val="InternetLink"/>
                  <w:rFonts w:ascii="Times New Roman;Times;serif" w:hAnsi="Times New Roman;Times;serif"/>
                  <w:b w:val="false"/>
                  <w:i w:val="false"/>
                  <w:caps w:val="false"/>
                  <w:smallCaps w:val="false"/>
                  <w:sz w:val="20"/>
                </w:rPr>
                <w:t>Section 302 Certification of the Principal Executive Officer.</w:t>
              </w:r>
            </w:hyperlink>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2"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9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74"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2"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9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31.2</w:t>
            </w:r>
          </w:p>
        </w:tc>
        <w:tc>
          <w:tcPr>
            <w:tcW w:w="326" w:type="dxa"/>
            <w:tcBorders/>
            <w:vAlign w:val="center"/>
          </w:tcPr>
          <w:p>
            <w:pPr>
              <w:pStyle w:val="TableHeading"/>
              <w:bidi w:val="0"/>
              <w:spacing w:before="0" w:after="0"/>
              <w:ind w:left="0" w:right="0" w:hanging="0"/>
              <w:jc w:val="left"/>
              <w:rPr/>
            </w:pPr>
            <w:r>
              <w:rPr/>
              <w:t>​</w:t>
            </w:r>
          </w:p>
        </w:tc>
        <w:tc>
          <w:tcPr>
            <w:tcW w:w="3474" w:type="dxa"/>
            <w:tcBorders/>
            <w:vAlign w:val="center"/>
          </w:tcPr>
          <w:p>
            <w:pPr>
              <w:pStyle w:val="TableHeading"/>
              <w:bidi w:val="0"/>
              <w:spacing w:before="0" w:after="0"/>
              <w:ind w:left="0" w:right="0" w:hanging="0"/>
              <w:jc w:val="left"/>
              <w:rPr/>
            </w:pPr>
            <w:hyperlink w:anchor="gevo-20250630xex31d2.htm">
              <w:r>
                <w:rPr>
                  <w:rStyle w:val="InternetLink"/>
                  <w:rFonts w:ascii="Times New Roman;Times;serif" w:hAnsi="Times New Roman;Times;serif"/>
                  <w:b w:val="false"/>
                  <w:i w:val="false"/>
                  <w:caps w:val="false"/>
                  <w:smallCaps w:val="false"/>
                  <w:sz w:val="20"/>
                </w:rPr>
                <w:t>Section 302 Certification of the Principal Financial Officer.</w:t>
              </w:r>
            </w:hyperlink>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2"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9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74"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2"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9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32.1</w:t>
            </w:r>
          </w:p>
        </w:tc>
        <w:tc>
          <w:tcPr>
            <w:tcW w:w="326" w:type="dxa"/>
            <w:tcBorders/>
            <w:vAlign w:val="center"/>
          </w:tcPr>
          <w:p>
            <w:pPr>
              <w:pStyle w:val="TableHeading"/>
              <w:bidi w:val="0"/>
              <w:spacing w:before="0" w:after="0"/>
              <w:ind w:left="0" w:right="0" w:hanging="0"/>
              <w:jc w:val="left"/>
              <w:rPr/>
            </w:pPr>
            <w:r>
              <w:rPr/>
              <w:t>​</w:t>
            </w:r>
          </w:p>
        </w:tc>
        <w:tc>
          <w:tcPr>
            <w:tcW w:w="3474" w:type="dxa"/>
            <w:tcBorders/>
            <w:vAlign w:val="center"/>
          </w:tcPr>
          <w:p>
            <w:pPr>
              <w:pStyle w:val="TableHeading"/>
              <w:bidi w:val="0"/>
              <w:spacing w:before="0" w:after="0"/>
              <w:ind w:left="0" w:right="0" w:hanging="0"/>
              <w:jc w:val="left"/>
              <w:rPr/>
            </w:pPr>
            <w:hyperlink w:anchor="gevo-20250630xex32d1.htm">
              <w:r>
                <w:rPr>
                  <w:rStyle w:val="InternetLink"/>
                  <w:rFonts w:ascii="Times New Roman;Times;serif" w:hAnsi="Times New Roman;Times;serif"/>
                  <w:b w:val="false"/>
                  <w:i w:val="false"/>
                  <w:caps w:val="false"/>
                  <w:smallCaps w:val="false"/>
                  <w:sz w:val="20"/>
                </w:rPr>
                <w:t>Section 906 Certification of the Principal Executive Officer and Principal Financial Officer.</w:t>
              </w:r>
            </w:hyperlink>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2"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9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74"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2"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9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101.INS</w:t>
            </w:r>
          </w:p>
        </w:tc>
        <w:tc>
          <w:tcPr>
            <w:tcW w:w="326" w:type="dxa"/>
            <w:tcBorders/>
            <w:vAlign w:val="center"/>
          </w:tcPr>
          <w:p>
            <w:pPr>
              <w:pStyle w:val="TableHeading"/>
              <w:bidi w:val="0"/>
              <w:spacing w:before="0" w:after="0"/>
              <w:ind w:left="0" w:right="0" w:hanging="0"/>
              <w:jc w:val="left"/>
              <w:rPr/>
            </w:pPr>
            <w:r>
              <w:rPr/>
              <w:t>​</w:t>
            </w:r>
          </w:p>
        </w:tc>
        <w:tc>
          <w:tcPr>
            <w:tcW w:w="3474" w:type="dxa"/>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Instance Document (the Instance Document does not appear in the Interactive Data File because its XBRL tags are embedded within the Inline XBRL document)</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2"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9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74"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2"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9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101.SCH</w:t>
            </w:r>
          </w:p>
        </w:tc>
        <w:tc>
          <w:tcPr>
            <w:tcW w:w="326" w:type="dxa"/>
            <w:tcBorders/>
            <w:vAlign w:val="center"/>
          </w:tcPr>
          <w:p>
            <w:pPr>
              <w:pStyle w:val="TableHeading"/>
              <w:bidi w:val="0"/>
              <w:spacing w:before="0" w:after="0"/>
              <w:ind w:left="0" w:right="0" w:hanging="0"/>
              <w:jc w:val="left"/>
              <w:rPr/>
            </w:pPr>
            <w:r>
              <w:rPr/>
              <w:t>​</w:t>
            </w:r>
          </w:p>
        </w:tc>
        <w:tc>
          <w:tcPr>
            <w:tcW w:w="3474" w:type="dxa"/>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Taxonomy Extension Schema</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2"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9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74"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2"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9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101.CAL</w:t>
            </w:r>
          </w:p>
        </w:tc>
        <w:tc>
          <w:tcPr>
            <w:tcW w:w="326" w:type="dxa"/>
            <w:tcBorders/>
            <w:vAlign w:val="center"/>
          </w:tcPr>
          <w:p>
            <w:pPr>
              <w:pStyle w:val="TableHeading"/>
              <w:bidi w:val="0"/>
              <w:spacing w:before="0" w:after="0"/>
              <w:ind w:left="0" w:right="0" w:hanging="0"/>
              <w:jc w:val="left"/>
              <w:rPr/>
            </w:pPr>
            <w:r>
              <w:rPr/>
              <w:t>​</w:t>
            </w:r>
          </w:p>
        </w:tc>
        <w:tc>
          <w:tcPr>
            <w:tcW w:w="3474" w:type="dxa"/>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Taxonomy Extension Calculation Linkbase</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2"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9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74"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2"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9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101.DEF</w:t>
            </w:r>
          </w:p>
        </w:tc>
        <w:tc>
          <w:tcPr>
            <w:tcW w:w="326" w:type="dxa"/>
            <w:tcBorders/>
            <w:vAlign w:val="center"/>
          </w:tcPr>
          <w:p>
            <w:pPr>
              <w:pStyle w:val="TableHeading"/>
              <w:bidi w:val="0"/>
              <w:spacing w:before="0" w:after="0"/>
              <w:ind w:left="0" w:right="0" w:hanging="0"/>
              <w:jc w:val="left"/>
              <w:rPr/>
            </w:pPr>
            <w:r>
              <w:rPr/>
              <w:t>​</w:t>
            </w:r>
          </w:p>
        </w:tc>
        <w:tc>
          <w:tcPr>
            <w:tcW w:w="3474" w:type="dxa"/>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Taxonomy Extension Definition Linkbase</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2"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9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74"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2"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9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101.LAB</w:t>
            </w:r>
          </w:p>
        </w:tc>
        <w:tc>
          <w:tcPr>
            <w:tcW w:w="326" w:type="dxa"/>
            <w:tcBorders/>
            <w:vAlign w:val="center"/>
          </w:tcPr>
          <w:p>
            <w:pPr>
              <w:pStyle w:val="TableHeading"/>
              <w:bidi w:val="0"/>
              <w:spacing w:before="0" w:after="0"/>
              <w:ind w:left="0" w:right="0" w:hanging="0"/>
              <w:jc w:val="left"/>
              <w:rPr/>
            </w:pPr>
            <w:r>
              <w:rPr/>
              <w:t>​</w:t>
            </w:r>
          </w:p>
        </w:tc>
        <w:tc>
          <w:tcPr>
            <w:tcW w:w="3474" w:type="dxa"/>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Taxonomy Extension Label Linkbase</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2"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9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74"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2"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9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101.PRE</w:t>
            </w:r>
          </w:p>
        </w:tc>
        <w:tc>
          <w:tcPr>
            <w:tcW w:w="326" w:type="dxa"/>
            <w:tcBorders/>
            <w:vAlign w:val="center"/>
          </w:tcPr>
          <w:p>
            <w:pPr>
              <w:pStyle w:val="TableHeading"/>
              <w:bidi w:val="0"/>
              <w:spacing w:before="0" w:after="0"/>
              <w:ind w:left="0" w:right="0" w:hanging="0"/>
              <w:jc w:val="left"/>
              <w:rPr/>
            </w:pPr>
            <w:r>
              <w:rPr/>
              <w:t>​</w:t>
            </w:r>
          </w:p>
        </w:tc>
        <w:tc>
          <w:tcPr>
            <w:tcW w:w="3474" w:type="dxa"/>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Taxonomy Extension Presentation Linkbase</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2"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9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74"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2"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9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104</w:t>
            </w:r>
          </w:p>
        </w:tc>
        <w:tc>
          <w:tcPr>
            <w:tcW w:w="326" w:type="dxa"/>
            <w:tcBorders/>
            <w:vAlign w:val="center"/>
          </w:tcPr>
          <w:p>
            <w:pPr>
              <w:pStyle w:val="TableHeading"/>
              <w:bidi w:val="0"/>
              <w:spacing w:before="0" w:after="0"/>
              <w:ind w:left="0" w:right="0" w:hanging="0"/>
              <w:jc w:val="left"/>
              <w:rPr/>
            </w:pPr>
            <w:r>
              <w:rPr/>
              <w:t>​</w:t>
            </w:r>
          </w:p>
        </w:tc>
        <w:tc>
          <w:tcPr>
            <w:tcW w:w="3474" w:type="dxa"/>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Cover Page Interactive Data File (embedded within the Inline XBRL document and contained in Exhibit 101)</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2"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195"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sz w:val="20"/>
        </w:rPr>
        <w:t>Indicates a management contract or compensatory plan or arrangement.</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Certain portions of the exhibit have been omitted pursuant to Rule 601(b)(10) of Regulation S-K. The omitted information is not material and is the type of information that the registrant treats as private or confidential.</w:t>
      </w:r>
    </w:p>
    <w:tbl>
      <w:tblPr>
        <w:tblW w:w="2087" w:type="dxa"/>
        <w:jc w:val="left"/>
        <w:tblInd w:w="0" w:type="dxa"/>
        <w:tblLayout w:type="fixed"/>
        <w:tblCellMar>
          <w:top w:w="0" w:type="dxa"/>
          <w:left w:w="0" w:type="dxa"/>
          <w:bottom w:w="0" w:type="dxa"/>
          <w:right w:w="0" w:type="dxa"/>
        </w:tblCellMar>
      </w:tblPr>
      <w:tblGrid>
        <w:gridCol w:w="331"/>
        <w:gridCol w:w="1756"/>
      </w:tblGrid>
      <w:tr>
        <w:trPr/>
        <w:tc>
          <w:tcPr>
            <w:tcW w:w="3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751" w:name="SIGNATURES_446651"/>
      <w:bookmarkStart w:id="1752" w:name="_18f94896_08da_4a5f_805a_419a3eeeb760"/>
      <w:bookmarkEnd w:id="1751"/>
      <w:bookmarkEnd w:id="1752"/>
      <w:r>
        <w:rPr>
          <w:rFonts w:ascii="Times New Roman;Times;serif" w:hAnsi="Times New Roman;Times;serif"/>
          <w:b/>
          <w:sz w:val="20"/>
        </w:rPr>
        <w:t>SIGNATURES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40"/>
        <w:ind w:left="0" w:right="0" w:hanging="0"/>
        <w:jc w:val="left"/>
        <w:rPr/>
      </w:pPr>
      <w:r>
        <w:rPr/>
        <w:t>​</w:t>
      </w:r>
    </w:p>
    <w:tbl>
      <w:tblPr>
        <w:tblW w:w="5691" w:type="dxa"/>
        <w:jc w:val="left"/>
        <w:tblInd w:w="0" w:type="dxa"/>
        <w:tblLayout w:type="fixed"/>
        <w:tblCellMar>
          <w:top w:w="0" w:type="dxa"/>
          <w:left w:w="0" w:type="dxa"/>
          <w:bottom w:w="0" w:type="dxa"/>
          <w:right w:w="0" w:type="dxa"/>
        </w:tblCellMar>
      </w:tblPr>
      <w:tblGrid>
        <w:gridCol w:w="421"/>
        <w:gridCol w:w="5116"/>
        <w:gridCol w:w="154"/>
      </w:tblGrid>
      <w:tr>
        <w:trPr/>
        <w:tc>
          <w:tcPr>
            <w:tcW w:w="553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Gevo, Inc.</w:t>
            </w:r>
          </w:p>
        </w:tc>
        <w:tc>
          <w:tcPr>
            <w:tcW w:w="154" w:type="dxa"/>
            <w:tcBorders/>
            <w:vAlign w:val="center"/>
          </w:tcPr>
          <w:p>
            <w:pPr>
              <w:pStyle w:val="TableContents"/>
              <w:bidi w:val="0"/>
              <w:spacing w:before="0" w:after="0"/>
              <w:ind w:left="0" w:right="0" w:hanging="0"/>
              <w:jc w:val="center"/>
              <w:rPr/>
            </w:pPr>
            <w:r>
              <w:rPr/>
              <w:t>​</w:t>
            </w:r>
          </w:p>
        </w:tc>
      </w:tr>
      <w:tr>
        <w:trPr/>
        <w:tc>
          <w:tcPr>
            <w:tcW w:w="553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(REGISTRANT)</w:t>
            </w:r>
          </w:p>
        </w:tc>
        <w:tc>
          <w:tcPr>
            <w:tcW w:w="154" w:type="dxa"/>
            <w:tcBorders/>
            <w:vAlign w:val="center"/>
          </w:tcPr>
          <w:p>
            <w:pPr>
              <w:pStyle w:val="TableContents"/>
              <w:bidi w:val="0"/>
              <w:spacing w:before="0" w:after="0"/>
              <w:ind w:left="0" w:right="0" w:hanging="0"/>
              <w:jc w:val="center"/>
              <w:rPr/>
            </w:pPr>
            <w:r>
              <w:rPr/>
              <w:t>​</w:t>
            </w:r>
          </w:p>
        </w:tc>
      </w:tr>
      <w:tr>
        <w:trPr/>
        <w:tc>
          <w:tcPr>
            <w:tcW w:w="5537"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1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Sylvia Gendenjamts</w:t>
            </w:r>
          </w:p>
        </w:tc>
        <w:tc>
          <w:tcPr>
            <w:tcW w:w="154" w:type="dxa"/>
            <w:tcBorders/>
            <w:vAlign w:val="center"/>
          </w:tcPr>
          <w:p>
            <w:pPr>
              <w:pStyle w:val="TableContents"/>
              <w:bidi w:val="0"/>
              <w:spacing w:before="0" w:after="0"/>
              <w:ind w:left="0" w:right="0" w:hanging="0"/>
              <w:jc w:val="center"/>
              <w:rPr/>
            </w:pPr>
            <w:r>
              <w:rPr/>
              <w:t>​</w:t>
            </w:r>
          </w:p>
        </w:tc>
      </w:tr>
      <w:tr>
        <w:trPr/>
        <w:tc>
          <w:tcPr>
            <w:tcW w:w="421" w:type="dxa"/>
            <w:tcBorders/>
            <w:vAlign w:val="center"/>
          </w:tcPr>
          <w:p>
            <w:pPr>
              <w:pStyle w:val="TableContents"/>
              <w:bidi w:val="0"/>
              <w:spacing w:before="0" w:after="0"/>
              <w:ind w:left="0" w:right="0" w:hanging="0"/>
              <w:jc w:val="center"/>
              <w:rPr/>
            </w:pPr>
            <w:r>
              <w:rPr/>
              <w:t>​</w:t>
            </w:r>
          </w:p>
        </w:tc>
        <w:tc>
          <w:tcPr>
            <w:tcW w:w="511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Sylvia Gendenjamts, CPA</w:t>
              <w:br/>
              <w:t>Vice President Accounting and Treasurer</w:t>
              <w:br/>
              <w:t>(Duly Authorized Officer and Principal Accounting Officer)</w:t>
            </w:r>
          </w:p>
        </w:tc>
        <w:tc>
          <w:tcPr>
            <w:tcW w:w="154"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Date: August 11, 2025</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120"/>
        <w:ind w:left="0" w:right="0" w:hanging="0"/>
        <w:jc w:val="right"/>
        <w:rPr>
          <w:rFonts w:ascii="Times New Roman;Times;serif" w:hAnsi="Times New Roman;Times;serif"/>
          <w:b/>
          <w:sz w:val="20"/>
        </w:rPr>
      </w:pPr>
      <w:bookmarkStart w:id="1753" w:name="gevo-20250630xex31d1.htm"/>
      <w:bookmarkStart w:id="1754" w:name="ksgevo20250630xex31d1"/>
      <w:bookmarkEnd w:id="1753"/>
      <w:bookmarkEnd w:id="1754"/>
      <w:r>
        <w:rPr>
          <w:rFonts w:ascii="Times New Roman;Times;serif" w:hAnsi="Times New Roman;Times;serif"/>
          <w:b/>
          <w:sz w:val="20"/>
        </w:rPr>
        <w:t>Exhibit 31.1</w:t>
      </w:r>
      <w:r>
        <w:br w:type="page"/>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 Patrick R. Gruber, certify that:</w:t>
      </w:r>
    </w:p>
    <w:tbl>
      <w:tblPr>
        <w:tblW w:w="7015" w:type="dxa"/>
        <w:jc w:val="left"/>
        <w:tblInd w:w="0" w:type="dxa"/>
        <w:tblLayout w:type="fixed"/>
        <w:tblCellMar>
          <w:top w:w="0" w:type="dxa"/>
          <w:left w:w="0" w:type="dxa"/>
          <w:bottom w:w="0" w:type="dxa"/>
          <w:right w:w="0" w:type="dxa"/>
        </w:tblCellMar>
      </w:tblPr>
      <w:tblGrid>
        <w:gridCol w:w="170"/>
        <w:gridCol w:w="6845"/>
      </w:tblGrid>
      <w:tr>
        <w:trPr/>
        <w:tc>
          <w:tcPr>
            <w:tcW w:w="17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684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I have reviewed this Quarterly Report on Form 10-Q of Gevo, Inc. (the “Registrant”);</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11, 2025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266" w:type="dxa"/>
        <w:jc w:val="left"/>
        <w:tblInd w:w="0" w:type="dxa"/>
        <w:tblLayout w:type="fixed"/>
        <w:tblCellMar>
          <w:top w:w="0" w:type="dxa"/>
          <w:left w:w="0" w:type="dxa"/>
          <w:bottom w:w="0" w:type="dxa"/>
          <w:right w:w="0" w:type="dxa"/>
        </w:tblCellMar>
      </w:tblPr>
      <w:tblGrid>
        <w:gridCol w:w="2266"/>
      </w:tblGrid>
      <w:tr>
        <w:trPr/>
        <w:tc>
          <w:tcPr>
            <w:tcW w:w="2266" w:type="dxa"/>
            <w:tcBorders/>
            <w:vAlign w:val="center"/>
          </w:tcPr>
          <w:p>
            <w:pPr>
              <w:pStyle w:val="TableContents"/>
              <w:bidi w:val="0"/>
              <w:spacing w:before="0" w:after="0"/>
              <w:ind w:left="0" w:right="0" w:hanging="0"/>
              <w:jc w:val="left"/>
              <w:rPr/>
            </w:pPr>
            <w:r>
              <w:rPr/>
              <w:t>​</w:t>
            </w:r>
          </w:p>
        </w:tc>
      </w:tr>
      <w:tr>
        <w:trPr/>
        <w:tc>
          <w:tcPr>
            <w:tcW w:w="2266" w:type="dxa"/>
            <w:tcBorders>
              <w:bottom w:val="single" w:sz="2" w:space="0" w:color="000000"/>
            </w:tcBorders>
            <w:tcMar>
              <w:bottom w:w="28" w:type="dxa"/>
            </w:tcM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Patrick R. Gruber</w:t>
            </w:r>
          </w:p>
        </w:tc>
      </w:tr>
      <w:tr>
        <w:trPr/>
        <w:tc>
          <w:tcPr>
            <w:tcW w:w="226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Patrick R. Gruber</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Chief Executive Officer</w:t>
            </w:r>
          </w:p>
          <w:p>
            <w:pPr>
              <w:pStyle w:val="TableContents"/>
              <w:bidi w:val="0"/>
              <w:spacing w:before="0" w:after="30"/>
              <w:ind w:left="0" w:right="0" w:hanging="0"/>
              <w:jc w:val="center"/>
              <w:rPr>
                <w:rFonts w:ascii="Times New Roman;Times;serif" w:hAnsi="Times New Roman;Times;serif"/>
                <w:b/>
                <w:sz w:val="16"/>
              </w:rPr>
            </w:pPr>
            <w:r>
              <w:rPr>
                <w:rFonts w:ascii="Times New Roman;Times;serif" w:hAnsi="Times New Roman;Times;serif"/>
                <w:b/>
                <w:sz w:val="16"/>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b/>
          <w:sz w:val="20"/>
        </w:rPr>
      </w:pPr>
      <w:bookmarkStart w:id="1755" w:name="gevo-20250630xex31d2.htm"/>
      <w:bookmarkStart w:id="1756" w:name="ksgevo20250630xex31d2"/>
      <w:bookmarkEnd w:id="1755"/>
      <w:bookmarkEnd w:id="1756"/>
      <w:r>
        <w:rPr>
          <w:rFonts w:ascii="Times New Roman;Times;serif" w:hAnsi="Times New Roman;Times;serif"/>
          <w:b/>
          <w:sz w:val="20"/>
        </w:rPr>
        <w:t>Exhibit 31.2</w:t>
      </w:r>
      <w:r>
        <w:br w:type="page"/>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 Oluwagbemileke Agiri, certify that:</w:t>
      </w:r>
    </w:p>
    <w:tbl>
      <w:tblPr>
        <w:tblW w:w="7015" w:type="dxa"/>
        <w:jc w:val="left"/>
        <w:tblInd w:w="0" w:type="dxa"/>
        <w:tblLayout w:type="fixed"/>
        <w:tblCellMar>
          <w:top w:w="0" w:type="dxa"/>
          <w:left w:w="0" w:type="dxa"/>
          <w:bottom w:w="0" w:type="dxa"/>
          <w:right w:w="0" w:type="dxa"/>
        </w:tblCellMar>
      </w:tblPr>
      <w:tblGrid>
        <w:gridCol w:w="170"/>
        <w:gridCol w:w="6845"/>
      </w:tblGrid>
      <w:tr>
        <w:trPr/>
        <w:tc>
          <w:tcPr>
            <w:tcW w:w="17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684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I have reviewed this Quarterly Report on Form 10-Q of Gevo, Inc. (the “Registrant”);</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11, 2025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386" w:type="dxa"/>
        <w:jc w:val="left"/>
        <w:tblInd w:w="0" w:type="dxa"/>
        <w:tblLayout w:type="fixed"/>
        <w:tblCellMar>
          <w:top w:w="0" w:type="dxa"/>
          <w:left w:w="0" w:type="dxa"/>
          <w:bottom w:w="0" w:type="dxa"/>
          <w:right w:w="0" w:type="dxa"/>
        </w:tblCellMar>
      </w:tblPr>
      <w:tblGrid>
        <w:gridCol w:w="2386"/>
      </w:tblGrid>
      <w:tr>
        <w:trPr/>
        <w:tc>
          <w:tcPr>
            <w:tcW w:w="2386" w:type="dxa"/>
            <w:tcBorders/>
            <w:vAlign w:val="center"/>
          </w:tcPr>
          <w:p>
            <w:pPr>
              <w:pStyle w:val="TableContents"/>
              <w:bidi w:val="0"/>
              <w:spacing w:before="0" w:after="0"/>
              <w:ind w:left="0" w:right="0" w:hanging="0"/>
              <w:jc w:val="left"/>
              <w:rPr/>
            </w:pPr>
            <w:r>
              <w:rPr/>
              <w:t>​</w:t>
            </w:r>
          </w:p>
        </w:tc>
      </w:tr>
      <w:tr>
        <w:trPr/>
        <w:tc>
          <w:tcPr>
            <w:tcW w:w="2386" w:type="dxa"/>
            <w:tcBorders>
              <w:bottom w:val="single" w:sz="2" w:space="0" w:color="000000"/>
            </w:tcBorders>
            <w:tcMar>
              <w:bottom w:w="28" w:type="dxa"/>
            </w:tcM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Oluwagbemileke Agiri</w:t>
            </w:r>
          </w:p>
        </w:tc>
      </w:tr>
      <w:tr>
        <w:trPr/>
        <w:tc>
          <w:tcPr>
            <w:tcW w:w="2386" w:type="dxa"/>
            <w:tcBorders>
              <w:top w:val="single" w:sz="2" w:space="0" w:color="000000"/>
            </w:tcBorders>
            <w:tcMar>
              <w:top w:w="28" w:type="dxa"/>
            </w:tcMar>
            <w:vAlign w:val="center"/>
          </w:tcPr>
          <w:p>
            <w:pPr>
              <w:pStyle w:val="TableContents"/>
              <w:bidi w:val="0"/>
              <w:spacing w:before="0" w:after="2"/>
              <w:ind w:left="0" w:right="0" w:hanging="0"/>
              <w:jc w:val="center"/>
              <w:rPr>
                <w:rFonts w:ascii="Times New Roman;Times;serif" w:hAnsi="Times New Roman;Times;serif"/>
                <w:b/>
                <w:sz w:val="16"/>
              </w:rPr>
            </w:pPr>
            <w:r>
              <w:rPr>
                <w:rFonts w:ascii="Times New Roman;Times;serif" w:hAnsi="Times New Roman;Times;serif"/>
                <w:b/>
                <w:sz w:val="16"/>
              </w:rPr>
              <w:t>Oluwagbemileke Agiri</w:t>
            </w:r>
          </w:p>
          <w:p>
            <w:pPr>
              <w:pStyle w:val="TableContents"/>
              <w:bidi w:val="0"/>
              <w:spacing w:before="0" w:after="2"/>
              <w:ind w:left="0" w:right="0" w:hanging="0"/>
              <w:jc w:val="center"/>
              <w:rPr>
                <w:rFonts w:ascii="Times New Roman;Times;serif" w:hAnsi="Times New Roman;Times;serif"/>
                <w:b/>
                <w:sz w:val="16"/>
              </w:rPr>
            </w:pPr>
            <w:r>
              <w:rPr>
                <w:rFonts w:ascii="Times New Roman;Times;serif" w:hAnsi="Times New Roman;Times;serif"/>
                <w:b/>
                <w:sz w:val="16"/>
              </w:rPr>
              <w:t>Chief Financial Officer</w:t>
            </w:r>
          </w:p>
          <w:p>
            <w:pPr>
              <w:pStyle w:val="TableContents"/>
              <w:bidi w:val="0"/>
              <w:spacing w:before="0" w:after="30"/>
              <w:ind w:left="0" w:right="0" w:hanging="0"/>
              <w:jc w:val="center"/>
              <w:rPr>
                <w:rFonts w:ascii="Times New Roman;Times;serif" w:hAnsi="Times New Roman;Times;serif"/>
                <w:b/>
                <w:sz w:val="16"/>
              </w:rPr>
            </w:pPr>
            <w:r>
              <w:rPr>
                <w:rFonts w:ascii="Times New Roman;Times;serif" w:hAnsi="Times New Roman;Times;serif"/>
                <w:b/>
                <w:sz w:val="16"/>
              </w:rPr>
              <w:t>(Principal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b/>
          <w:sz w:val="20"/>
        </w:rPr>
      </w:pPr>
      <w:bookmarkStart w:id="1757" w:name="gevo-20250630xex32d1.htm"/>
      <w:bookmarkStart w:id="1758" w:name="ksgevo20250630xex32d1"/>
      <w:bookmarkEnd w:id="1757"/>
      <w:bookmarkEnd w:id="1758"/>
      <w:r>
        <w:rPr>
          <w:rFonts w:ascii="Times New Roman;Times;serif" w:hAnsi="Times New Roman;Times;serif"/>
          <w:b/>
          <w:sz w:val="20"/>
        </w:rPr>
        <w:t>Exhibit 32.1</w:t>
      </w:r>
      <w:r>
        <w:br w:type="page"/>
      </w:r>
    </w:p>
    <w:p>
      <w:pPr>
        <w:pStyle w:val="TextBody"/>
        <w:bidi w:val="0"/>
        <w:spacing w:before="0" w:after="12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 PURSUANT TO SECTION 906 OF THE SARBANES-OXLEY ACT OF 2002</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 Patrick R. Gruber, Chief Executive Officer of Gevo, Inc. (the "Company"), and I, Oluwagbemileke Agiri, Chief Financial Officer of the Company, certify, pursuant to 18 U.S.C. Section 1350, as adopted pursuant to Section 906 of the Sarbanes-Oxley Act of 2002, that: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(1) The Quarterly Report on Form 10-Q of the Company for the quarter ended June 30, 2025 (the "Report"), fully complies with the requirements of Section 13(a) or 15(d) of the Securities Exchange Act of 1934, as amended; and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 for the period covered by the Report.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386" w:type="dxa"/>
        <w:jc w:val="left"/>
        <w:tblInd w:w="0" w:type="dxa"/>
        <w:tblLayout w:type="fixed"/>
        <w:tblCellMar>
          <w:top w:w="0" w:type="dxa"/>
          <w:left w:w="0" w:type="dxa"/>
          <w:bottom w:w="0" w:type="dxa"/>
          <w:right w:w="0" w:type="dxa"/>
        </w:tblCellMar>
      </w:tblPr>
      <w:tblGrid>
        <w:gridCol w:w="2386"/>
      </w:tblGrid>
      <w:tr>
        <w:trPr/>
        <w:tc>
          <w:tcPr>
            <w:tcW w:w="2386" w:type="dxa"/>
            <w:tcBorders/>
            <w:vAlign w:val="center"/>
          </w:tcPr>
          <w:p>
            <w:pPr>
              <w:pStyle w:val="TableContents"/>
              <w:bidi w:val="0"/>
              <w:spacing w:before="0" w:after="2"/>
              <w:ind w:left="0" w:right="0" w:hanging="0"/>
              <w:jc w:val="left"/>
              <w:rPr/>
            </w:pPr>
            <w:r>
              <w:rPr/>
              <w:t>​</w:t>
            </w:r>
          </w:p>
          <w:p>
            <w:pPr>
              <w:pStyle w:val="TableContents"/>
              <w:bidi w:val="0"/>
              <w:spacing w:before="0" w:after="30"/>
              <w:ind w:left="0" w:right="0" w:hanging="0"/>
              <w:jc w:val="left"/>
              <w:rPr/>
            </w:pPr>
            <w:r>
              <w:rPr/>
              <w:t>​</w:t>
            </w:r>
          </w:p>
          <w:p>
            <w:pPr>
              <w:pStyle w:val="TableContents"/>
              <w:bidi w:val="0"/>
              <w:spacing w:before="0" w:after="0"/>
              <w:ind w:left="0" w:right="0" w:hanging="0"/>
              <w:jc w:val="left"/>
              <w:rPr/>
            </w:pPr>
            <w:r>
              <w:rPr/>
              <w:t>​</w:t>
            </w:r>
          </w:p>
        </w:tc>
      </w:tr>
      <w:tr>
        <w:trPr/>
        <w:tc>
          <w:tcPr>
            <w:tcW w:w="2386" w:type="dxa"/>
            <w:tcBorders/>
            <w:vAlign w:val="center"/>
          </w:tcPr>
          <w:p>
            <w:pPr>
              <w:pStyle w:val="TableContents"/>
              <w:bidi w:val="0"/>
              <w:spacing w:before="0" w:after="30"/>
              <w:ind w:left="0" w:right="0" w:hanging="0"/>
              <w:jc w:val="left"/>
              <w:rPr/>
            </w:pPr>
            <w:r>
              <w:rPr/>
              <w:t>​</w:t>
            </w:r>
          </w:p>
        </w:tc>
      </w:tr>
      <w:tr>
        <w:trPr/>
        <w:tc>
          <w:tcPr>
            <w:tcW w:w="2386" w:type="dxa"/>
            <w:tcBorders>
              <w:bottom w:val="single" w:sz="2" w:space="0" w:color="000000"/>
            </w:tcBorders>
            <w:tcMar>
              <w:bottom w:w="28" w:type="dxa"/>
            </w:tcM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Patrick R. Gruber</w:t>
            </w:r>
          </w:p>
        </w:tc>
      </w:tr>
      <w:tr>
        <w:trPr/>
        <w:tc>
          <w:tcPr>
            <w:tcW w:w="23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Patrick R. Gruber</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Chief Executive Officer</w:t>
            </w:r>
          </w:p>
          <w:p>
            <w:pPr>
              <w:pStyle w:val="TableContents"/>
              <w:bidi w:val="0"/>
              <w:spacing w:before="0" w:after="30"/>
              <w:ind w:left="0" w:right="0" w:hanging="0"/>
              <w:jc w:val="center"/>
              <w:rPr>
                <w:rFonts w:ascii="Times New Roman;Times;serif" w:hAnsi="Times New Roman;Times;serif"/>
                <w:b/>
                <w:sz w:val="16"/>
              </w:rPr>
            </w:pPr>
            <w:r>
              <w:rPr>
                <w:rFonts w:ascii="Times New Roman;Times;serif" w:hAnsi="Times New Roman;Times;serif"/>
                <w:b/>
                <w:sz w:val="16"/>
              </w:rPr>
              <w:t>(Principal Executive Officer)</w:t>
            </w:r>
          </w:p>
        </w:tc>
      </w:tr>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1515110" cy="175260"/>
                      <wp:effectExtent l="0" t="0" r="0" b="0"/>
                      <wp:wrapNone/>
                      <wp:docPr id="543" name="Frame543"/>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2"/>
              <w:ind w:left="0" w:right="0" w:hanging="0"/>
              <w:jc w:val="left"/>
              <w:rPr>
                <w:rFonts w:ascii="Times New Roman;Times;serif" w:hAnsi="Times New Roman;Times;serif"/>
                <w:sz w:val="20"/>
              </w:rPr>
            </w:pPr>
            <w:r>
              <w:rPr>
                <w:rFonts w:ascii="Times New Roman;Times;serif" w:hAnsi="Times New Roman;Times;serif"/>
                <w:sz w:val="20"/>
              </w:rPr>
              <w:t>Date: August 11, 2025</w:t>
            </w:r>
          </w:p>
        </w:tc>
      </w:tr>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1515110" cy="175260"/>
                      <wp:effectExtent l="0" t="0" r="0" b="0"/>
                      <wp:wrapNone/>
                      <wp:docPr id="544" name="Frame544"/>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1515110" cy="175260"/>
                      <wp:effectExtent l="0" t="0" r="0" b="0"/>
                      <wp:wrapNone/>
                      <wp:docPr id="545" name="Frame545"/>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w:t>
                            </w:r>
                          </w:p>
                        </w:txbxContent>
                      </v:textbox>
                      <w10:wrap type="none"/>
                    </v:rect>
                  </w:pict>
                </mc:Fallback>
              </mc:AlternateContent>
            </w:r>
          </w:p>
        </w:tc>
      </w:tr>
      <w:tr>
        <w:trPr/>
        <w:tc>
          <w:tcPr>
            <w:tcW w:w="2386" w:type="dxa"/>
            <w:tcBorders>
              <w:bottom w:val="single" w:sz="2" w:space="0" w:color="000000"/>
            </w:tcBorders>
            <w:tcMar>
              <w:bottom w:w="28" w:type="dxa"/>
            </w:tcM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Oluwagbemileke Agiri</w:t>
            </w:r>
          </w:p>
        </w:tc>
      </w:tr>
      <w:tr>
        <w:trPr/>
        <w:tc>
          <w:tcPr>
            <w:tcW w:w="2386" w:type="dxa"/>
            <w:tcBorders>
              <w:top w:val="single" w:sz="2" w:space="0" w:color="000000"/>
            </w:tcBorders>
            <w:tcMar>
              <w:top w:w="28" w:type="dxa"/>
            </w:tcMar>
            <w:vAlign w:val="center"/>
          </w:tcPr>
          <w:p>
            <w:pPr>
              <w:pStyle w:val="TableContents"/>
              <w:bidi w:val="0"/>
              <w:spacing w:before="0" w:after="2"/>
              <w:ind w:left="0" w:right="0" w:hanging="0"/>
              <w:jc w:val="center"/>
              <w:rPr>
                <w:rFonts w:ascii="Times New Roman;Times;serif" w:hAnsi="Times New Roman;Times;serif"/>
                <w:b/>
                <w:sz w:val="16"/>
              </w:rPr>
            </w:pPr>
            <w:r>
              <w:rPr>
                <w:rFonts w:ascii="Times New Roman;Times;serif" w:hAnsi="Times New Roman;Times;serif"/>
                <w:b/>
                <w:sz w:val="16"/>
              </w:rPr>
              <w:t>Oluwagbemileke Agiri</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Chief Financial Officer</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 Accounting Officer)</w:t>
            </w:r>
          </w:p>
        </w:tc>
      </w:tr>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1515110" cy="175260"/>
                      <wp:effectExtent l="0" t="0" r="0" b="0"/>
                      <wp:wrapNone/>
                      <wp:docPr id="546" name="Frame546"/>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2"/>
              <w:ind w:left="0" w:right="0" w:hanging="0"/>
              <w:jc w:val="left"/>
              <w:rPr>
                <w:rFonts w:ascii="Times New Roman;Times;serif" w:hAnsi="Times New Roman;Times;serif"/>
                <w:sz w:val="20"/>
              </w:rPr>
            </w:pPr>
            <w:r>
              <w:rPr>
                <w:rFonts w:ascii="Times New Roman;Times;serif" w:hAnsi="Times New Roman;Times;serif"/>
                <w:sz w:val="20"/>
              </w:rPr>
              <w:t>Date: August 11, 2025</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92380/000143774922004346/ex_337695.htm" TargetMode="External"/><Relationship Id="rId3" Type="http://schemas.openxmlformats.org/officeDocument/2006/relationships/hyperlink" Target="https://www.sec.gov/Archives/edgar/data/1392380/000143774921027382/ex_310252.htm" TargetMode="External"/><Relationship Id="rId4" Type="http://schemas.openxmlformats.org/officeDocument/2006/relationships/hyperlink" Target="https://www.sec.gov/Archives/edgar/data/1392380/000119312511009935/dex41.htm" TargetMode="External"/><Relationship Id="rId5" Type="http://schemas.openxmlformats.org/officeDocument/2006/relationships/hyperlink" Target="https://www.sec.gov/Archives/edgar/data/1392380/000110465925052951/tm2516168d1_ex10-1.htm" TargetMode="External"/><Relationship Id="rId6" Type="http://schemas.openxmlformats.org/officeDocument/2006/relationships/hyperlink" Target="https://www.sec.gov/Archives/edgar/data/1392380/000110465925033249/tm2511037d1_ex10-1.htm" TargetMode="External"/><Relationship Id="rId7" Type="http://schemas.openxmlformats.org/officeDocument/2006/relationships/hyperlink" Target="https://www.sec.gov/Archives/edgar/data/1392380/000110465925065999/tm2519912d1_10-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29045</Words>
  <Characters>162414</Characters>
  <CharactersWithSpaces>193916</CharactersWithSpaces>
  <Paragraphs>8648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