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Gendenjamts Davaajargal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20"/>
        <w:spacing w:after="0" w:line="294" w:lineRule="auto"/>
        <w:rPr>
          <w:sz w:val="20"/>
          <w:szCs w:val="20"/>
          <w:color w:val="auto"/>
        </w:rPr>
      </w:pPr>
      <w:r>
        <w:rPr>
          <w:rFonts w:ascii="Times New Roman" w:cs="Times New Roman" w:eastAsia="Times New Roman" w:hAnsi="Times New Roman"/>
          <w:sz w:val="17"/>
          <w:szCs w:val="17"/>
          <w:color w:val="0000FF"/>
        </w:rPr>
        <w:t>C/O GEVO, INC. 345 INVERNESS DRIVE SOUTH</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BUILDING C, SUITE 310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ENGLEWOOD CO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80112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Gevo,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GEVO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760" w:type="dxa"/>
            <w:vAlign w:val="bottom"/>
            <w:tcBorders>
              <w:bottom w:val="single" w:sz="8" w:color="0000EE"/>
            </w:tcBorders>
          </w:tcPr>
          <w:p>
            <w:pPr>
              <w:spacing w:after="0"/>
              <w:rPr>
                <w:sz w:val="3"/>
                <w:szCs w:val="3"/>
                <w:color w:val="auto"/>
              </w:rPr>
            </w:pPr>
          </w:p>
        </w:tc>
        <w:tc>
          <w:tcPr>
            <w:tcW w:w="28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6"/>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860" w:type="dxa"/>
            <w:vAlign w:val="bottom"/>
            <w:tcBorders>
              <w:bottom w:val="single" w:sz="8" w:color="2C2C2C"/>
            </w:tcBorders>
          </w:tcPr>
          <w:p>
            <w:pPr>
              <w:spacing w:after="0"/>
              <w:rPr>
                <w:sz w:val="7"/>
                <w:szCs w:val="7"/>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VP Acctg and Treasurer</w:t>
            </w:r>
          </w:p>
        </w:tc>
        <w:tc>
          <w:tcPr>
            <w:tcW w:w="0" w:type="dxa"/>
            <w:vAlign w:val="bottom"/>
          </w:tcPr>
          <w:p>
            <w:pPr>
              <w:spacing w:after="0"/>
              <w:rPr>
                <w:sz w:val="1"/>
                <w:szCs w:val="1"/>
                <w:color w:val="auto"/>
              </w:rPr>
            </w:pPr>
          </w:p>
        </w:tc>
      </w:tr>
      <w:tr>
        <w:trPr>
          <w:trHeight w:val="133"/>
        </w:trPr>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12/04/2025</w:t>
            </w:r>
          </w:p>
        </w:tc>
        <w:tc>
          <w:tcPr>
            <w:tcW w:w="2860" w:type="dxa"/>
            <w:vAlign w:val="bottom"/>
          </w:tcPr>
          <w:p>
            <w:pPr>
              <w:spacing w:after="0"/>
              <w:rPr>
                <w:sz w:val="11"/>
                <w:szCs w:val="11"/>
                <w:color w:val="auto"/>
              </w:rPr>
            </w:pPr>
          </w:p>
        </w:tc>
        <w:tc>
          <w:tcPr>
            <w:tcW w:w="3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960" w:type="dxa"/>
            <w:vAlign w:val="bottom"/>
            <w:gridSpan w:val="3"/>
            <w:vMerge w:val="continue"/>
          </w:tcPr>
          <w:p>
            <w:pPr>
              <w:spacing w:after="0"/>
              <w:rPr>
                <w:sz w:val="8"/>
                <w:szCs w:val="8"/>
                <w:color w:val="auto"/>
              </w:rPr>
            </w:pPr>
          </w:p>
        </w:tc>
        <w:tc>
          <w:tcPr>
            <w:tcW w:w="28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86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12/04/2025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2,560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2.3215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60,217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240"/>
              <w:spacing w:after="0" w:line="213" w:lineRule="exact"/>
              <w:rPr>
                <w:sz w:val="20"/>
                <w:szCs w:val="20"/>
                <w:color w:val="auto"/>
              </w:rPr>
            </w:pPr>
            <w:r>
              <w:rPr>
                <w:rFonts w:ascii="Times New Roman" w:cs="Times New Roman" w:eastAsia="Times New Roman" w:hAnsi="Times New Roman"/>
                <w:sz w:val="17"/>
                <w:szCs w:val="17"/>
                <w:color w:val="0000FF"/>
              </w:rPr>
              <w:t>990.42</w:t>
            </w:r>
            <w:r>
              <w:rPr>
                <w:rFonts w:ascii="Times New Roman" w:cs="Times New Roman" w:eastAsia="Times New Roman" w:hAnsi="Times New Roman"/>
                <w:sz w:val="22"/>
                <w:szCs w:val="22"/>
                <w:color w:val="008000"/>
                <w:vertAlign w:val="superscript"/>
              </w:rPr>
              <w:t>(3)</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by the Reporting Person to cover tax withholding obligations upon vesting of a restricted stock award.</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$2.32 to $2.34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Between June 6, 2025 and December 4, 2025, the reporting person disposed of 2.27 shares of the issuer's common stock under the issuer's 401(k) plan to cover administrative fees. The information in this report is based on a plan statement dated November 25, 2025.</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 Cabell Massey,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12/05/2025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5065" TargetMode="External"/><Relationship Id="rId14" Type="http://schemas.openxmlformats.org/officeDocument/2006/relationships/hyperlink" Target="http://www.sec.gov/cgi-bin/browse-edgar?action=getcompany&amp;CIK=00013923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2025-12-05T16:39:12Z</dcterms:created>
  <dcterms:modified xsi:type="dcterms:W3CDTF">2025-12-05T16:39:12Z</dcterms:modified>
</cp:coreProperties>
</file>