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Ellet Mary Kathryn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GEVO, INC. 345 INVERNESS DRIVE SOUTH BUILDING C, SUITE 310</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ENGLEWOOD</w:t>
        <w:tab/>
        <w:t>CO</w:t>
      </w:r>
      <w:r>
        <w:rPr>
          <w:sz w:val="20"/>
          <w:szCs w:val="20"/>
          <w:color w:val="auto"/>
        </w:rPr>
        <w:tab/>
      </w:r>
      <w:r>
        <w:rPr>
          <w:rFonts w:ascii="Times New Roman" w:cs="Times New Roman" w:eastAsia="Times New Roman" w:hAnsi="Times New Roman"/>
          <w:sz w:val="16"/>
          <w:szCs w:val="16"/>
          <w:color w:val="0000FF"/>
        </w:rPr>
        <w:t>80112</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2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05/22/2025</w:t>
            </w: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9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4" w:lineRule="exact"/>
        <w:rPr>
          <w:sz w:val="24"/>
          <w:szCs w:val="24"/>
          <w:color w:val="auto"/>
        </w:rPr>
      </w:pPr>
    </w:p>
    <w:p>
      <w:pPr>
        <w:sectPr>
          <w:pgSz w:w="11900" w:h="16838" w:orient="portrait"/>
          <w:cols w:equalWidth="0" w:num="2">
            <w:col w:w="3680" w:space="1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05/22/2025</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134,517</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05/22/2035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134,517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134,517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that vest on the earlier to occur of (i) the next annual meeting of stockholders or (ii) the first anniversary of the grant date, provided that the reporting person remains in continuous service with the issuer as of the vesting date.</w:t>
      </w:r>
    </w:p>
    <w:p>
      <w:pPr>
        <w:spacing w:after="0" w:line="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E. Cabell Massey,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05/27/2025</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6415"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2025-05-27T17:29:20Z</dcterms:created>
  <dcterms:modified xsi:type="dcterms:W3CDTF">2025-05-27T17:29:20Z</dcterms:modified>
</cp:coreProperties>
</file>