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January 16, 2024</w:t>
      </w:r>
    </w:p>
    <w:p>
      <w:pPr>
        <w:spacing w:after="0" w:line="5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              ​</w:t>
      </w:r>
    </w:p>
    <w:p>
      <w:pPr>
        <w:spacing w:after="0" w:line="1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1905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0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459"/>
        <w:spacing w:after="0" w:line="238"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39370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2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4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ind w:left="4080"/>
        <w:spacing w:after="0"/>
        <w:rPr>
          <w:sz w:val="20"/>
          <w:szCs w:val="20"/>
          <w:color w:val="auto"/>
        </w:rPr>
      </w:pPr>
      <w:r>
        <w:rPr>
          <w:rFonts w:ascii="Times New Roman" w:cs="Times New Roman" w:eastAsia="Times New Roman" w:hAnsi="Times New Roman"/>
          <w:sz w:val="14"/>
          <w:szCs w:val="14"/>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47625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9"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Gevo, Inc.</w:t>
      </w:r>
    </w:p>
    <w:p>
      <w:pPr>
        <w:jc w:val="center"/>
        <w:ind w:right="-49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47625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85" w:lineRule="exact"/>
        <w:rPr>
          <w:sz w:val="24"/>
          <w:szCs w:val="24"/>
          <w:color w:val="auto"/>
        </w:rPr>
      </w:pPr>
    </w:p>
    <w:p>
      <w:pPr>
        <w:ind w:left="500"/>
        <w:spacing w:after="0"/>
        <w:tabs>
          <w:tab w:leader="none" w:pos="2560" w:val="left"/>
          <w:tab w:leader="none" w:pos="5280" w:val="left"/>
          <w:tab w:leader="none" w:pos="7480" w:val="left"/>
          <w:tab w:leader="none" w:pos="1020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13"/>
          <w:szCs w:val="13"/>
          <w:color w:val="auto"/>
        </w:rPr>
        <w:t>​ ​</w:t>
      </w:r>
      <w:r>
        <w:rPr>
          <w:sz w:val="20"/>
          <w:szCs w:val="20"/>
          <w:color w:val="auto"/>
        </w:rPr>
        <w:tab/>
      </w:r>
      <w:r>
        <w:rPr>
          <w:rFonts w:ascii="Times New Roman" w:cs="Times New Roman" w:eastAsia="Times New Roman" w:hAnsi="Times New Roman"/>
          <w:sz w:val="14"/>
          <w:szCs w:val="14"/>
          <w:b w:val="1"/>
          <w:bCs w:val="1"/>
          <w:color w:val="auto"/>
        </w:rPr>
        <w:t>87-0747704</w:t>
      </w:r>
      <w:r>
        <w:rPr>
          <w:sz w:val="20"/>
          <w:szCs w:val="20"/>
          <w:color w:val="auto"/>
        </w:rPr>
        <w:tab/>
      </w:r>
      <w:r>
        <w:rPr>
          <w:rFonts w:ascii="Times New Roman" w:cs="Times New Roman" w:eastAsia="Times New Roman" w:hAnsi="Times New Roman"/>
          <w:sz w:val="13"/>
          <w:szCs w:val="13"/>
          <w:color w:val="auto"/>
        </w:rPr>
        <w:t>​</w:t>
      </w:r>
    </w:p>
    <w:p>
      <w:pPr>
        <w:ind w:left="1540"/>
        <w:spacing w:after="0" w:line="238" w:lineRule="auto"/>
        <w:tabs>
          <w:tab w:leader="none" w:pos="6660" w:val="left"/>
        </w:tabs>
        <w:rPr>
          <w:sz w:val="20"/>
          <w:szCs w:val="20"/>
          <w:color w:val="auto"/>
        </w:rPr>
      </w:pPr>
      <w:r>
        <w:rPr>
          <w:rFonts w:ascii="Times New Roman" w:cs="Times New Roman" w:eastAsia="Times New Roman" w:hAnsi="Times New Roman"/>
          <w:sz w:val="13"/>
          <w:szCs w:val="13"/>
          <w:color w:val="auto"/>
        </w:rPr>
        <w:t>(State or other jurisdiction of incorporation or</w:t>
      </w:r>
      <w:r>
        <w:rPr>
          <w:sz w:val="20"/>
          <w:szCs w:val="20"/>
          <w:color w:val="auto"/>
        </w:rPr>
        <w:tab/>
      </w:r>
      <w:r>
        <w:rPr>
          <w:rFonts w:ascii="Times New Roman" w:cs="Times New Roman" w:eastAsia="Times New Roman" w:hAnsi="Times New Roman"/>
          <w:sz w:val="13"/>
          <w:szCs w:val="13"/>
          <w:color w:val="auto"/>
        </w:rPr>
        <w:t>(I.R.S. Employer Identification Number)</w:t>
      </w:r>
    </w:p>
    <w:p>
      <w:pPr>
        <w:ind w:left="2500"/>
        <w:spacing w:after="0"/>
        <w:rPr>
          <w:sz w:val="20"/>
          <w:szCs w:val="20"/>
          <w:color w:val="auto"/>
        </w:rPr>
      </w:pPr>
      <w:r>
        <w:rPr>
          <w:rFonts w:ascii="Times New Roman" w:cs="Times New Roman" w:eastAsia="Times New Roman" w:hAnsi="Times New Roman"/>
          <w:sz w:val="13"/>
          <w:szCs w:val="13"/>
          <w:color w:val="auto"/>
        </w:rPr>
        <w:t>organization)</w:t>
      </w:r>
    </w:p>
    <w:p>
      <w:pPr>
        <w:spacing w:after="0" w:line="14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345 Inverness Drive South, Building C, Suite 310</w:t>
      </w:r>
    </w:p>
    <w:p>
      <w:pPr>
        <w:jc w:val="center"/>
        <w:ind w:right="-419"/>
        <w:spacing w:after="0" w:line="229" w:lineRule="auto"/>
        <w:rPr>
          <w:sz w:val="20"/>
          <w:szCs w:val="20"/>
          <w:color w:val="auto"/>
        </w:rPr>
      </w:pPr>
      <w:r>
        <w:rPr>
          <w:rFonts w:ascii="Times New Roman" w:cs="Times New Roman" w:eastAsia="Times New Roman" w:hAnsi="Times New Roman"/>
          <w:sz w:val="14"/>
          <w:szCs w:val="14"/>
          <w:b w:val="1"/>
          <w:bCs w:val="1"/>
          <w:color w:val="auto"/>
        </w:rPr>
        <w:t>Englewood Colorado 80112</w:t>
      </w:r>
    </w:p>
    <w:p>
      <w:pPr>
        <w:jc w:val="center"/>
        <w:ind w:right="-459"/>
        <w:spacing w:after="0" w:line="233" w:lineRule="auto"/>
        <w:rPr>
          <w:sz w:val="20"/>
          <w:szCs w:val="20"/>
          <w:color w:val="auto"/>
        </w:rPr>
      </w:pPr>
      <w:r>
        <w:rPr>
          <w:rFonts w:ascii="Times New Roman" w:cs="Times New Roman" w:eastAsia="Times New Roman" w:hAnsi="Times New Roman"/>
          <w:sz w:val="14"/>
          <w:szCs w:val="14"/>
          <w:b w:val="1"/>
          <w:bCs w:val="1"/>
          <w:color w:val="auto"/>
        </w:rPr>
        <w:t>(303) 858-8358</w:t>
      </w:r>
    </w:p>
    <w:p>
      <w:pPr>
        <w:jc w:val="center"/>
        <w:ind w:right="-419"/>
        <w:spacing w:after="0" w:line="194" w:lineRule="auto"/>
        <w:rPr>
          <w:sz w:val="20"/>
          <w:szCs w:val="20"/>
          <w:color w:val="auto"/>
        </w:rPr>
      </w:pPr>
      <w:r>
        <w:rPr>
          <w:rFonts w:ascii="Times New Roman" w:cs="Times New Roman" w:eastAsia="Times New Roman" w:hAnsi="Times New Roman"/>
          <w:sz w:val="13"/>
          <w:szCs w:val="13"/>
          <w:color w:val="auto"/>
        </w:rPr>
        <w:t>(Address, including zip code, and telephone number, including area code, of registrant’s principal executive</w:t>
      </w:r>
    </w:p>
    <w:p>
      <w:pPr>
        <w:jc w:val="center"/>
        <w:ind w:right="-499"/>
        <w:spacing w:after="0"/>
        <w:rPr>
          <w:sz w:val="20"/>
          <w:szCs w:val="20"/>
          <w:color w:val="auto"/>
        </w:rPr>
      </w:pPr>
      <w:r>
        <w:rPr>
          <w:rFonts w:ascii="Times New Roman" w:cs="Times New Roman" w:eastAsia="Times New Roman" w:hAnsi="Times New Roman"/>
          <w:sz w:val="13"/>
          <w:szCs w:val="13"/>
          <w:color w:val="auto"/>
        </w:rPr>
        <w:t>offices)</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34925</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0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Patrick R. Gruber</w:t>
      </w:r>
    </w:p>
    <w:p>
      <w:pPr>
        <w:ind w:left="4660"/>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ind w:left="3920"/>
        <w:spacing w:after="0" w:line="201" w:lineRule="auto"/>
        <w:rPr>
          <w:sz w:val="20"/>
          <w:szCs w:val="20"/>
          <w:color w:val="auto"/>
        </w:rPr>
      </w:pPr>
      <w:r>
        <w:rPr>
          <w:rFonts w:ascii="Times New Roman" w:cs="Times New Roman" w:eastAsia="Times New Roman" w:hAnsi="Times New Roman"/>
          <w:sz w:val="14"/>
          <w:szCs w:val="14"/>
          <w:b w:val="1"/>
          <w:bCs w:val="1"/>
          <w:color w:val="auto"/>
        </w:rPr>
        <w:t>345 Inverness Drive South, Building C, Suite 310</w:t>
      </w:r>
    </w:p>
    <w:p>
      <w:pPr>
        <w:jc w:val="center"/>
        <w:ind w:right="-419"/>
        <w:spacing w:after="0" w:line="222" w:lineRule="auto"/>
        <w:rPr>
          <w:sz w:val="20"/>
          <w:szCs w:val="20"/>
          <w:color w:val="auto"/>
        </w:rPr>
      </w:pPr>
      <w:r>
        <w:rPr>
          <w:rFonts w:ascii="Times New Roman" w:cs="Times New Roman" w:eastAsia="Times New Roman" w:hAnsi="Times New Roman"/>
          <w:sz w:val="14"/>
          <w:szCs w:val="14"/>
          <w:b w:val="1"/>
          <w:bCs w:val="1"/>
          <w:color w:val="auto"/>
        </w:rPr>
        <w:t>Englewood, Colorado 80112</w:t>
      </w:r>
    </w:p>
    <w:p>
      <w:pPr>
        <w:jc w:val="center"/>
        <w:ind w:right="-459"/>
        <w:spacing w:after="0" w:line="221" w:lineRule="auto"/>
        <w:rPr>
          <w:sz w:val="20"/>
          <w:szCs w:val="20"/>
          <w:color w:val="auto"/>
        </w:rPr>
      </w:pPr>
      <w:r>
        <w:rPr>
          <w:rFonts w:ascii="Times New Roman" w:cs="Times New Roman" w:eastAsia="Times New Roman" w:hAnsi="Times New Roman"/>
          <w:sz w:val="14"/>
          <w:szCs w:val="14"/>
          <w:b w:val="1"/>
          <w:bCs w:val="1"/>
          <w:color w:val="auto"/>
        </w:rPr>
        <w:t>(303) 858-8358</w:t>
      </w:r>
    </w:p>
    <w:p>
      <w:pPr>
        <w:jc w:val="center"/>
        <w:ind w:right="-499"/>
        <w:spacing w:after="0"/>
        <w:rPr>
          <w:sz w:val="20"/>
          <w:szCs w:val="20"/>
          <w:color w:val="auto"/>
        </w:rPr>
      </w:pPr>
      <w:r>
        <w:rPr>
          <w:rFonts w:ascii="Times New Roman" w:cs="Times New Roman" w:eastAsia="Times New Roman" w:hAnsi="Times New Roman"/>
          <w:sz w:val="13"/>
          <w:szCs w:val="13"/>
          <w:color w:val="auto"/>
        </w:rPr>
        <w:t>(Name, address, including zip code, and telephone number, including area code, of agent for service)</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47625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i w:val="1"/>
          <w:iCs w:val="1"/>
          <w:color w:val="auto"/>
        </w:rPr>
        <w:t>With a copy to:</w:t>
      </w:r>
    </w:p>
    <w:p>
      <w:pPr>
        <w:spacing w:after="0" w:line="3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Jason Day</w:t>
      </w:r>
    </w:p>
    <w:p>
      <w:pPr>
        <w:jc w:val="center"/>
        <w:ind w:right="-419"/>
        <w:spacing w:after="0" w:line="221" w:lineRule="auto"/>
        <w:rPr>
          <w:sz w:val="20"/>
          <w:szCs w:val="20"/>
          <w:color w:val="auto"/>
        </w:rPr>
      </w:pPr>
      <w:r>
        <w:rPr>
          <w:rFonts w:ascii="Times New Roman" w:cs="Times New Roman" w:eastAsia="Times New Roman" w:hAnsi="Times New Roman"/>
          <w:sz w:val="14"/>
          <w:szCs w:val="14"/>
          <w:b w:val="1"/>
          <w:bCs w:val="1"/>
          <w:color w:val="auto"/>
        </w:rPr>
        <w:t>Ned A. Prusse</w:t>
      </w:r>
    </w:p>
    <w:p>
      <w:pPr>
        <w:ind w:left="4820"/>
        <w:spacing w:after="0" w:line="221" w:lineRule="auto"/>
        <w:rPr>
          <w:sz w:val="20"/>
          <w:szCs w:val="20"/>
          <w:color w:val="auto"/>
        </w:rPr>
      </w:pPr>
      <w:r>
        <w:rPr>
          <w:rFonts w:ascii="Times New Roman" w:cs="Times New Roman" w:eastAsia="Times New Roman" w:hAnsi="Times New Roman"/>
          <w:sz w:val="14"/>
          <w:szCs w:val="14"/>
          <w:b w:val="1"/>
          <w:bCs w:val="1"/>
          <w:color w:val="auto"/>
        </w:rPr>
        <w:t>Perkins Coie LLP</w:t>
      </w:r>
    </w:p>
    <w:p>
      <w:pPr>
        <w:ind w:left="4400"/>
        <w:spacing w:after="0" w:line="202" w:lineRule="auto"/>
        <w:rPr>
          <w:sz w:val="20"/>
          <w:szCs w:val="20"/>
          <w:color w:val="auto"/>
        </w:rPr>
      </w:pPr>
      <w:r>
        <w:rPr>
          <w:rFonts w:ascii="Times New Roman" w:cs="Times New Roman" w:eastAsia="Times New Roman" w:hAnsi="Times New Roman"/>
          <w:sz w:val="14"/>
          <w:szCs w:val="14"/>
          <w:b w:val="1"/>
          <w:bCs w:val="1"/>
          <w:color w:val="auto"/>
        </w:rPr>
        <w:t>1900 Sixteenth Street, Suite 1400</w:t>
      </w:r>
    </w:p>
    <w:p>
      <w:pPr>
        <w:ind w:left="4640"/>
        <w:spacing w:after="0" w:line="221" w:lineRule="auto"/>
        <w:rPr>
          <w:sz w:val="20"/>
          <w:szCs w:val="20"/>
          <w:color w:val="auto"/>
        </w:rPr>
      </w:pPr>
      <w:r>
        <w:rPr>
          <w:rFonts w:ascii="Times New Roman" w:cs="Times New Roman" w:eastAsia="Times New Roman" w:hAnsi="Times New Roman"/>
          <w:sz w:val="14"/>
          <w:szCs w:val="14"/>
          <w:b w:val="1"/>
          <w:bCs w:val="1"/>
          <w:color w:val="auto"/>
        </w:rPr>
        <w:t>Denver, Colorado 80202</w:t>
      </w:r>
    </w:p>
    <w:p>
      <w:pPr>
        <w:ind w:left="4940"/>
        <w:spacing w:after="0"/>
        <w:rPr>
          <w:sz w:val="20"/>
          <w:szCs w:val="20"/>
          <w:color w:val="auto"/>
        </w:rPr>
      </w:pPr>
      <w:r>
        <w:rPr>
          <w:rFonts w:ascii="Times New Roman" w:cs="Times New Roman" w:eastAsia="Times New Roman" w:hAnsi="Times New Roman"/>
          <w:sz w:val="14"/>
          <w:szCs w:val="14"/>
          <w:b w:val="1"/>
          <w:bCs w:val="1"/>
          <w:color w:val="auto"/>
        </w:rPr>
        <w:t>(303) 291-2300</w:t>
      </w:r>
    </w:p>
    <w:p>
      <w:pPr>
        <w:spacing w:after="0" w:line="37"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44" w:lineRule="exact"/>
        <w:rPr>
          <w:sz w:val="24"/>
          <w:szCs w:val="24"/>
          <w:color w:val="auto"/>
        </w:rPr>
      </w:pPr>
    </w:p>
    <w:p>
      <w:pPr>
        <w:ind w:left="500" w:right="520" w:firstLine="360"/>
        <w:spacing w:after="0" w:line="180"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85" w:lineRule="exact"/>
        <w:rPr>
          <w:sz w:val="24"/>
          <w:szCs w:val="24"/>
          <w:color w:val="auto"/>
        </w:rPr>
      </w:pPr>
    </w:p>
    <w:p>
      <w:pPr>
        <w:ind w:left="500" w:right="260" w:firstLine="360"/>
        <w:spacing w:after="0" w:line="180"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26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40" w:firstLine="360"/>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 w:lineRule="exact"/>
        <w:rPr>
          <w:sz w:val="24"/>
          <w:szCs w:val="24"/>
          <w:color w:val="auto"/>
        </w:rPr>
      </w:pPr>
    </w:p>
    <w:p>
      <w:pPr>
        <w:ind w:left="500" w:right="220" w:firstLine="360"/>
        <w:spacing w:after="0" w:line="180"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6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40" w:firstLine="360"/>
        <w:spacing w:after="0" w:line="23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Rule 12b-2 of the Exchange Act.</w:t>
      </w:r>
    </w:p>
    <w:p>
      <w:pPr>
        <w:spacing w:after="0" w:line="21" w:lineRule="exact"/>
        <w:rPr>
          <w:sz w:val="24"/>
          <w:szCs w:val="24"/>
          <w:color w:val="auto"/>
        </w:rPr>
      </w:pPr>
    </w:p>
    <w:tbl>
      <w:tblPr>
        <w:tblLayout w:type="fixed"/>
        <w:tblInd w:w="860" w:type="dxa"/>
        <w:tblCellMar>
          <w:top w:w="0" w:type="dxa"/>
          <w:left w:w="0" w:type="dxa"/>
          <w:bottom w:w="0" w:type="dxa"/>
          <w:right w:w="0" w:type="dxa"/>
        </w:tblCellMar>
      </w:tblPr>
      <w:tr>
        <w:trPr>
          <w:trHeight w:val="176"/>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58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134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filer</w:t>
            </w:r>
          </w:p>
        </w:tc>
        <w:tc>
          <w:tcPr>
            <w:tcW w:w="14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106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vMerge w:val="restart"/>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1340" w:type="dxa"/>
            <w:vAlign w:val="bottom"/>
          </w:tcPr>
          <w:p>
            <w:pPr>
              <w:ind w:left="1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440" w:type="dxa"/>
            <w:vAlign w:val="bottom"/>
            <w:vMerge w:val="restart"/>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106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
        </w:trPr>
        <w:tc>
          <w:tcPr>
            <w:tcW w:w="1540" w:type="dxa"/>
            <w:vAlign w:val="bottom"/>
          </w:tcPr>
          <w:p>
            <w:pPr>
              <w:spacing w:after="0" w:line="27" w:lineRule="exact"/>
              <w:rPr>
                <w:sz w:val="20"/>
                <w:szCs w:val="20"/>
                <w:color w:val="auto"/>
              </w:rPr>
            </w:pPr>
            <w:r>
              <w:rPr>
                <w:rFonts w:ascii="Times New Roman" w:cs="Times New Roman" w:eastAsia="Times New Roman" w:hAnsi="Times New Roman"/>
                <w:sz w:val="3"/>
                <w:szCs w:val="3"/>
                <w:color w:val="auto"/>
              </w:rPr>
              <w:t>Non-accelerated filer</w:t>
            </w:r>
          </w:p>
        </w:tc>
        <w:tc>
          <w:tcPr>
            <w:tcW w:w="1580" w:type="dxa"/>
            <w:vAlign w:val="bottom"/>
            <w:vMerge w:val="continue"/>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44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106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bl>
    <w:p>
      <w:pPr>
        <w:spacing w:after="0" w:line="154" w:lineRule="exact"/>
        <w:rPr>
          <w:sz w:val="24"/>
          <w:szCs w:val="24"/>
          <w:color w:val="auto"/>
        </w:rPr>
      </w:pPr>
    </w:p>
    <w:p>
      <w:pPr>
        <w:ind w:left="500" w:right="140" w:firstLine="36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4" w:lineRule="exact"/>
        <w:rPr>
          <w:sz w:val="24"/>
          <w:szCs w:val="24"/>
          <w:color w:val="auto"/>
        </w:rPr>
      </w:pPr>
    </w:p>
    <w:p>
      <w:pPr>
        <w:ind w:left="500" w:right="80" w:firstLine="360"/>
        <w:spacing w:after="0" w:line="255"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 (a) of the Securities Act or until the registration statement shall become effective on such date as the U.S. Securities and Exchange Commission (the “SEC”), acting pursuant to said Section 8 (a),</w:t>
      </w:r>
    </w:p>
    <w:p>
      <w:pPr>
        <w:spacing w:after="0" w:line="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may determine.</w:t>
      </w:r>
    </w:p>
    <w:p>
      <w:pPr>
        <w:spacing w:after="0" w:line="24" w:lineRule="exact"/>
        <w:rPr>
          <w:sz w:val="24"/>
          <w:szCs w:val="24"/>
          <w:color w:val="auto"/>
        </w:rPr>
      </w:pPr>
    </w:p>
    <w:p>
      <w:pPr>
        <w:ind w:left="500" w:right="300" w:firstLine="360"/>
        <w:spacing w:after="0" w:line="263" w:lineRule="auto"/>
        <w:rPr>
          <w:sz w:val="20"/>
          <w:szCs w:val="20"/>
          <w:color w:val="auto"/>
        </w:rPr>
      </w:pPr>
      <w:r>
        <w:rPr>
          <w:rFonts w:ascii="Times New Roman" w:cs="Times New Roman" w:eastAsia="Times New Roman" w:hAnsi="Times New Roman"/>
          <w:sz w:val="13"/>
          <w:szCs w:val="13"/>
          <w:b w:val="1"/>
          <w:bCs w:val="1"/>
          <w:color w:val="auto"/>
        </w:rPr>
        <w:t>Pursuant to Rule 415(a)(6), the securities being registered hereunder include $500,000,000 of unsold securities which remain unsold as of the date hereof (collectively, the “Unsold Securities”) previously registered by the registrant’s registration statement on Form S-3ASR (File No. 252229), which was originally filed</w:t>
      </w:r>
    </w:p>
    <w:p>
      <w:pPr>
        <w:spacing w:after="0" w:line="1" w:lineRule="exact"/>
        <w:rPr>
          <w:sz w:val="24"/>
          <w:szCs w:val="24"/>
          <w:color w:val="auto"/>
        </w:rPr>
      </w:pPr>
    </w:p>
    <w:p>
      <w:pPr>
        <w:jc w:val="both"/>
        <w:ind w:left="500" w:right="60"/>
        <w:spacing w:after="0" w:line="245" w:lineRule="auto"/>
        <w:rPr>
          <w:sz w:val="20"/>
          <w:szCs w:val="20"/>
          <w:color w:val="auto"/>
        </w:rPr>
      </w:pPr>
      <w:r>
        <w:rPr>
          <w:rFonts w:ascii="Times New Roman" w:cs="Times New Roman" w:eastAsia="Times New Roman" w:hAnsi="Times New Roman"/>
          <w:sz w:val="13"/>
          <w:szCs w:val="13"/>
          <w:b w:val="1"/>
          <w:bCs w:val="1"/>
          <w:color w:val="auto"/>
        </w:rPr>
        <w:t>with the SEC on January 19, 2021, amended by Post-Effective Amendment No. 1 to Form S-3ASR on March 9, 2023 and again by Post-Effective Amendment No. 2 to Form S-3 on March 9, 2023, which amendment was declared effective on April 11, 2023 (collectively, the “Prior Registration Statement”). The aggregate filing fee paid in connection with such Unsold Securities was $55,100. Pursuant to Rule 415(a)(6) under the Securities Act, (i) the registration fee applicable to the Unsold Securities is</w:t>
      </w:r>
    </w:p>
    <w:p>
      <w:pPr>
        <w:spacing w:after="0" w:line="1" w:lineRule="exact"/>
        <w:rPr>
          <w:sz w:val="24"/>
          <w:szCs w:val="24"/>
          <w:color w:val="auto"/>
        </w:rPr>
      </w:pPr>
    </w:p>
    <w:p>
      <w:pPr>
        <w:ind w:left="500" w:right="120"/>
        <w:spacing w:after="0" w:line="245" w:lineRule="auto"/>
        <w:rPr>
          <w:sz w:val="20"/>
          <w:szCs w:val="20"/>
          <w:color w:val="auto"/>
        </w:rPr>
      </w:pPr>
      <w:r>
        <w:rPr>
          <w:rFonts w:ascii="Times New Roman" w:cs="Times New Roman" w:eastAsia="Times New Roman" w:hAnsi="Times New Roman"/>
          <w:sz w:val="13"/>
          <w:szCs w:val="13"/>
          <w:b w:val="1"/>
          <w:bCs w:val="1"/>
          <w:color w:val="auto"/>
        </w:rPr>
        <w:t>being carried forward to this registration statement and will continue to be applied to the Unsold Securities, and (ii) the offering of the Unsold Securities registered on the Prior Registration Statement will be deemed terminated as of the date of effectiveness of this registration statement. If the registrant sells any of the Unsold Securities pursuant to the Prior Registration Statement after the date of the initial filing, and prior to the date of effectiveness, of this registration statement, the</w:t>
      </w:r>
    </w:p>
    <w:p>
      <w:pPr>
        <w:spacing w:after="0" w:line="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registrant will file a pre-effective amendment to this registration statement, which will reduce the number of Unsold Securities included on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55245</wp:posOffset>
            </wp:positionV>
            <wp:extent cx="61893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registration statement contains two prospectuses:</w:t>
      </w:r>
    </w:p>
    <w:p>
      <w:pPr>
        <w:spacing w:after="0" w:line="117" w:lineRule="exact"/>
        <w:rPr>
          <w:sz w:val="20"/>
          <w:szCs w:val="20"/>
          <w:color w:val="auto"/>
        </w:rPr>
      </w:pPr>
    </w:p>
    <w:p>
      <w:pPr>
        <w:jc w:val="both"/>
        <w:ind w:left="1800" w:right="419" w:hanging="180"/>
        <w:spacing w:after="0" w:line="266"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which covers the offer, issuance and sale of up to an aggregate of $750.0 million of the registrant’s common stock, preferred stock, debt securities, depositary shares, warrants, purchase contracts and units; and</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“at-the-market offering” prospectus supplement covering the offering, issuance and sale by the registrant of up to a maximum aggregate offering price of $500.0 million of the Company’s common stock that may be issued and sold under an At The Market Offering Agreement (the “Sales Agreement”), dated January 16, 2024, with H.C. Wainwright &amp; Co., LLC.</w:t>
      </w:r>
    </w:p>
    <w:p>
      <w:pPr>
        <w:spacing w:after="0" w:line="112"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other securities to be offered pursuant to the base prospectus will be specified in one or more prospectus supplements to the base prospectus. The at-the-market offering agreement prospectus immediately follows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6158865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b w:val="1"/>
          <w:bCs w:val="1"/>
          <w:color w:val="FC0014"/>
        </w:rPr>
        <w:t>The information in this preliminary prospectus is not complete and may be changed. We may not sell these securities until the U.S. Securities and Exchange Commission declares our registration statement effective. This preliminary prospectus is not an offer to sell these securities and we are not soliciting offers to buy these securities in any state or jurisdiction where the offer or sale is not permitted.</w:t>
      </w:r>
    </w:p>
    <w:p>
      <w:pPr>
        <w:spacing w:after="0" w:line="13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FC0014"/>
        </w:rPr>
        <w:t>SUBJECT TO COMPLETION, DATED JANUARY 16, 2024</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2514600</wp:posOffset>
            </wp:positionH>
            <wp:positionV relativeFrom="paragraph">
              <wp:posOffset>457200</wp:posOffset>
            </wp:positionV>
            <wp:extent cx="178308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Gevo, Inc.</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5"/>
          <w:szCs w:val="25"/>
          <w:b w:val="1"/>
          <w:bCs w:val="1"/>
          <w:color w:val="auto"/>
        </w:rPr>
        <w:t>$750,000,000</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Preferred Stock</w:t>
      </w:r>
    </w:p>
    <w:p>
      <w:pPr>
        <w:jc w:val="center"/>
        <w:ind w:right="-780"/>
        <w:spacing w:after="0" w:line="236" w:lineRule="auto"/>
        <w:rPr>
          <w:sz w:val="20"/>
          <w:szCs w:val="20"/>
          <w:color w:val="auto"/>
        </w:rPr>
      </w:pPr>
      <w:r>
        <w:rPr>
          <w:rFonts w:ascii="Times New Roman" w:cs="Times New Roman" w:eastAsia="Times New Roman" w:hAnsi="Times New Roman"/>
          <w:sz w:val="25"/>
          <w:szCs w:val="25"/>
          <w:b w:val="1"/>
          <w:bCs w:val="1"/>
          <w:color w:val="auto"/>
        </w:rPr>
        <w:t>Debt Securities</w:t>
      </w:r>
    </w:p>
    <w:p>
      <w:pPr>
        <w:jc w:val="center"/>
        <w:ind w:right="-780"/>
        <w:spacing w:after="0" w:line="226" w:lineRule="auto"/>
        <w:rPr>
          <w:sz w:val="20"/>
          <w:szCs w:val="20"/>
          <w:color w:val="auto"/>
        </w:rPr>
      </w:pPr>
      <w:r>
        <w:rPr>
          <w:rFonts w:ascii="Times New Roman" w:cs="Times New Roman" w:eastAsia="Times New Roman" w:hAnsi="Times New Roman"/>
          <w:sz w:val="25"/>
          <w:szCs w:val="25"/>
          <w:b w:val="1"/>
          <w:bCs w:val="1"/>
          <w:color w:val="auto"/>
        </w:rPr>
        <w:t>Depositary Shares</w:t>
      </w:r>
    </w:p>
    <w:p>
      <w:pPr>
        <w:jc w:val="center"/>
        <w:ind w:right="-780"/>
        <w:spacing w:after="0" w:line="236" w:lineRule="auto"/>
        <w:rPr>
          <w:sz w:val="20"/>
          <w:szCs w:val="20"/>
          <w:color w:val="auto"/>
        </w:rPr>
      </w:pPr>
      <w:r>
        <w:rPr>
          <w:rFonts w:ascii="Times New Roman" w:cs="Times New Roman" w:eastAsia="Times New Roman" w:hAnsi="Times New Roman"/>
          <w:sz w:val="25"/>
          <w:szCs w:val="25"/>
          <w:b w:val="1"/>
          <w:bCs w:val="1"/>
          <w:color w:val="auto"/>
        </w:rPr>
        <w:t>Warrants</w:t>
      </w:r>
    </w:p>
    <w:p>
      <w:pPr>
        <w:jc w:val="center"/>
        <w:ind w:right="-780"/>
        <w:spacing w:after="0" w:line="237" w:lineRule="auto"/>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217170</wp:posOffset>
            </wp:positionV>
            <wp:extent cx="1234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from time to time in one or more offerings. The specific terms of the securities, including their offering prices, will be contained in one or more supplements to this prospectus. You should read this prospectus and any prospectus supplement carefully before you invest. The securities may be sold to or through one or more underwriters, dealers or agents, or directly to investors, on a continuous or delayed basis. See “Plan of Distribution.”</w:t>
      </w:r>
    </w:p>
    <w:p>
      <w:pPr>
        <w:spacing w:after="0" w:line="96"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“GEVO.” On January 12, 2024, the last reported sales price of our common stock on the Nasdaq Capital Market was $1.02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157480</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5" w:lineRule="exact"/>
        <w:rPr>
          <w:sz w:val="20"/>
          <w:szCs w:val="20"/>
          <w:color w:val="auto"/>
        </w:rPr>
      </w:pPr>
    </w:p>
    <w:p>
      <w:pPr>
        <w:ind w:left="1260" w:right="1139" w:firstLine="360"/>
        <w:spacing w:after="0" w:line="301"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See “</w:t>
      </w:r>
      <w:r>
        <w:rPr>
          <w:rFonts w:ascii="Times New Roman" w:cs="Times New Roman" w:eastAsia="Times New Roman" w:hAnsi="Times New Roman"/>
          <w:sz w:val="17"/>
          <w:szCs w:val="17"/>
          <w:b w:val="1"/>
          <w:bCs w:val="1"/>
          <w:u w:val="single" w:color="auto"/>
          <w:color w:val="auto"/>
        </w:rPr>
        <w:t>Risk Factors</w:t>
      </w:r>
      <w:r>
        <w:rPr>
          <w:rFonts w:ascii="Times New Roman" w:cs="Times New Roman" w:eastAsia="Times New Roman" w:hAnsi="Times New Roman"/>
          <w:sz w:val="17"/>
          <w:szCs w:val="17"/>
          <w:b w:val="1"/>
          <w:bCs w:val="1"/>
          <w:color w:val="auto"/>
        </w:rPr>
        <w:t xml:space="preserve">” on page </w:t>
      </w:r>
      <w:r>
        <w:rPr>
          <w:rFonts w:ascii="Times New Roman" w:cs="Times New Roman" w:eastAsia="Times New Roman" w:hAnsi="Times New Roman"/>
          <w:sz w:val="17"/>
          <w:szCs w:val="17"/>
          <w:b w:val="1"/>
          <w:bCs w:val="1"/>
          <w:u w:val="single" w:color="auto"/>
          <w:color w:val="0000EE"/>
        </w:rPr>
        <w:t>3</w:t>
      </w:r>
      <w:r>
        <w:rPr>
          <w:rFonts w:ascii="Times New Roman" w:cs="Times New Roman" w:eastAsia="Times New Roman" w:hAnsi="Times New Roman"/>
          <w:sz w:val="17"/>
          <w:szCs w:val="17"/>
          <w:b w:val="1"/>
          <w:bCs w:val="1"/>
          <w:color w:val="auto"/>
        </w:rPr>
        <w:t xml:space="preserve"> of this prospectus, and any applicable prospectus supplement, and in the documents that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140335</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4" w:lineRule="exact"/>
        <w:rPr>
          <w:sz w:val="20"/>
          <w:szCs w:val="20"/>
          <w:color w:val="auto"/>
        </w:rPr>
      </w:pPr>
    </w:p>
    <w:p>
      <w:pPr>
        <w:ind w:left="1260" w:right="49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170180</wp:posOffset>
            </wp:positionV>
            <wp:extent cx="123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b w:val="1"/>
          <w:bCs w:val="1"/>
          <w:color w:val="auto"/>
        </w:rPr>
        <w:t>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DEBT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WARRANTS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PURCHASE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UNITS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INFORMATION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prospectus is part of a registration statement on Form S-3 under the Securities Act of 1933, as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amended (the “Securities Act”), that we filed with the Securities and Exchange Commission (“SEC”) using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“shelf” registration process. Under this shelf registration process, we may offer and sell any combination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the securities described in this prospectus in one or more offerings up to a total dollar amount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$750,000,000. This prospectus provides you with a general description of the securities we may offer. Each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time we offer the securities described in this prospectus, we will provide you with a prospectus supplement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that will describe the specific amounts, prices and terms of the securities being offered. We may also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authorize one or more free writing prospectuses to be provided to you that may contain material information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relating to these offerings. The prospectus supplement or free writing prospectuses may also add, update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change information contained in this prospectus with respect to that offering. If there is any inconsistency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between the information in this prospectus and the applicable prospectus supplement or free writing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 you should rely on the prospectus supplement or free writing prospectus, as applicable. This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prospectus does not contain all the information provided in the registration statement filed with the SEC.</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 should carefully read both this prospectus and any prospectus supplement (and any applicable free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writing prospectuses) together with the additional information described below under “Where You Can Find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More Information” and “Information Incorporated By Reference” before you make an investment decision.</w:t>
      </w:r>
    </w:p>
    <w:p>
      <w:pPr>
        <w:spacing w:after="0" w:line="139"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or in any prospectus supplement or free writing prospectus prepared by or on behalf of us or to which we have referred you. We take no responsibility for, and can provide no assurance as to the reliability of, any other information that others may give you.</w:t>
      </w:r>
    </w:p>
    <w:p>
      <w:pPr>
        <w:spacing w:after="0" w:line="9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and the applicable prospectus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Any statement made in this prospectus or in a document incorporated or deemed to be incorporated by reference in this prospectus will be deemed to be modified or superseded for purposes of this prospectus to the extent that a statement contained in a prospectus supplement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 See “Information Incorporated By Reference.”</w:t>
      </w:r>
    </w:p>
    <w:p>
      <w:pPr>
        <w:spacing w:after="0" w:line="343"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This prospectus and any accompanying prospectus supplements may include trademarks, service marks and trade names owned by us or other companies. All trademarks, service marks and trade names included in this prospectus or any accompanying prospectus supplement are the property of their respective owners.</w:t>
      </w:r>
    </w:p>
    <w:p>
      <w:pPr>
        <w:spacing w:after="0" w:line="10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“we,” “us,” “our,” the “Company” and “Gevo” refer to Gevo, Inc., a Delaware corporation, and its consolidated subsidiaries. The term “you” refers to a prospective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Certain statements in this prospectus, any prospectus supplement and the documents incorporated herein by reference include “forward-looking statements” within the meaning of the Private Securities Litigation Reform Act of 1995, Section 27A of the Securities Act and Section 21E of the Securities Exchange Act of 1934, as amended (the “Exchange Act”).</w:t>
      </w:r>
    </w:p>
    <w:p>
      <w:pPr>
        <w:spacing w:after="0" w:line="112"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When used in this prospectus, any accompanying prospectus supplement and the documents incorporated by reference herein,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our financial condition, our results of operation and liquidity, our ability to finance, develop, and construct our Net-Zero Projects, a series of planned facilities to produce energy dense liquid hydrocarbons using renewable energy and our proprietary technology, as well as other growth projects, our ability to produce our products, our ability to meet production, financial and operational guidance, our ability to generate revenue from our executed contracts, our strategy to pursue low-carbon or “net-zero” carbon renewable fuels for sale into California and elsewhere, our ability to replace our fossil-based energy sources with renewable energy sources at our Net-Zero Projects and elsewhere, our ability and plans to construct greenfield commercial hydrocarbon facilities to produce sustainable aviation fuel (“SAF”) and other products, our ability to raise additional funds to finance our business, our ability to perform under our existing offtake agreements and other sales agreements we may enter into in the future, our ability to successfully operate our renewable natural gas project in Iowa, our ability to produce renewable hydrocarbon products at a commercial level and at a profit, the availability of, and market prices for, government economic incentives to the renewable energy market, achievement of advances in our technology platform, the availability of suitable and cost-competitive feedstocks, our ability to gain market acceptance for our products, the expected cost-competitiveness and relative performance attributes of our products, our strategy to pursue alcohol-to-SAF development and production, additional competition and changes in economic conditions and the future price and volatility of petroleum and products derived from petroleum.</w:t>
      </w:r>
    </w:p>
    <w:p>
      <w:pPr>
        <w:spacing w:after="0" w:line="200" w:lineRule="exact"/>
        <w:rPr>
          <w:sz w:val="20"/>
          <w:szCs w:val="20"/>
          <w:color w:val="auto"/>
        </w:rPr>
      </w:pPr>
    </w:p>
    <w:p>
      <w:pPr>
        <w:spacing w:after="0" w:line="35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Important factors could cause actual results to differ materially from those indicated or implied by forward-looking statements such as those contained in documents we have filed with the SEC, including, but not limited to, those in the sections entitled “Risk Factors” and “Management’s Discussion and Analysis of Financial Condition and Results of Operations” in the documents incorporated by reference herein, and the section entitled “Risk Factors” of this prospectus and any accompanying prospectus supplement. All forward-looking statements in this prospectus, any accompanying prospectus supplement and the documents incorporated by reference herein are qualified entirely by the cautionary statements included in this prospectus, any accompanying prospectus supplement and the documents incorporated by reference herein. These risks and uncertainties or other important factors could cause actual results to differ materially from results expressed or implied by forward-looking statements contained in this prospectus supplement, the accompanying prospectus and the documents incorporated by reference herein. These forward-looking statements speak only as of the date made. Except as required by applicable law, we undertake no intention or obligation to update or revise any forward-looking statements, whether as a result of new information, future events or otherwise, and you should not rely on the forward-looking statements as representing our views as of any date subsequent to the date such statement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risks. You should carefully consider the risks described in the sections entitled “Risk Factors” in any prospectus supplement and those set forth in documents incorporated by reference in this prospectus and any applicable prospectus supplement, as well as other information in this prospectus and any applicable prospectus supplement, before purchasing any of our securities. Each of the risks described in these sections and documents could materially and adversely affect our business, financial condition, results of operations and prospects, and could result in a loss of your investment. Additional risks and uncertainties not known to us or that we deem immaterial may also impair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are a growth-oriented company with the mission of solving greenhouse gas (“GHG”) emissions for those sectors of the transportation industry that are not amenable to electrification or hydrogen.</w:t>
      </w:r>
    </w:p>
    <w:p>
      <w:pPr>
        <w:spacing w:after="0" w:line="9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focused on transforming renewable energy into energy-dense liquid drop-in hydrocarbons that can be used as renewable fuels, such as sustainable aviation fuel (“SAF”) and other fuels and chemicals, with the potential to achieve a “net-zero” GHG, or even carbon negative footprint measured by the Argonne National Laboratory’s GREET (Greenhouse gases, Regulated Emissions, and Energy use in Transportation) model to measure, predict and verify GHG emissions across the life-cycle. Our “net-zero” concept means production of drop-in hydrocarbon fuels by using sustainably grown feedstocks (e.g., low till, no-till and dry corn cultivation), renewable and substantially decarbonized energy sources, resulting in a net-zero carbon footprint from the full life cycle of the fuel measured from the capture of renewable carbon through the burning of the fuel.</w:t>
      </w:r>
    </w:p>
    <w:p>
      <w:pPr>
        <w:spacing w:after="0" w:line="32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Our primary market focus, given current demand and growing customer interest, is SAF. We believe that SAF from carbohydrates to alcohol is the most economically viable approach for carbon abatement. We also have commercial opportunities for other renewable hydrocarbon products, such as (i) renewable natural gas, also known as biogas or RNG, (ii) hydrocarbons for gasoline blendstocks and diesel fuel, and</w:t>
      </w:r>
    </w:p>
    <w:p>
      <w:pPr>
        <w:spacing w:after="0" w:line="3" w:lineRule="exact"/>
        <w:rPr>
          <w:sz w:val="20"/>
          <w:szCs w:val="20"/>
          <w:color w:val="auto"/>
        </w:rPr>
      </w:pPr>
    </w:p>
    <w:p>
      <w:pPr>
        <w:ind w:left="1260" w:right="459"/>
        <w:spacing w:after="0" w:line="252" w:lineRule="auto"/>
        <w:tabs>
          <w:tab w:leader="none" w:pos="159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plastics, materials and other chemicals. We are engaged in technology, process and intellectual property development targeted to large scale deployment of net-zero hydrocarbon fuels and chemicals. We are developing the marketplace and customers for SAF and other related products. We also are engaged as a developer and enabler/licensor for large scale commercial production, and we expect to be a co-investor on certain projects. our business model is that of a developer of projects, a licensor, process technology developer, and operator of certain assets in the future.</w:t>
      </w:r>
    </w:p>
    <w:p>
      <w:pPr>
        <w:spacing w:after="0" w:line="122" w:lineRule="exact"/>
        <w:rPr>
          <w:sz w:val="20"/>
          <w:szCs w:val="20"/>
          <w:color w:val="auto"/>
        </w:rPr>
      </w:pPr>
    </w:p>
    <w:p>
      <w:pPr>
        <w:jc w:val="both"/>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June 2005 under the name Methanotech, Inc. and filed an amendment to our certificate of incorporation changing our name to Gevo, Inc. on March 29, 2006.</w:t>
      </w:r>
    </w:p>
    <w:p>
      <w:pPr>
        <w:spacing w:after="0" w:line="94"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345 Inverness Drive South, Building C, Suite 310, Englewood, CO 80112, and our telephone number is (303) 858-8358. We maintain an Internet website at www.gevo.com. Information contained on our website is not incorporated by reference in this prospectus and you should not consider information contained on our website as part of this prospectus or any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the net proceeds from the sale of any securities offered by us under this prospectus for general corporate purposes, which may include, among others, repayment or refinancing of debt, acquisitions, working capital, capital expenditures, and repurchases or redemptions of securities. We will retain broad discretion over the allocation of net proceeds from the sale of any securities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is intended as a summary only. This description is based upon, and is qualified by reference to, our amended and restated certificate of incorporation, as amended, our second amended and restated bylaws, and the applicable provisions of the General Corporation Law of the State of Delaware (“DGCL”). This summary is not complete. You should read our amended and restated certificate of incorporation and second amended and restated bylaws, each of which is filed as an exhibit to the registration statement of which this prospectus forms a part, for the provisions that are important to you.</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and Outstanding Capital Stock</w:t>
      </w:r>
    </w:p>
    <w:p>
      <w:pPr>
        <w:spacing w:after="0" w:line="162"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500,000,000 shares of common stock, par value $0.01 per share, and 10,000,000 shares of preferred stock, par value $0.01 per share, issuable in one or more series designated by our board of directors. As of January 10, 2024, there were 240,499,833 shares of common stock and no shares of preferred stock outstanding.</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holders of our common stock have one vote per share. Holders of common stock are not entitled to vote cumulatively for the election of directors. Generally, all matters to be voted on by stockholders must be approved by a majority, or, in the case of election of directors, by a plurality, of the votes cast at a meeting at which a quorum is present, voting together as a single class, subject to any voting rights granted to holders of any then outstanding preferred stock. Subject to preferences that may be applicable to any then outstanding preferred stock, holders of our common stock are entitled to participate equally in dividends when and as dividends may be declared by our board of directors out of funds legally available for the payment of dividends. In the event of our voluntary or involuntary liquidation, dissolution or winding up, the prior rights of our creditors and the liquidation preference of any preferred stock then outstanding must first be satisfied. The holders of common stock will be entitled to share in the remaining assets on a pro rata basis. No shares of common stock are subject to redemption or have redemptive rights to purchase additional shares of common stock.</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we may issue shares of preferred stock from time to time in one or more series. Our board of directors is authorized to fix the voting rights, if any, designations, powers, preferences, qualifications, limitations and restrictions thereof, applicable to the shares of each series of preferred stock. Our board of directors may, without stockholder approval, issue preferred stock with voting and other rights that could adversely affect the voting power and other rights of the holders of our common stock, including the likelihood that such holders will receive dividend payments and payments upon liquidation, and could have anti-takeover effects, including preferred stock or rights to acquire preferred stock in connection with implementing a stockholder rights plan. The ability of our board of directors to issue preferred stock without stockholder approval could have the effect of delaying, deferring or preventing a change of control or the removal of our existing management. There are currently no shares of preferred stock outstanding.</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Anti-Takeover Effects of Certain Provisions of Our Certificate of Incorporation, Bylaws and Delaware Law</w:t>
      </w:r>
    </w:p>
    <w:p>
      <w:pPr>
        <w:spacing w:after="0" w:line="173"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DGCL, our amended and restated certificate of incorporation, and our second amended and restated bylaws contain provisions that could discourage or make more difficult a change in control of us, including an acquisition of us by means of a tender offer, a proxy contest and removal of our incumbent officers and directors, without the support of our board of directors. A summary of these provisions follows.</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Statutory Business Combination Provision</w:t>
      </w:r>
    </w:p>
    <w:p>
      <w:pPr>
        <w:spacing w:after="0" w:line="146"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which, subject to certain exceptions, prohibits a Delaware corporation from engaging in any “business combination” with an “interested stockholder” for a period of three years following the time that such stockholder became an interested stockholder, unless: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approves either the business combination or the transaction that resulted in the stockholder becoming an interested stockholder, prior to the time the interested stockholder attained that status;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295" w:lineRule="exact"/>
        <w:rPr>
          <w:rFonts w:ascii="Times New Roman" w:cs="Times New Roman" w:eastAsia="Times New Roman" w:hAnsi="Times New Roman"/>
          <w:sz w:val="18"/>
          <w:szCs w:val="18"/>
          <w:color w:val="auto"/>
        </w:rPr>
      </w:pPr>
    </w:p>
    <w:p>
      <w:pPr>
        <w:ind w:left="1800" w:right="499"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and authorized at an annual or special meeting of stockholders, and not by written consent, by the affirmative vote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325"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With certain exceptions, an “interested stockholder” is a person or group who or which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such voting stock at any time within the previous three years.</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w:t>
      </w:r>
    </w:p>
    <w:p>
      <w:pPr>
        <w:spacing w:after="0" w:line="117" w:lineRule="exact"/>
        <w:rPr>
          <w:sz w:val="20"/>
          <w:szCs w:val="20"/>
          <w:color w:val="auto"/>
        </w:rPr>
      </w:pPr>
    </w:p>
    <w:p>
      <w:pPr>
        <w:ind w:left="1800" w:hanging="180"/>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5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53" w:lineRule="exact"/>
        <w:rPr>
          <w:rFonts w:ascii="Times New Roman" w:cs="Times New Roman" w:eastAsia="Times New Roman" w:hAnsi="Times New Roman"/>
          <w:sz w:val="18"/>
          <w:szCs w:val="18"/>
          <w:color w:val="auto"/>
        </w:rPr>
      </w:pPr>
    </w:p>
    <w:p>
      <w:pPr>
        <w:jc w:val="both"/>
        <w:ind w:left="1800" w:right="559" w:hanging="180"/>
        <w:spacing w:after="0" w:line="275"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268"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94"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A Delaware corporation may “opt out” of this provision with an express provision in its original certificate of incorporation or an express provision in its amended and restated certificate of incorporation or bylaws resulting from a stockholders’ amendment approved by at least a majority of the outstanding voting shares. However, we have not “opted out” of this provision. Section 203 could prohibit or delay mergers or other takeover or change-in-control attempts and, accordingly, may discourage attempts to acquire us.</w:t>
      </w:r>
    </w:p>
    <w:p>
      <w:pPr>
        <w:spacing w:after="0" w:line="3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Election and Removal of Directors</w:t>
      </w:r>
    </w:p>
    <w:p>
      <w:pPr>
        <w:spacing w:after="0" w:line="16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our board of directors to be divided into three classes,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are able to elect all of our directors. Directors may be removed only with cause by the affirmative vote of the holders of at least a majority of the outstanding shares entitled to vote on such removal</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160"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second amended and restated bylaws provide that any action required or permitted to be taken by the holders of common stock at an annual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97" w:lineRule="auto"/>
        <w:rPr>
          <w:sz w:val="20"/>
          <w:szCs w:val="20"/>
          <w:color w:val="auto"/>
        </w:rPr>
      </w:pPr>
      <w:r>
        <w:rPr>
          <w:rFonts w:ascii="Times New Roman" w:cs="Times New Roman" w:eastAsia="Times New Roman" w:hAnsi="Times New Roman"/>
          <w:sz w:val="18"/>
          <w:szCs w:val="18"/>
          <w:color w:val="auto"/>
        </w:rPr>
        <w:t>special meeting of stockholders must be effected at a duly called meeting and may not be taken or effected by written consent of the stockholders.</w:t>
      </w:r>
    </w:p>
    <w:p>
      <w:pPr>
        <w:spacing w:after="0" w:line="16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Stockholder Meetings</w:t>
      </w:r>
    </w:p>
    <w:p>
      <w:pPr>
        <w:spacing w:after="0" w:line="146" w:lineRule="exact"/>
        <w:rPr>
          <w:sz w:val="20"/>
          <w:szCs w:val="20"/>
          <w:color w:val="auto"/>
        </w:rPr>
      </w:pPr>
    </w:p>
    <w:p>
      <w:pPr>
        <w:ind w:left="1260" w:right="679" w:firstLine="360"/>
        <w:spacing w:after="0" w:line="271"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and our second amended and restated bylaws, only our board of directors, acting pursuant to a resolution adopted by a majority of the directors then in office, may call a special meeting of the stockholders, and any business conducted at any special meeting will be limited to the purpose or purposes specified in the notice for such special meeting.</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p>
    <w:p>
      <w:pPr>
        <w:spacing w:after="0" w:line="160"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In order for our stockholders to bring nominations or business before an annual meeting properly, they must comply with certain notice requirements as provided by our second amended and restated bylaws. Typically, in order for such notices to be timely, they must be provided to us not earlier than the close of business on the 120th day prior to the one-year anniversary of the preceding year’s annual meeting and not later than the close of business on the 90th day prior to the one-year anniversary of the preceding year’s annual meeting. For such notices to be timely in the event the annual meeting is advanced more than</w:t>
      </w:r>
    </w:p>
    <w:p>
      <w:pPr>
        <w:spacing w:after="0" w:line="5"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30 days prior to or delayed by more than 70 days after the one-year anniversary of the preceding year’s annual meeting, notice must be provided to us not earlier than the close of business on the 120th day prior to such annual meeting and not later than the close of business on the later of the 90th day prior to such annual meeting or, if later, the 10th day following the day on which public announcement of the date of such meeting is first made.</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Exclusive Forum Provision</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shall, unless we consent in writing to the selection of an alternative forum, be the sole and exclusive forum for (i) any derivative action or proceeding brought on behalf of the Company, (ii) any action asserting a claim of breach of a fiduciary duty owed by any director, officer or other employee of the Company to the Company or its stockholders, (iii) any action asserting a claim arising pursuant to any provision of the Delaware General Corporation Law, or (iv) any action asserting a claim governed by the internal affairs doctrine, in each case subject to said Court of Chancery having personal jurisdiction over the indispensable parties named as defendants therein. Notwithstanding this exclusive forum provision, the exclusive forum provision shall not preclude or contract the scope of exclusive federal or concurrent jurisdiction for actions brought under the Exchange Act or the Securities Act, or the respective rules and regulations promulgated thereunder.</w:t>
      </w:r>
    </w:p>
    <w:p>
      <w:pPr>
        <w:spacing w:after="0" w:line="343"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these provisions. This exclusive forum provision may limit a stockholder’s ability to bring a claim in a judicial forum of its choosing for disputes with us or our directors, officers or other employees, which may discourage lawsuits against us and our directors, officers and other employees.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of Charter Provisions</w:t>
      </w:r>
    </w:p>
    <w:p>
      <w:pPr>
        <w:spacing w:after="0" w:line="162"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The affirmative vote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of the then-outstanding shares of our voting stock, voting together as a single class, is required to, among other things, alter, amend or repeal certain provisions of our amended and restated certificate of incorporation, including those related to the classification of our board of directors, the amendment of our bylaws and certificate of incorporation, restrictions against stockholder actions by written consent, the designated parties entitled to call a special meeting of the stockholders and the indemnification of officers and directors.</w:t>
      </w:r>
    </w:p>
    <w:p>
      <w:pPr>
        <w:spacing w:after="0" w:line="117" w:lineRule="exact"/>
        <w:rPr>
          <w:sz w:val="20"/>
          <w:szCs w:val="20"/>
          <w:color w:val="auto"/>
        </w:rPr>
      </w:pPr>
    </w:p>
    <w:p>
      <w:pPr>
        <w:ind w:left="1260" w:right="519" w:firstLine="360"/>
        <w:spacing w:after="0" w:line="274" w:lineRule="auto"/>
        <w:rPr>
          <w:sz w:val="20"/>
          <w:szCs w:val="20"/>
          <w:color w:val="auto"/>
        </w:rPr>
      </w:pPr>
      <w:r>
        <w:rPr>
          <w:rFonts w:ascii="Times New Roman" w:cs="Times New Roman" w:eastAsia="Times New Roman" w:hAnsi="Times New Roman"/>
          <w:sz w:val="18"/>
          <w:szCs w:val="18"/>
          <w:color w:val="auto"/>
        </w:rPr>
        <w:t>Our second amended and restated bylaws may only be amended (or new bylaws adopted) by our board of directors or the affirmative vote of the holders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of the then-outstanding shares of our voting stock.</w:t>
      </w:r>
    </w:p>
    <w:p>
      <w:pPr>
        <w:spacing w:after="0" w:line="3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Its address is 48 Wall Street, Floor 23, New York, NY 10005 and its telephone number is (718) 921-8124. The transfer agent for any series of preferred stock that we may offer under this prospectus will be named and described in the prospectus supplement for that series.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“GEVO.”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may issue debt securities,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indentures, we also are referring to any supplemental indentures that specify the terms of a particular series of debt securities.</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will issue the senior debt securities under the senior indenture that we will enter into with the trustee named in the senior indenture. We will issue the subordinated debt securities under the subordinated indenture that we will enter into with the trustee named in the subordinated indenture. The indentures will be qualified under the Trust Indenture Act of 1939, as amended (the “TIA”). We use the term “debenture trustee” to refer to either the trustee under the senior indenture or the trustee under the subordinated indenture, as applicable. We have filed forms of indentures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0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indentures that contain the terms of the debt securities. Except as we may otherwise indicate, the terms of the senior indenture and the subordinated indenture are identical.</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54"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being offered, and if a series, the total amount authorized and the total amount outstanding;</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debt securities in global form, the terms and who the depositary will be;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130"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spacing w:after="0" w:line="67" w:lineRule="exact"/>
        <w:rPr>
          <w:rFonts w:ascii="Times New Roman" w:cs="Times New Roman" w:eastAsia="Times New Roman" w:hAnsi="Times New Roman"/>
          <w:sz w:val="18"/>
          <w:szCs w:val="18"/>
          <w:color w:val="auto"/>
        </w:rPr>
      </w:pPr>
    </w:p>
    <w:p>
      <w:pPr>
        <w:jc w:val="both"/>
        <w:ind w:left="1800" w:right="619" w:hanging="180"/>
        <w:spacing w:after="0" w:line="266"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will be payable;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debt securities pursuant to any optional or provisional redemption provisions and the terms of those redemption provisions;</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3"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29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and/or the ability of our subsidiaries to:</w:t>
      </w:r>
    </w:p>
    <w:p>
      <w:pPr>
        <w:spacing w:after="0" w:line="10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securities;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2160" w:right="599" w:hanging="180"/>
        <w:spacing w:after="0" w:line="282" w:lineRule="auto"/>
        <w:tabs>
          <w:tab w:leader="none" w:pos="2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distributions in respect of our capital stock and/or the capital stock of our subsidiaries;</w:t>
      </w:r>
    </w:p>
    <w:p>
      <w:pPr>
        <w:spacing w:after="0" w:line="40"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capital stock;</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other restricted payments;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0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stockholders and affiliates;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our subsidiaries; or</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10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53"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material U.S. federal income tax considerations applicable to the debt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the provisions in the indenture on discharge;</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40"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53" w:lineRule="exact"/>
        <w:rPr>
          <w:rFonts w:ascii="Times New Roman" w:cs="Times New Roman" w:eastAsia="Times New Roman" w:hAnsi="Times New Roman"/>
          <w:sz w:val="18"/>
          <w:szCs w:val="18"/>
          <w:color w:val="auto"/>
        </w:rPr>
      </w:pPr>
    </w:p>
    <w:p>
      <w:pPr>
        <w:jc w:val="both"/>
        <w:ind w:left="1800" w:right="57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which shall not be inconsistent with the indentures.</w:t>
      </w:r>
    </w:p>
    <w:p>
      <w:pPr>
        <w:spacing w:after="0" w:line="144"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notes may be issued as original issue discount securities. An original issue discount security is a note, including any zero coupon note, which:</w:t>
      </w:r>
    </w:p>
    <w:p>
      <w:pPr>
        <w:spacing w:after="0" w:line="40"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issued at a price lower than the amount payable upon its stated maturity; and</w:t>
      </w:r>
    </w:p>
    <w:p>
      <w:pPr>
        <w:spacing w:after="0" w:line="103"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upon redemption or acceleration of the maturity, an amount less than the amount payable upon the stated maturity, shall become due and payable.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Certain material U.S. federal income tax consequences applicable to notes sold at an original issue discount will be described in the applicable prospectus supplement. In addition, certain material U.S. federal income tax or other consequences applicable to any notes which are denominated in a currency or currency unit other than U.S. dollars may be described in the applicable prospectus supplement.</w:t>
      </w:r>
    </w:p>
    <w:p>
      <w:pPr>
        <w:spacing w:after="0" w:line="11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Under the indentures, we will have the ability, in addition to the ability to issue notes with terms different from those of notes previously issued, without the consent of the holders, to reopen a previous issue of a series of notes and issue additional notes of that series, unless the reopening was restricted when the series was created, in an aggregate principal amount determined by us.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will set forth in the prospectus supplement the terms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Indentures</w:t>
      </w:r>
    </w:p>
    <w:p>
      <w:pPr>
        <w:spacing w:after="0" w:line="162"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68" w:lineRule="exact"/>
        <w:rPr>
          <w:sz w:val="20"/>
          <w:szCs w:val="20"/>
          <w:color w:val="auto"/>
        </w:rPr>
      </w:pPr>
    </w:p>
    <w:p>
      <w:pPr>
        <w:ind w:left="1800" w:right="47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90 days and the time for payment has not been extended or deferred;</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premium or sinking fund payment, if any, when due and payable and the time for payment has not been extended or delayed;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debenture trustee or holders of at least 25% in aggregate principal amount of the outstanding debt securities of the applicable series;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described in the applicable prospectus supplement.</w:t>
      </w:r>
    </w:p>
    <w:p>
      <w:pPr>
        <w:spacing w:after="0" w:line="14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second to last bullet point above, the debenture trustee or the holders of at least 25% in aggregate principal amount of the outstanding debt securities of that series, by notice to us in writing, and to the debenture trustee if notice is given by such holders, may declare the unpaid principal of, premium, if any, and accrued interest, if any, due and payable immediately. If an event of default results from the occurrence of a specified event of bankruptcy, insolvency or reorganization with respect to us, the principal amount of and accrued interest, if any, of each issue of debt securities then outstanding shall be due and payable without any notice or other action on the part of the debenture trustee or any holder.</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32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Subject to the terms of the applicable indenture,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288"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holders is not in conflict with any law or the applicable indenture; and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TIA, the debenture trustee need not take any action that might involve it in personal liability or might be unduly prejudicial to the holders not involved in the proceeding.</w:t>
      </w:r>
    </w:p>
    <w:p>
      <w:pPr>
        <w:spacing w:after="0" w:line="94"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an indenture or to appoint a receiver or trustee, or to seek other remedies only if:</w:t>
      </w:r>
    </w:p>
    <w:p>
      <w:pPr>
        <w:spacing w:after="0" w:line="54" w:lineRule="exact"/>
        <w:rPr>
          <w:sz w:val="20"/>
          <w:szCs w:val="20"/>
          <w:color w:val="auto"/>
        </w:rPr>
      </w:pPr>
    </w:p>
    <w:p>
      <w:pPr>
        <w:ind w:left="1800" w:right="8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debenture trustee of a continuing event of default with respect to that series;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 and such holders have offered reasonable indemnity to the debenture trustee to institute the proceeding as trustee; and</w:t>
      </w:r>
    </w:p>
    <w:p>
      <w:pPr>
        <w:spacing w:after="0" w:line="67"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10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accrued interest on, the debt securities.</w:t>
      </w:r>
    </w:p>
    <w:p>
      <w:pPr>
        <w:spacing w:after="0" w:line="95"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will periodically file statements with the debenture trustee regarding our compliance with specified covenants in the indentures.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and the debenture trustee may change an indenture without the consent of any holders with respect to specific matters:</w:t>
      </w:r>
    </w:p>
    <w:p>
      <w:pPr>
        <w:spacing w:after="0" w:line="68"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the heading “Description of Debt Securities —  Consolidation, Merger or Sale;”</w:t>
      </w:r>
    </w:p>
    <w:p>
      <w:pPr>
        <w:spacing w:after="0" w:line="40"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TIA;</w:t>
      </w:r>
    </w:p>
    <w:p>
      <w:pPr>
        <w:spacing w:after="0" w:line="53" w:lineRule="exact"/>
        <w:rPr>
          <w:rFonts w:ascii="Times New Roman" w:cs="Times New Roman" w:eastAsia="Times New Roman" w:hAnsi="Times New Roman"/>
          <w:sz w:val="18"/>
          <w:szCs w:val="18"/>
          <w:color w:val="auto"/>
        </w:rPr>
      </w:pPr>
    </w:p>
    <w:p>
      <w:pPr>
        <w:ind w:left="1800" w:right="459" w:hanging="180"/>
        <w:spacing w:after="0" w:line="275"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such indenture;</w:t>
      </w:r>
    </w:p>
    <w:p>
      <w:pPr>
        <w:spacing w:after="0" w:line="281"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under the heading “Description of Debt Securities — General,” to establish the form of any certifications required to be furnished pursuant to the terms of an indenture or any series of debt securities, or to add to the rights of the holders of any series of debt securities;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 and to make all appropriate changes for such purpose;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the continuance, of a default in any such additional covenants, restrictions, conditions or provisions an event of default; or</w:t>
      </w:r>
    </w:p>
    <w:p>
      <w:pPr>
        <w:spacing w:after="0" w:line="67" w:lineRule="exact"/>
        <w:rPr>
          <w:rFonts w:ascii="Times New Roman" w:cs="Times New Roman" w:eastAsia="Times New Roman" w:hAnsi="Times New Roman"/>
          <w:sz w:val="18"/>
          <w:szCs w:val="18"/>
          <w:color w:val="auto"/>
        </w:rPr>
      </w:pPr>
    </w:p>
    <w:p>
      <w:pPr>
        <w:ind w:left="1800" w:right="599" w:hanging="180"/>
        <w:spacing w:after="0" w:line="258"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securities.</w:t>
      </w:r>
    </w:p>
    <w:p>
      <w:pPr>
        <w:spacing w:after="0" w:line="10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debenture trustee may make the following changes only with the consent of each holder of any outstanding debt securities affected:</w:t>
      </w:r>
    </w:p>
    <w:p>
      <w:pPr>
        <w:spacing w:after="0" w:line="72"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debt securities;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debt securities;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 of the applicable indenture or notes or for waiver of compliance with certain provisions of the applicable indenture or for waiver of certain defaults;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any of our obligations to pay additional amounts;</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amount of principal of an original issue discount security or any other note payable upon acceleration of the maturity thereof;</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the currency in which any note or any premium or interest is payable;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right to enforce any payment on or with respect to any note;</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changing the right to convert or exchange, including decreasing the conversion rate or increasing the conversion price of, such note, if applicable;</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subordinated indenture, modifying the subordination provisions in a manner adverse to the holders of the subordinated notes;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secured, changing the terms and conditions pursuant to which the notes are secured in a manner adverse to the holders of the secured notes;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requirements contained in the applicable indenture for quorum or voting;</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any of our obligations to maintain an office or agency in the places and for the purposes required by the indentures;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any of the above provisions set forth in this paragraph.</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4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40" w:lineRule="exact"/>
        <w:rPr>
          <w:sz w:val="20"/>
          <w:szCs w:val="20"/>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debenture trustee;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debenture trustee;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44" w:lineRule="exact"/>
        <w:rPr>
          <w:sz w:val="20"/>
          <w:szCs w:val="20"/>
          <w:color w:val="auto"/>
        </w:rPr>
      </w:pPr>
    </w:p>
    <w:p>
      <w:pPr>
        <w:jc w:val="both"/>
        <w:ind w:left="1260" w:right="639" w:firstLine="360"/>
        <w:spacing w:after="0" w:line="281"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debenture trustee money or government obligations sufficient to pay all the principal of, the premium, if any, and interest on, the debt securities of the series on the dates payments are due.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(“DTC”) or another depositary named by us and identified in a prospectus supplement with respect to that series. See the section entitled “Legal Ownership of Securities” for a further description of the terms relating to any book-entry securities.</w:t>
      </w:r>
    </w:p>
    <w:p>
      <w:pPr>
        <w:spacing w:after="0" w:line="109"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1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09"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17" w:lineRule="exact"/>
        <w:rPr>
          <w:sz w:val="20"/>
          <w:szCs w:val="20"/>
          <w:color w:val="auto"/>
        </w:rPr>
      </w:pPr>
    </w:p>
    <w:p>
      <w:pPr>
        <w:ind w:left="1800" w:right="439" w:hanging="180"/>
        <w:spacing w:after="0" w:line="263"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305"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an indenture, undertakes to perform only those duties as are specifically set forth in the applicable indenture. Upon an event of default under an indenture, the debenture trustee must use the same degree of care as a prudent person would exercise or use in the conduct of his or her own affairs. Subject to this provision, the debenture trustee is under no obligation to exercise any of the powers given to it by the indentures at the request of any holder of debt securities unless it is offered reasonable security and indemnity against the costs, expenses and liabilities that it might incur.</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1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11"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TIA is applicable.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162"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The subordinated debt securities will be unsecured and will be subordinate and junior in priority of payment to certain of our other indebtedness to the extent described in a prospectus supplement. The subordinated indenture does not limit the amount of subordinated debt securities that we may issue, nor does it limit us from issuing any other secured or unsecured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19"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10" w:lineRule="exact"/>
        <w:rPr>
          <w:sz w:val="20"/>
          <w:szCs w:val="20"/>
          <w:color w:val="auto"/>
        </w:rPr>
      </w:pPr>
    </w:p>
    <w:p>
      <w:pPr>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0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complete and is subject to, and is qualified in its entirety by, all provisions of the applicable deposit agreement, our certificate of incorporation and the certificate of designation for the applicable series of preferred stock that are, or will be, filed with the SEC.</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62"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32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32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60"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76"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61" w:lineRule="auto"/>
        <w:rPr>
          <w:sz w:val="20"/>
          <w:szCs w:val="20"/>
          <w:color w:val="auto"/>
        </w:rPr>
      </w:pPr>
      <w:r>
        <w:rPr>
          <w:rFonts w:ascii="Times New Roman" w:cs="Times New Roman" w:eastAsia="Times New Roman" w:hAnsi="Times New Roman"/>
          <w:sz w:val="18"/>
          <w:szCs w:val="18"/>
          <w:color w:val="auto"/>
        </w:rPr>
        <w:t>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We may issue warrants for the purchase of debt securities, common stock, preferred stock or other securities. Warrants may be issued independently or together with debt securities, common stock, preferred stock or other securities offered by any prospectus supplement and may be attached to or separate from any such offered securities. Each series of warrants will be issued under a separate warrant agreement to be entered into between us and a bank or trust company, as warrant agent, all as will be set forth in the prospectus supplement relating to the particular issue of warrants. The warrant agent will act solely as our agent in connection with the warrants and will not assume any obligation or relationship of agency or trust for or with any holders of warrants or beneficial owners of warrants. The summary of the terms of the warrants contained in this prospectus is not complete and is subject to, and is qualified in its entirety to, all provisions of the applicable warrant agreement.</w:t>
      </w:r>
    </w:p>
    <w:p>
      <w:pPr>
        <w:spacing w:after="0" w:line="11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Reference is made to the prospectus supplement relating to the particular issue of warrants offered pursuant to such prospectus supplement for the terms of and information relating to such warrants, including, where applicable:</w:t>
      </w:r>
    </w:p>
    <w:p>
      <w:pPr>
        <w:spacing w:after="0" w:line="68" w:lineRule="exact"/>
        <w:rPr>
          <w:sz w:val="20"/>
          <w:szCs w:val="20"/>
          <w:color w:val="auto"/>
        </w:rPr>
      </w:pPr>
    </w:p>
    <w:p>
      <w:pPr>
        <w:ind w:left="1800" w:right="59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90"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2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76"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material U.S. federal income tax consequences applicable to the warrants;</w:t>
      </w:r>
    </w:p>
    <w:p>
      <w:pPr>
        <w:spacing w:after="0" w:line="76"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1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76"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1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depositary shares or common stock with which the warrants are issued and the number of warrants issued with each security;</w:t>
      </w:r>
    </w:p>
    <w:p>
      <w:pPr>
        <w:spacing w:after="0" w:line="40"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1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2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76"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and other provisions for changes to or adjustment in the exercise price of, the warrants, if any;</w:t>
      </w:r>
    </w:p>
    <w:p>
      <w:pPr>
        <w:spacing w:after="0" w:line="1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76"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may issue, from time to time, purchase contracts, including contracts obligating holders to purchase from us and us to sell to the holders, a specified principal amount of debt securities, shares of common stock or preferred stock, or any of the other securities that we may sell under this prospectus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 The summary of the terms of the purchase contracts contained in this prospectus is not complete and is subject to, and is qualified in its entirety by, all provisions of the applicable purchase contracts.</w:t>
      </w:r>
    </w:p>
    <w:p>
      <w:pPr>
        <w:spacing w:after="0" w:line="120"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prospectus supplement related to any particular purchase contracts will describe, among other things, the material terms of the purchase contracts and of the securities being sold pursuant to such purchase contracts, a discussion, if appropriate, of any special U.S. federal income tax considerations applicable to the purchase contracts and any material provisions governing the purchase contracts that differ from those described above. The description in the prospectus supplement will not necessarily be complete and will be qualified in its entirety by reference to the purchase contracts, and, if applicable, collateral arrangements and depositary arrangements, relating to the purchase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may, from time to time, issue units comprised of one or more of the other securities that may be offered under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or other specific circumstances occur. The summary of the terms of the units contained in this prospectus is not complete and is subject to, and is qualified in its entirety by, all provisions of the applicable unit agreements.</w:t>
      </w:r>
    </w:p>
    <w:p>
      <w:pPr>
        <w:spacing w:after="0" w:line="3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prospectus supplement related to any particular units will describe, among other things:</w:t>
      </w:r>
    </w:p>
    <w:p>
      <w:pPr>
        <w:spacing w:after="0" w:line="117" w:lineRule="exact"/>
        <w:rPr>
          <w:sz w:val="20"/>
          <w:szCs w:val="20"/>
          <w:color w:val="auto"/>
        </w:rPr>
      </w:pPr>
    </w:p>
    <w:p>
      <w:pPr>
        <w:ind w:left="1800" w:right="8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units and of the securities comprising the units, including whether and under what circumstances those securities may be held or transferred separately;</w:t>
      </w:r>
    </w:p>
    <w:p>
      <w:pPr>
        <w:spacing w:after="0" w:line="5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relating to the issuance, payment, settlement, transfer or exchange of the units or of the securities comprising the units;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 discussion of certain material U.S. federal income tax considerations applicable to the units;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of the governing unit agreement that differ from those described above.</w:t>
      </w:r>
    </w:p>
    <w:p>
      <w:pPr>
        <w:spacing w:after="0" w:line="14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applicable provisions described in this section, as well as those described under “Description of Capital Stock,” “Description of Debt Securities,” “Description of Depositary Shares,” “Description of Warrants” and “Description of Purchase Contracts,” will apply to each unit and to each security included in each unit,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sell the securities being offered hereby:</w:t>
      </w:r>
    </w:p>
    <w:p>
      <w:pPr>
        <w:spacing w:after="0" w:line="117"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158"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direct purchasers, agents, dealers, underwriters and, if applicable, their compensation, the purchase price, the net proceeds to us, the public offering price, and any discounts or concessions allowed or reallowed or paid to dealers, in a prospectus supplement.</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 block transactions, at-the-market offerings and transactions on the Nasdaq Capital Market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w:t>
      </w:r>
    </w:p>
    <w:p>
      <w:pPr>
        <w:spacing w:after="0" w:line="11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Offers to purchase the securities may be solicited directly by us or by agents designated by us from time to time. We will, in the prospectus supplement relating to an offering, name any agent that could be viewed as an underwriter under the Securities Act and describe any commissions we must pay. Any such agent will be acting on a best efforts basis for the period of its appointment or, if indicated in the applicable prospectus supplement, on a firm commitment basis.</w:t>
      </w:r>
    </w:p>
    <w:p>
      <w:pPr>
        <w:spacing w:after="0" w:line="110"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the securities to the dealer, as principal. The dealer, which may be deemed to be an underwriter as that term is defined in the Securities Act, may then resell the securities to the public at varying prices to be determined by the dealer at the time of resale. Dealer trading may take place in certain of the securities, including securities not listed on any securities exchange.</w:t>
      </w:r>
    </w:p>
    <w:p>
      <w:pPr>
        <w:spacing w:after="0" w:line="114"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If an underwriter or underwriters are utilized in the sale, we will execute an underwriting agreement with the underwriters at the time of sale to them and the names of the underwriters will be set forth in the applicable prospectus supplement, which will be used by the underwriters to make resales of the securities in respect of which this prospectus is delivered to the public. The obligations of underwriters to purchase securities will be subject to certain conditions precedent and the underwriters will be obligated to purchase all of the securities of a series if any are purchased.</w:t>
      </w:r>
    </w:p>
    <w:p>
      <w:pPr>
        <w:spacing w:after="0" w:line="114"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may directly solicit offers to purchase the securities and we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10" w:lineRule="exact"/>
        <w:rPr>
          <w:sz w:val="20"/>
          <w:szCs w:val="20"/>
          <w:color w:val="auto"/>
        </w:rPr>
      </w:pPr>
    </w:p>
    <w:p>
      <w:pPr>
        <w:jc w:val="both"/>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Underwriters, dealers, agents and other persons may be entitled, under agreements that may be entered into with us, to indemnification against certain civil liabilities, including liabilities under the Securities Act, or to contribution with respect to payments that they may be required to make in respect thereof.</w:t>
      </w:r>
    </w:p>
    <w:p>
      <w:pPr>
        <w:spacing w:after="0" w:line="2"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Underwriters, dealers and agents may engage in transactions with, or perform services for, us in the ordinary course of business.</w:t>
      </w:r>
    </w:p>
    <w:p>
      <w:pPr>
        <w:spacing w:after="0" w:line="10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Any person participating in the distribution of common stock registered under the registration statement that includes this prospectus will be subject to applicable provisions of the Exchange Act and the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applicable SEC rules and regulations, including, among others, Regulation M, which may limit the timing of purchases and sales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1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offered by this prospectus will be passed upon for us by Perkins Coie LLP, Denver, Colorado.</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incorporated by reference in this registration statement have been so incorporated by reference in reliance upon the report of Grant Thornton LLP, independent registered public accountants, upon the authority of said firm as experts in accounting and auditing.</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free of charge over the Internet at the SEC’s web site at www.sec.gov. Our filings with the SEC are also available free of charge on our website at www.gevo.com. The information contained in, or that can be accessed through, our website is not incorporated by reference in this prospectus or any prospectus supplement and you should not consider it a part of this prospectus or any accompanying prospectus supplement.</w:t>
      </w:r>
    </w:p>
    <w:p>
      <w:pPr>
        <w:spacing w:after="0" w:line="40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any accompanying prospectus supplement, and later information filed with the SEC will automatically update and supersede this information. We incorporate by reference the documents listed below and all documents subsequently filed with the SEC pursuant to Sections 13(a), 13(c), 14 or 15(d) of the Exchange Act, prior to the termination of the offering under this prospectus and any prospectus supplement (other than information deemed furnished and not filed in accordance with SEC rules, including Items 2.02 and 7.01 of Form 8-K):</w:t>
      </w:r>
    </w:p>
    <w:p>
      <w:pPr>
        <w:spacing w:after="0" w:line="84" w:lineRule="exact"/>
        <w:rPr>
          <w:sz w:val="20"/>
          <w:szCs w:val="20"/>
          <w:color w:val="auto"/>
        </w:rPr>
      </w:pPr>
    </w:p>
    <w:p>
      <w:pPr>
        <w:ind w:left="1800" w:right="8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56">
        <w:r>
          <w:rPr>
            <w:rFonts w:ascii="Times New Roman" w:cs="Times New Roman" w:eastAsia="Times New Roman" w:hAnsi="Times New Roman"/>
            <w:sz w:val="18"/>
            <w:szCs w:val="18"/>
            <w:u w:val="single" w:color="auto"/>
            <w:color w:val="0000EE"/>
          </w:rPr>
          <w:t>Annual Report on Form 10-K for the year ended December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9, 2023;</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2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quarterly periods ended March 31, 2023, June 30, 2023 </w:t>
      </w:r>
      <w:hyperlink r:id="rId57">
        <w:r>
          <w:rPr>
            <w:rFonts w:ascii="Times New Roman" w:cs="Times New Roman" w:eastAsia="Times New Roman" w:hAnsi="Times New Roman"/>
            <w:sz w:val="18"/>
            <w:szCs w:val="18"/>
            <w:color w:val="auto"/>
          </w:rPr>
          <w:t xml:space="preserve">and September 30, 2023, filed with the SEC on </w:t>
        </w:r>
        <w:r>
          <w:rPr>
            <w:rFonts w:ascii="Times New Roman" w:cs="Times New Roman" w:eastAsia="Times New Roman" w:hAnsi="Times New Roman"/>
            <w:sz w:val="18"/>
            <w:szCs w:val="18"/>
            <w:u w:val="single" w:color="auto"/>
            <w:color w:val="0000EE"/>
          </w:rPr>
          <w:t>May 10,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10, 2023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November 14,</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jc w:val="both"/>
        <w:ind w:left="1800" w:right="459" w:hanging="180"/>
        <w:spacing w:after="0" w:line="266" w:lineRule="auto"/>
        <w:tabs>
          <w:tab w:leader="none" w:pos="1800" w:val="left"/>
        </w:tabs>
        <w:numPr>
          <w:ilvl w:val="0"/>
          <w:numId w:val="21"/>
        </w:numPr>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auto"/>
          </w:rPr>
          <w:t xml:space="preserve">our Current Reports on Forms 8-K filed with the SEC on </w:t>
        </w:r>
        <w:r>
          <w:rPr>
            <w:rFonts w:ascii="Times New Roman" w:cs="Times New Roman" w:eastAsia="Times New Roman" w:hAnsi="Times New Roman"/>
            <w:sz w:val="18"/>
            <w:szCs w:val="18"/>
            <w:u w:val="single" w:color="auto"/>
            <w:color w:val="0000EE"/>
          </w:rPr>
          <w:t>January 5,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15,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25,</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9">
        <w:r>
          <w:rPr>
            <w:rFonts w:ascii="Times New Roman" w:cs="Times New Roman" w:eastAsia="Times New Roman" w:hAnsi="Times New Roman"/>
            <w:sz w:val="18"/>
            <w:szCs w:val="18"/>
            <w:u w:val="single" w:color="auto"/>
            <w:color w:val="0000EE"/>
          </w:rPr>
          <w:t>May 10, 2023</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0">
        <w:r>
          <w:rPr>
            <w:rFonts w:ascii="Times New Roman" w:cs="Times New Roman" w:eastAsia="Times New Roman" w:hAnsi="Times New Roman"/>
            <w:sz w:val="18"/>
            <w:szCs w:val="18"/>
            <w:u w:val="single" w:color="auto"/>
            <w:color w:val="0000EE"/>
          </w:rPr>
          <w:t>May 25, 2023</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1">
        <w:r>
          <w:rPr>
            <w:rFonts w:ascii="Times New Roman" w:cs="Times New Roman" w:eastAsia="Times New Roman" w:hAnsi="Times New Roman"/>
            <w:sz w:val="18"/>
            <w:szCs w:val="18"/>
            <w:u w:val="single" w:color="auto"/>
            <w:color w:val="0000EE"/>
          </w:rPr>
          <w:t>September 12, 2023</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2">
        <w:r>
          <w:rPr>
            <w:rFonts w:ascii="Times New Roman" w:cs="Times New Roman" w:eastAsia="Times New Roman" w:hAnsi="Times New Roman"/>
            <w:sz w:val="18"/>
            <w:szCs w:val="18"/>
            <w:u w:val="single" w:color="auto"/>
            <w:color w:val="0000EE"/>
          </w:rPr>
          <w:t>October 17, 2023</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3">
        <w:r>
          <w:rPr>
            <w:rFonts w:ascii="Times New Roman" w:cs="Times New Roman" w:eastAsia="Times New Roman" w:hAnsi="Times New Roman"/>
            <w:sz w:val="18"/>
            <w:szCs w:val="18"/>
            <w:u w:val="single" w:color="auto"/>
            <w:color w:val="0000EE"/>
          </w:rPr>
          <w:t>December 13, 2023</w:t>
        </w:r>
      </w:hyperlink>
      <w:hyperlink r:id="rId58">
        <w:r>
          <w:rPr>
            <w:rFonts w:ascii="Times New Roman" w:cs="Times New Roman" w:eastAsia="Times New Roman" w:hAnsi="Times New Roman"/>
            <w:sz w:val="18"/>
            <w:szCs w:val="18"/>
            <w:color w:val="000000"/>
          </w:rPr>
          <w:t>, and</w:t>
        </w:r>
      </w:hyperlink>
      <w:r>
        <w:rPr>
          <w:rFonts w:ascii="Times New Roman" w:cs="Times New Roman" w:eastAsia="Times New Roman" w:hAnsi="Times New Roman"/>
          <w:sz w:val="18"/>
          <w:szCs w:val="18"/>
          <w:color w:val="0000EE"/>
        </w:rPr>
        <w:t xml:space="preserve"> </w:t>
      </w:r>
      <w:hyperlink r:id="rId64">
        <w:r>
          <w:rPr>
            <w:rFonts w:ascii="Times New Roman" w:cs="Times New Roman" w:eastAsia="Times New Roman" w:hAnsi="Times New Roman"/>
            <w:sz w:val="18"/>
            <w:szCs w:val="18"/>
            <w:u w:val="single" w:color="auto"/>
            <w:color w:val="0000EE"/>
          </w:rPr>
          <w:t>January 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800" w:right="419" w:hanging="180"/>
        <w:spacing w:after="0" w:line="259" w:lineRule="auto"/>
        <w:tabs>
          <w:tab w:leader="none" w:pos="1800" w:val="left"/>
        </w:tabs>
        <w:numPr>
          <w:ilvl w:val="0"/>
          <w:numId w:val="21"/>
        </w:numPr>
        <w:rPr>
          <w:rFonts w:ascii="Times New Roman" w:cs="Times New Roman" w:eastAsia="Times New Roman" w:hAnsi="Times New Roman"/>
          <w:sz w:val="18"/>
          <w:szCs w:val="18"/>
          <w:color w:val="000000"/>
        </w:rPr>
      </w:pPr>
      <w:hyperlink r:id="rId65">
        <w:r>
          <w:rPr>
            <w:rFonts w:ascii="Times New Roman" w:cs="Times New Roman" w:eastAsia="Times New Roman" w:hAnsi="Times New Roman"/>
            <w:sz w:val="18"/>
            <w:szCs w:val="18"/>
            <w:color w:val="auto"/>
          </w:rPr>
          <w:t xml:space="preserve">the description of our common stock contained in </w:t>
        </w:r>
        <w:r>
          <w:rPr>
            <w:rFonts w:ascii="Times New Roman" w:cs="Times New Roman" w:eastAsia="Times New Roman" w:hAnsi="Times New Roman"/>
            <w:sz w:val="18"/>
            <w:szCs w:val="18"/>
            <w:u w:val="single" w:color="auto"/>
            <w:color w:val="0000EE"/>
          </w:rPr>
          <w:t>our Registration Statement on Form 8-A filed with</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the SEC on February 4, 2011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Section 12(b) of the Exchange Act, including any amendments or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reports filed for the purpose of updating such description (including </w:t>
      </w:r>
      <w:hyperlink r:id="rId66">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to the Company’s Annual Report on Form 10-K for the year ended December 31, 2021, filed with the SEC on February 24, 2022).</w:t>
      </w:r>
    </w:p>
    <w:p>
      <w:pPr>
        <w:spacing w:after="0" w:line="335" w:lineRule="exact"/>
        <w:rPr>
          <w:rFonts w:ascii="Times New Roman" w:cs="Times New Roman" w:eastAsia="Times New Roman" w:hAnsi="Times New Roman"/>
          <w:sz w:val="18"/>
          <w:szCs w:val="18"/>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Upon written or oral request, we will provide to you, without charge, a copy of any or all of the documents that are incorporated by reference into this prospectus but not delivered with the prospectus, including exhibits which are specifically incorporated by reference into such documents. Requests should be directed to: Gevo, Inc., Attention: Investor Relations, 345 Inverness Drive South, Building C, Suite 310, Englewood, Colorado 80112, telephone (303) 858-8358.</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2"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2514600</wp:posOffset>
            </wp:positionH>
            <wp:positionV relativeFrom="paragraph">
              <wp:posOffset>131445</wp:posOffset>
            </wp:positionV>
            <wp:extent cx="1783080" cy="514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7830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Gevo, Inc.</w:t>
      </w:r>
    </w:p>
    <w:p>
      <w:pPr>
        <w:spacing w:after="0" w:line="2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5"/>
          <w:szCs w:val="25"/>
          <w:b w:val="1"/>
          <w:bCs w:val="1"/>
          <w:color w:val="auto"/>
        </w:rPr>
        <w:t>Up to $500,000,000</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21"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have entered into an At The Market Offering Agreement, dated January 16, 2024 (the “Sales Agreement”), with H.C. Wainwright &amp; Co., LLC (“Wainwright” or the “sales agent”) relating to shares of our common stock, par value $0.01 per share, offered by this prospectus supplement and the accompanying prospectus. In accordance with the terms of the Sales Agreement, we may from time to time offer and sell shares of our common stock having an aggregate offering price of up to $500.0 million through Wainwright as our sales agent under this prospectus supplement and the accompanying prospectus.</w:t>
      </w:r>
    </w:p>
    <w:p>
      <w:pPr>
        <w:spacing w:after="0" w:line="10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Sales of the shares of common stock, if any, may be made by means of transactions that are deemed to be “at-the-market” offerings, as defined in Rule 415 under the Securities Act of 1933, as amended (the “Securities Act”), including ordinary brokers’ transactions on the Nasdaq Capital Market or other trading market. The sales agent will receive from us a commission of up to 3.0% based on the gross sales price per share for any shares sold through the sales agent under the Sales Agreement. Under the terms of the Sales Agreement, we also may sell shares of our common stock to the sales agent as principal for its own account at a price agreed upon at the time of sale. If we sell shares to the sales agent as principal, we will enter into a separate terms agreement with the sales agent and we will describe the agreement in a separate prospectus supplement or pricing supplement.</w:t>
      </w:r>
    </w:p>
    <w:p>
      <w:pPr>
        <w:spacing w:after="0" w:line="340"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In connection with the sale of shares of our common stock on our behalf, the sales agent will be deemed to be an “underwriter” within the meaning of the Securities Act, and the compensation paid to the sales agent will be deemed to be underwriting commissions or discounts. We have agreed to provide indemnification and contribution to the sales agent against certain liabilities, including civil liabilities under the Securities Act.</w:t>
      </w:r>
    </w:p>
    <w:p>
      <w:pPr>
        <w:spacing w:after="0" w:line="335"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color w:val="auto"/>
        </w:rPr>
        <w:t>The sales agent is not required to sell any specific number or dollar amount of shares of our common stock, but, subject to the terms and conditions of the Sales Agreement and unless otherwise agreed by us and the sales agent, the sales agent will use its commercially reasonable efforts to sell the shares offered as our sales agent. There is no arrangement for funds to be received in any escrow, trust or similar arrangement.</w:t>
      </w:r>
    </w:p>
    <w:p>
      <w:pPr>
        <w:spacing w:after="0" w:line="32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“GEVO.” On January 12, 2024, the last reported sale price of our common stock on the Nasdaq Capital Market was $1.02 per share.</w:t>
      </w:r>
    </w:p>
    <w:p>
      <w:pPr>
        <w:spacing w:after="0" w:line="90" w:lineRule="exact"/>
        <w:rPr>
          <w:sz w:val="20"/>
          <w:szCs w:val="20"/>
          <w:color w:val="auto"/>
        </w:rPr>
      </w:pPr>
    </w:p>
    <w:p>
      <w:pPr>
        <w:ind w:left="1260" w:right="5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buying any securities, you should review carefully the risks and uncertainties described under the heading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S-8</w:t>
      </w:r>
      <w:r>
        <w:rPr>
          <w:rFonts w:ascii="Times New Roman" w:cs="Times New Roman" w:eastAsia="Times New Roman" w:hAnsi="Times New Roman"/>
          <w:sz w:val="18"/>
          <w:szCs w:val="18"/>
          <w:b w:val="1"/>
          <w:bCs w:val="1"/>
          <w:color w:val="auto"/>
        </w:rPr>
        <w:t xml:space="preserve"> of this prospectus supplement, on page </w:t>
      </w:r>
      <w:r>
        <w:rPr>
          <w:rFonts w:ascii="Times New Roman" w:cs="Times New Roman" w:eastAsia="Times New Roman" w:hAnsi="Times New Roman"/>
          <w:sz w:val="18"/>
          <w:szCs w:val="18"/>
          <w:b w:val="1"/>
          <w:bCs w:val="1"/>
          <w:u w:val="single" w:color="auto"/>
          <w:color w:val="0000EE"/>
        </w:rPr>
        <w:t>3</w:t>
      </w:r>
      <w:r>
        <w:rPr>
          <w:rFonts w:ascii="Times New Roman" w:cs="Times New Roman" w:eastAsia="Times New Roman" w:hAnsi="Times New Roman"/>
          <w:sz w:val="18"/>
          <w:szCs w:val="18"/>
          <w:b w:val="1"/>
          <w:bCs w:val="1"/>
          <w:color w:val="auto"/>
        </w:rPr>
        <w:t xml:space="preserve"> of the accompanying prospectus and in the documents incorporated by reference into this prospectus supplement.</w:t>
      </w:r>
    </w:p>
    <w:p>
      <w:pPr>
        <w:spacing w:after="0" w:line="109" w:lineRule="exact"/>
        <w:rPr>
          <w:sz w:val="20"/>
          <w:szCs w:val="20"/>
          <w:color w:val="auto"/>
        </w:rPr>
      </w:pPr>
    </w:p>
    <w:p>
      <w:pPr>
        <w:ind w:left="126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4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32"/>
          <w:szCs w:val="32"/>
          <w:b w:val="1"/>
          <w:bCs w:val="1"/>
          <w:color w:val="auto"/>
        </w:rPr>
        <w:t>H.C. Wainwright &amp; Co.</w:t>
      </w:r>
    </w:p>
    <w:p>
      <w:pPr>
        <w:spacing w:after="0" w:line="16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The date of this prospectus supplement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733425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 SUPPLEMENT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MARKET AND INDUSTRY DATA</w:t>
      </w:r>
    </w:p>
    <w:p>
      <w:pPr>
        <w:spacing w:after="0" w:line="50" w:lineRule="exact"/>
        <w:rPr>
          <w:sz w:val="20"/>
          <w:szCs w:val="20"/>
          <w:color w:val="auto"/>
        </w:rPr>
      </w:pPr>
    </w:p>
    <w:p>
      <w:pPr>
        <w:ind w:left="1260" w:right="940"/>
        <w:spacing w:after="0" w:line="358" w:lineRule="auto"/>
        <w:rPr>
          <w:sz w:val="20"/>
          <w:szCs w:val="20"/>
          <w:color w:val="auto"/>
        </w:rPr>
      </w:pPr>
      <w:r>
        <w:rPr>
          <w:rFonts w:ascii="Times New Roman" w:cs="Times New Roman" w:eastAsia="Times New Roman" w:hAnsi="Times New Roman"/>
          <w:sz w:val="18"/>
          <w:szCs w:val="18"/>
          <w:u w:val="single" w:color="auto"/>
          <w:color w:val="0000EE"/>
        </w:rPr>
        <w:t>CAUTIONARY NOTE REGARDING FORWARD-LOOKING STATEMENTS PROSPECTUS SUPPLEMENT SUMMARY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-242570</wp:posOffset>
            </wp:positionV>
            <wp:extent cx="52120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99695</wp:posOffset>
            </wp:positionV>
            <wp:extent cx="52120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CERTAIN MATERIAL UNITED STATES FEDERAL INCOME TAX CONSEQUENCES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1680"/>
        <w:spacing w:after="0" w:line="344" w:lineRule="auto"/>
        <w:rPr>
          <w:sz w:val="20"/>
          <w:szCs w:val="20"/>
          <w:color w:val="auto"/>
        </w:rPr>
      </w:pPr>
      <w:r>
        <w:rPr>
          <w:rFonts w:ascii="Times New Roman" w:cs="Times New Roman" w:eastAsia="Times New Roman" w:hAnsi="Times New Roman"/>
          <w:sz w:val="18"/>
          <w:szCs w:val="18"/>
          <w:u w:val="single" w:color="auto"/>
          <w:color w:val="0000EE"/>
        </w:rPr>
        <w:t>WHERE YOU CAN FIND ADDITIONAL INFORMATION INCORPORATION OF CERTAIN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S-3</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S-5</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S-22</w:t>
      </w:r>
      <w:r>
        <w:rPr>
          <w:rFonts w:ascii="Times New Roman" w:cs="Times New Roman" w:eastAsia="Times New Roman" w:hAnsi="Times New Roman"/>
          <w:sz w:val="18"/>
          <w:szCs w:val="18"/>
          <w:color w:val="auto"/>
        </w:rPr>
        <w:t>​</w:t>
      </w:r>
    </w:p>
    <w:p>
      <w:pPr>
        <w:sectPr>
          <w:pgSz w:w="11900" w:h="16838" w:orient="portrait"/>
          <w:cols w:equalWidth="0" w:num="2">
            <w:col w:w="8160" w:space="720"/>
            <w:col w:w="99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U.S. Securities and Exchange Commission (the “SEC”) under the Securities Act of 1933, as amended (the Securities Act”), utilizing a “shelf” registration process. This prospectus supplement and the accompanying prospectus relate to the offer by us of shares of our common stock to certain investors. Under the shelf registration process, we may offer shares of our common stock having an aggregate offering price of up to $500,000,000 from time to time under this prospectus supplement and the accompanying prospectus at prices and on terms to be determined by market conditions at the time of the offering.</w:t>
      </w:r>
    </w:p>
    <w:p>
      <w:pPr>
        <w:spacing w:after="0" w:line="32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provide information to you about this offering of shares of our common stock in in two separate documents that are bound together: (1) this prospectus supplement, which describes the specific details regarding this offering, and (2) the accompanying prospectus, which provides general information, some of which may not apply to this offering. Generally, when we refer to this “prospectus,” we are referring to both documents combined. If information in this prospectus supplement is inconsistent with the accompanying prospectus, you should rely on this prospectus supplement. In addition, to, the extent there is a conflict between the information contained in this prospectus supplement, on the one hand, and the information contained in any document incorporated by reference that was filed with the SEC before the date of this prospectus supplement, on the other hand, you should rely on the information in this sales agreement prospectus supplement.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spacing w:after="0" w:line="33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documents incorporated by reference therein, describes the specific terms of this offering. We urge you to carefully read this prospectus supplement and the accompanying prospectus, and the documents incorporated by reference herein and therein, before buying any of the securities being offered under this prospectus supplement. This prospectus supplement may add to or update information contained in the accompanying prospectus and the documents incorporated by reference therein. To the extent that any statement we make in this prospectus supplement is inconsistent with statements made in the accompanying prospectus or any documents incorporated by reference therein that were filed before the date of this prospectus supplement, the statements made in this prospectus supplement will be deemed to modify or supersede those made in the accompanying prospectus and such documents incorporated by reference therein.</w:t>
      </w:r>
    </w:p>
    <w:p>
      <w:pPr>
        <w:spacing w:after="0" w:line="11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supplement and the accompanying prospectus or incorporated by reference herein or therein.</w:t>
      </w:r>
    </w:p>
    <w:p>
      <w:pPr>
        <w:spacing w:after="0" w:line="91"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We have not, and the sales agent has not, authorized anyone to provide any information or to make any representations other than those contained in this prospectus supplement, the accompanying prospectus or in any free writing prospectuses prepared by or on behalf of us or to which we have referred you. We and the sales agent take no responsibility for, and can provide no assurance as to the reliability of, any other information that others may give you. This prospectus supplement is an offer to sell only the securities offered hereby, but only under circumstances and in jurisdictions where it is lawful to do so. The information contained in this prospectus supplement, the accompanying prospectus or in any applicable free writing prospectus is current only as of its date, regardless of its time of delivery or any sale of our securities. Our business, financial condition, results of operations and prospects may have changed since that date. You should read this prospectus supplement and the documents incorporated by reference in this prospectus supplement in their entirety before making an investment decision. You should also read and consider the information in the documents to which we have referred you in the sections of this prospectus supplement entitled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Where You Can Find More Information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Incorporation of Certain Information by Reference.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These documents contain important information that you should consider when making your investment decision</w:t>
      </w:r>
    </w:p>
    <w:p>
      <w:pPr>
        <w:spacing w:after="0" w:line="98"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7"/>
          <w:szCs w:val="17"/>
          <w:b w:val="1"/>
          <w:bCs w:val="1"/>
          <w:color w:val="auto"/>
        </w:rPr>
        <w:t>For investors outside of the United States: we have not, and the sales agent has not, done anything that would permit this offering or possession or distribution of this prospectus supplement, the accompanying prospectus or any free writing prospectuses in any jurisdiction where action for that purpose is required, other than in the United States. Persons outside of the United States who come into possession of this prospectus</w:t>
      </w:r>
    </w:p>
    <w:p>
      <w:pPr>
        <w:spacing w:after="0" w:line="3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spacing w:after="0" w:line="291" w:lineRule="auto"/>
        <w:rPr>
          <w:sz w:val="20"/>
          <w:szCs w:val="20"/>
          <w:color w:val="auto"/>
        </w:rPr>
      </w:pPr>
      <w:r>
        <w:rPr>
          <w:rFonts w:ascii="Times New Roman" w:cs="Times New Roman" w:eastAsia="Times New Roman" w:hAnsi="Times New Roman"/>
          <w:sz w:val="17"/>
          <w:szCs w:val="17"/>
          <w:b w:val="1"/>
          <w:bCs w:val="1"/>
          <w:color w:val="auto"/>
        </w:rPr>
        <w:t>supplement, the accompanying prospectus or any free writing prospectuses must inform themselves about, and observe any restrictions relating to, the offering of our securities and the distribution of this prospectus supplement, the accompanying prospectus or any free writing prospectuses outside of the United States.</w:t>
      </w:r>
    </w:p>
    <w:p>
      <w:pPr>
        <w:spacing w:after="0" w:line="8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You should assume that the information in this prospectus supplement and the accompanying prospectus is accurate only as of the date on the front of the applicable document and that any information we have incorporated by reference is accurate only as of the date of the document incorporated by reference, regardless of the date of delivery of this prospectus supplement or the accompanying prospectus, or the date of any sale of a security.</w:t>
      </w:r>
    </w:p>
    <w:p>
      <w:pPr>
        <w:spacing w:after="0" w:line="116"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Unless otherwise mentioned or unless the context requires otherwise, all references in this prospectus supplement to the “Company,” “we,” “us,” “our,” and “Gevo” refer to Gevo, Inc.,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7"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We use various of our trademarks, including, without limitation, Gevo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 this prospectus supplement, the accompanying prospectus and the documents incorporated by reference herein. This prospectus supplement includes, the accompanying prospectus includes, and the documents incorporated by reference herein include, trademarks, trade names and service marks that are the property of other organizations.</w:t>
      </w:r>
    </w:p>
    <w:p>
      <w:pPr>
        <w:spacing w:after="0" w:line="130" w:lineRule="exact"/>
        <w:rPr>
          <w:sz w:val="20"/>
          <w:szCs w:val="20"/>
          <w:color w:val="auto"/>
        </w:rPr>
      </w:pPr>
    </w:p>
    <w:p>
      <w:pPr>
        <w:ind w:left="1260" w:right="559" w:firstLine="360"/>
        <w:spacing w:after="0" w:line="233" w:lineRule="auto"/>
        <w:rPr>
          <w:sz w:val="20"/>
          <w:szCs w:val="20"/>
          <w:color w:val="auto"/>
        </w:rPr>
      </w:pPr>
      <w:r>
        <w:rPr>
          <w:rFonts w:ascii="Times New Roman" w:cs="Times New Roman" w:eastAsia="Times New Roman" w:hAnsi="Times New Roman"/>
          <w:sz w:val="18"/>
          <w:szCs w:val="18"/>
          <w:color w:val="auto"/>
        </w:rPr>
        <w:t xml:space="preserve">Solely for convenience, trademarks and trade names referred to in this prospectus supplement, the accompanying prospectus and the documents incorporated by reference herein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 symbols, but those references are not intended to indicate, in any way, that we or the applicable owner will not assert, to the fullest extent under applicable law, our or its rights to these trademarks and trade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62" w:lineRule="exact"/>
        <w:rPr>
          <w:sz w:val="20"/>
          <w:szCs w:val="20"/>
          <w:color w:val="auto"/>
        </w:rPr>
      </w:pPr>
    </w:p>
    <w:p>
      <w:pPr>
        <w:ind w:left="1260" w:right="479" w:firstLine="360"/>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Unless otherwise indicated, information contained in this prospectus supplement, the accompanying prospectus and the documents incorporated by reference herein concerning our industry and the markets in which we operate, including our general expectations and market position, market opportunity, market size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This data involves a number of assumptions and limitations. In addition, assumptions and estimates of our and our industry’s future performance are necessarily subject to a high degree of uncertainty and risk due to a variety of factors, including those described in “Risk Factors” and elsewhere in this prospectus supplement, </w:t>
      </w:r>
      <w:hyperlink r:id="rId56">
        <w:r>
          <w:rPr>
            <w:rFonts w:ascii="Times New Roman" w:cs="Times New Roman" w:eastAsia="Times New Roman" w:hAnsi="Times New Roman"/>
            <w:sz w:val="18"/>
            <w:szCs w:val="18"/>
            <w:color w:val="auto"/>
          </w:rPr>
          <w:t xml:space="preserve">the accompanying prospectus and in the sections entitled “Risk Factors” in our </w:t>
        </w:r>
        <w:r>
          <w:rPr>
            <w:rFonts w:ascii="Times New Roman" w:cs="Times New Roman" w:eastAsia="Times New Roman" w:hAnsi="Times New Roman"/>
            <w:sz w:val="18"/>
            <w:szCs w:val="18"/>
            <w:u w:val="single" w:color="auto"/>
            <w:color w:val="0000EE"/>
          </w:rPr>
          <w:t>Annual Report on Form 10-</w:t>
        </w:r>
      </w:hyperlink>
      <w:hyperlink r:id="rId56">
        <w:r>
          <w:rPr>
            <w:rFonts w:ascii="Times New Roman" w:cs="Times New Roman" w:eastAsia="Times New Roman" w:hAnsi="Times New Roman"/>
            <w:sz w:val="18"/>
            <w:szCs w:val="18"/>
            <w:u w:val="single" w:color="auto"/>
            <w:color w:val="0000EE"/>
          </w:rPr>
          <w:t>K for the year ended December 31, 2022, filed with the SEC on March 9, 2023</w:t>
        </w:r>
        <w:r>
          <w:rPr>
            <w:rFonts w:ascii="Times New Roman" w:cs="Times New Roman" w:eastAsia="Times New Roman" w:hAnsi="Times New Roman"/>
            <w:sz w:val="18"/>
            <w:szCs w:val="18"/>
            <w:color w:val="000000"/>
          </w:rPr>
          <w:t>, which is incorporated by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reference herein. These and other factors could cause our future performance to differ materially from our assumptions and estimates and those made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Certain statements in this prospectus supplement, the accompanying prospectus and the documents incorporated herein and therein by reference include “forward-looking statements” within the meaning of the Private Securities Litigation Reform Act of 1995, Section 27A of the Securities Act and Section 21E of the Securities Exchange Act of 1934, as amended (the “Exchange Act”). When used in this prospectus supplement, the accompanying prospectus and the documents incorporated by reference herein and therein, the words “expect,” “believe,” “anticipate,” “estimate,” “intend,” “plan” and similar expressions are intended to identify forward-looking statements.</w:t>
      </w:r>
    </w:p>
    <w:p>
      <w:pPr>
        <w:spacing w:after="0" w:line="121"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our financial condition, our results of operation and liquidity, our ability to finance, develop, and construct our Net-Zero Projects, a series of planned facilities to produce energy dense liquid hydrocarbons using renewable energy and our proprietary technology, as well as other growth projects, our ability to produce our products, our ability to meet production, financial and operational guidance, our ability to generate revenue from our executed contracts, our strategy to pursue low-carbon or “net-zero” carbon renewable fuels for sale into California and elsewhere, our ability to replace our fossil-based energy sources with renewable energy sources at our Net-Zero Projects and elsewhere, our ability and plans to construct greenfield commercial hydrocarbon facilities to produce sustainable aviation fuel (“SAF”) and other products, our ability to raise additional funds to finance our business, our ability to perform under our existing offtake agreements and other sales agreements we may enter into in the future, our ability to successfully operate our renewable natural gas project in Iowa, our ability to produce renewable hydrocarbon products at a commercial level and at a profit, the availability of, and market prices for, government economic incentives to the renewable energy market, achievement of advances in our technology platform, the availability of suitable and cost-competitive feedstocks, our ability to gain market acceptance for our products, the expected cost-competitiveness and relative performance attributes of our products, our strategy to pursue alcohol-to-SAF development and production, additional competition and changes in economic conditions and the future price and volatility of petroleum and products derived from petroleum, and statements regarding our intended uses of the proceeds of the shares of common stock offered hereby.</w:t>
      </w:r>
    </w:p>
    <w:p>
      <w:pPr>
        <w:spacing w:after="0" w:line="340"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Important factors could cause actual results to differ materially from those indicated or implied by forward-looking statements such as those contained in documents we have filed with the SEC, including, but not limited to, those in the sections entitled “Risk Factors” and “Management’s Discussion and Analysis of Financial Condition and Results of Operations” in the documents incorporated by reference herein, and the section entitled “Risk Factors” of this prospectus and any accompanying prospectus supplement. All forward-looking statements in this prospectus, any accompanying prospectus supplement and the documents incorporated by reference herein are qualified entirely by the cautionary statements included in this prospectus, any accompanying prospectus supplement and the documents incorporated by reference herein. These risks and uncertainties or other important factors could cause actual results to differ materially from results expressed or implied by forward-looking statements contained in this prospectus supplement, the accompanying prospectus and the documents incorporated by reference herein. These forward-looking statements speak only as of the date made. Except as required by applicable law, we undertake no intention or obligation to update or revise any forward-looking statements, whether as a result of new information, future events or otherwise, and you should not rely on the forward-looking statements as representing our views as of any date subsequent to the date such statement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1280" w:right="399" w:firstLine="360"/>
        <w:spacing w:after="0" w:line="253"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The following summary highlights information contained elsewhere in this prospectus supplement and the accompanying prospectus and does not contain all of the information that you should consider in making your investment decision. Before investing in our securities, you should read this entire prospectus supplement and the accompanying prospectus carefully, including the documents incorporated by reference herein and therein, including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elsewhere in this prospectus supplement and the accompanying prospectus, the sections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our audited consolidated </w:t>
      </w:r>
      <w:hyperlink r:id="rId56">
        <w:r>
          <w:rPr>
            <w:rFonts w:ascii="Times New Roman" w:cs="Times New Roman" w:eastAsia="Times New Roman" w:hAnsi="Times New Roman"/>
            <w:sz w:val="18"/>
            <w:szCs w:val="18"/>
            <w:i w:val="1"/>
            <w:iCs w:val="1"/>
            <w:color w:val="auto"/>
          </w:rPr>
          <w:t xml:space="preserve">financial statements and the related notes thereto, each included in our </w:t>
        </w:r>
        <w:r>
          <w:rPr>
            <w:rFonts w:ascii="Times New Roman" w:cs="Times New Roman" w:eastAsia="Times New Roman" w:hAnsi="Times New Roman"/>
            <w:sz w:val="18"/>
            <w:szCs w:val="18"/>
            <w:i w:val="1"/>
            <w:iCs w:val="1"/>
            <w:u w:val="single" w:color="auto"/>
            <w:color w:val="0000EE"/>
          </w:rPr>
          <w:t>Annual Report on Form 10-K for the</w:t>
        </w:r>
      </w:hyperlink>
      <w:r>
        <w:rPr>
          <w:rFonts w:ascii="Times New Roman" w:cs="Times New Roman" w:eastAsia="Times New Roman" w:hAnsi="Times New Roman"/>
          <w:sz w:val="18"/>
          <w:szCs w:val="18"/>
          <w:i w:val="1"/>
          <w:iCs w:val="1"/>
          <w:color w:val="auto"/>
        </w:rPr>
        <w:t xml:space="preserve"> </w:t>
      </w:r>
      <w:hyperlink r:id="rId56">
        <w:r>
          <w:rPr>
            <w:rFonts w:ascii="Times New Roman" w:cs="Times New Roman" w:eastAsia="Times New Roman" w:hAnsi="Times New Roman"/>
            <w:sz w:val="18"/>
            <w:szCs w:val="18"/>
            <w:i w:val="1"/>
            <w:iCs w:val="1"/>
            <w:u w:val="single" w:color="auto"/>
            <w:color w:val="0000EE"/>
          </w:rPr>
          <w:t>year ended December 31, 2022, filed with the SEC on March 9, 2023</w:t>
        </w:r>
        <w:r>
          <w:rPr>
            <w:rFonts w:ascii="Times New Roman" w:cs="Times New Roman" w:eastAsia="Times New Roman" w:hAnsi="Times New Roman"/>
            <w:sz w:val="18"/>
            <w:szCs w:val="18"/>
            <w:i w:val="1"/>
            <w:iCs w:val="1"/>
            <w:color w:val="000000"/>
          </w:rPr>
          <w:t>, which is incorporated by reference</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 xml:space="preserve">herein. Some of the statements in this prospectus supplement, the accompanying prospectus and in the documents incorporated by reference herein and therein, constitute forward-looking statements. See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Cautionary Note Regarding Forward-Looking Statements.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ind w:left="1280" w:right="479" w:firstLine="360"/>
        <w:spacing w:after="0" w:line="282" w:lineRule="auto"/>
        <w:rPr>
          <w:sz w:val="20"/>
          <w:szCs w:val="20"/>
          <w:color w:val="auto"/>
        </w:rPr>
      </w:pPr>
      <w:r>
        <w:rPr>
          <w:rFonts w:ascii="Times New Roman" w:cs="Times New Roman" w:eastAsia="Times New Roman" w:hAnsi="Times New Roman"/>
          <w:sz w:val="18"/>
          <w:szCs w:val="18"/>
          <w:color w:val="auto"/>
        </w:rPr>
        <w:t>We are a growth-oriented company with the mission of solving greenhouse gas (“GHG”) emissions for those sectors of the transportation industry that are not amenable to electrification or hydrogen.</w:t>
      </w:r>
    </w:p>
    <w:p>
      <w:pPr>
        <w:spacing w:after="0" w:line="81" w:lineRule="exact"/>
        <w:rPr>
          <w:sz w:val="20"/>
          <w:szCs w:val="20"/>
          <w:color w:val="auto"/>
        </w:rPr>
      </w:pPr>
    </w:p>
    <w:p>
      <w:pPr>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We are focused on transforming renewable energy into energy-dense liquid drop-in hydrocarbons that can be used as renewable fuels, such as sustainable aviation fuel (“SAF”) and other fuels and chemicals, with the potential to achieve a “net-zero” GHG, or even carbon negative footprint measured by the Argonne National Laboratory’s GREET (Greenhouse gases, Regulated Emissions, and Energy use in Transportation) model (the “GREET Model”) to measure, predict and verify GHG emissions across the life-cycle. Our “net-zero” concept means production of drop-in hydrocarbon fuels by using sustainably grown feedstocks (e.g., low till, no-till and dry corn cultivation), renewable and substantially decarbonized energy sources, resulting in a net-zero carbon footprint from the full life cycle of the fuel measured from the capture of renewable carbon through the burning of the fuel.</w:t>
      </w:r>
    </w:p>
    <w:p>
      <w:pPr>
        <w:spacing w:after="0" w:line="121" w:lineRule="exact"/>
        <w:rPr>
          <w:sz w:val="20"/>
          <w:szCs w:val="20"/>
          <w:color w:val="auto"/>
        </w:rPr>
      </w:pPr>
    </w:p>
    <w:p>
      <w:pPr>
        <w:ind w:left="1280" w:right="419" w:firstLine="360"/>
        <w:spacing w:after="0" w:line="255" w:lineRule="auto"/>
        <w:rPr>
          <w:sz w:val="20"/>
          <w:szCs w:val="20"/>
          <w:color w:val="auto"/>
        </w:rPr>
      </w:pPr>
      <w:r>
        <w:rPr>
          <w:rFonts w:ascii="Times New Roman" w:cs="Times New Roman" w:eastAsia="Times New Roman" w:hAnsi="Times New Roman"/>
          <w:sz w:val="18"/>
          <w:szCs w:val="18"/>
          <w:color w:val="auto"/>
        </w:rPr>
        <w:t>Our primary market focus, given current demand and growing customer interest, is SAF. We believe that SAF from carbohydrates to alcohol is the most economically viable approach for carbon abatement. We also have commercial opportunities for other renewable hydrocarbon products, such as (i) renewable natural gas, also known as biogas or RNG, (ii) hydrocarbons for gasoline blendstocks and diesel fuel, and</w:t>
      </w:r>
    </w:p>
    <w:p>
      <w:pPr>
        <w:spacing w:after="0" w:line="3" w:lineRule="exact"/>
        <w:rPr>
          <w:sz w:val="20"/>
          <w:szCs w:val="20"/>
          <w:color w:val="auto"/>
        </w:rPr>
      </w:pPr>
    </w:p>
    <w:p>
      <w:pPr>
        <w:ind w:left="1280" w:right="439" w:hanging="2"/>
        <w:spacing w:after="0" w:line="252" w:lineRule="auto"/>
        <w:tabs>
          <w:tab w:leader="none" w:pos="16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plastics, materials and other chemicals. We are engaged in technology, process and intellectual property development targeted to large scale deployment of net-zero hydrocarbon fuels and chemicals. We are developing the marketplace and customers for SAF and other related products. We also are engaged as a developer and enabler/licensor for large scale commercial production, and we expect to be a co-investor on certain projects. Our business model is that of a developer of projects, a licensor, process technology developer, and operator of certain assets in the future.</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1280" w:right="1059" w:firstLine="360"/>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June 2005 under the name Methanotech, Inc. and filed an amendment to our certificate of incorporation changing our name to Gevo, Inc. on March 29, 2006.</w:t>
      </w:r>
    </w:p>
    <w:p>
      <w:pPr>
        <w:spacing w:after="0" w:line="81" w:lineRule="exact"/>
        <w:rPr>
          <w:sz w:val="20"/>
          <w:szCs w:val="20"/>
          <w:color w:val="auto"/>
        </w:rPr>
      </w:pPr>
    </w:p>
    <w:p>
      <w:pPr>
        <w:ind w:left="1280" w:right="539" w:firstLine="36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345 Inverness Drive South, Building C, Suite 310, Englewood, CO 80112, and our telephone number is (303) 858-8358. We maintain an Internet website at www.gevo.com. Information contained in or accessible through our website does not constitute part of this prospectus supplement or the accompanying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Gevo, Inc.</w:t>
      </w:r>
    </w:p>
    <w:p>
      <w:pPr>
        <w:spacing w:after="0" w:line="117"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Common stock offered by us</w:t>
      </w:r>
      <w:r>
        <w:rPr>
          <w:sz w:val="20"/>
          <w:szCs w:val="20"/>
          <w:color w:val="auto"/>
        </w:rPr>
        <w:tab/>
      </w:r>
      <w:r>
        <w:rPr>
          <w:rFonts w:ascii="Times New Roman" w:cs="Times New Roman" w:eastAsia="Times New Roman" w:hAnsi="Times New Roman"/>
          <w:sz w:val="18"/>
          <w:szCs w:val="18"/>
          <w:color w:val="auto"/>
        </w:rPr>
        <w:t>Shares of common stock having an aggregate offering price of up</w:t>
      </w:r>
    </w:p>
    <w:p>
      <w:pPr>
        <w:spacing w:after="0" w:line="2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to $500,000,000.</w:t>
      </w:r>
    </w:p>
    <w:p>
      <w:pPr>
        <w:spacing w:after="0" w:line="99"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Plan of distribution</w:t>
      </w:r>
      <w:r>
        <w:rPr>
          <w:sz w:val="20"/>
          <w:szCs w:val="20"/>
          <w:color w:val="auto"/>
        </w:rPr>
        <w:tab/>
      </w:r>
      <w:r>
        <w:rPr>
          <w:rFonts w:ascii="Times New Roman" w:cs="Times New Roman" w:eastAsia="Times New Roman" w:hAnsi="Times New Roman"/>
          <w:sz w:val="18"/>
          <w:szCs w:val="18"/>
          <w:color w:val="auto"/>
        </w:rPr>
        <w:t>At-the-market offering that may be made from time to time</w:t>
      </w:r>
    </w:p>
    <w:p>
      <w:pPr>
        <w:spacing w:after="0" w:line="27" w:lineRule="exact"/>
        <w:rPr>
          <w:sz w:val="20"/>
          <w:szCs w:val="20"/>
          <w:color w:val="auto"/>
        </w:rPr>
      </w:pPr>
    </w:p>
    <w:p>
      <w:pPr>
        <w:ind w:left="4520" w:right="419"/>
        <w:spacing w:after="0" w:line="252" w:lineRule="auto"/>
        <w:rPr>
          <w:sz w:val="20"/>
          <w:szCs w:val="20"/>
          <w:color w:val="auto"/>
        </w:rPr>
      </w:pPr>
      <w:r>
        <w:rPr>
          <w:rFonts w:ascii="Times New Roman" w:cs="Times New Roman" w:eastAsia="Times New Roman" w:hAnsi="Times New Roman"/>
          <w:sz w:val="18"/>
          <w:szCs w:val="18"/>
          <w:color w:val="auto"/>
        </w:rPr>
        <w:t>through our sales agent, Wainwright. We may sell shares of our common stock to Wainwright as principal for its own account, at a price per share agreed upon at the time of sale. If we sell shares to Wainwright as principal, we will enter into a separate terms agreement setting forth the terms of such transaction, and we will describe the agreement in a separate prospectus or pricing supplement. See “Plan of Distribution.”</w:t>
      </w:r>
    </w:p>
    <w:p>
      <w:pPr>
        <w:spacing w:after="0" w:line="80"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intend to use the net proceeds from this offering to fund</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capital projects, working capital and for general corporate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purposes.</w:t>
      </w:r>
    </w:p>
    <w:p>
      <w:pPr>
        <w:spacing w:after="0" w:line="99"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Nasdaq Capital Market symbol</w:t>
      </w:r>
      <w:r>
        <w:rPr>
          <w:sz w:val="20"/>
          <w:szCs w:val="20"/>
          <w:color w:val="auto"/>
        </w:rPr>
        <w:tab/>
      </w:r>
      <w:r>
        <w:rPr>
          <w:rFonts w:ascii="Times New Roman" w:cs="Times New Roman" w:eastAsia="Times New Roman" w:hAnsi="Times New Roman"/>
          <w:sz w:val="18"/>
          <w:szCs w:val="18"/>
          <w:color w:val="auto"/>
        </w:rPr>
        <w:t>GEVO</w:t>
      </w:r>
    </w:p>
    <w:p>
      <w:pPr>
        <w:spacing w:after="0" w:line="117"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Transfer agent</w:t>
      </w:r>
      <w:r>
        <w:rPr>
          <w:sz w:val="20"/>
          <w:szCs w:val="20"/>
          <w:color w:val="auto"/>
        </w:rPr>
        <w:tab/>
      </w:r>
      <w:r>
        <w:rPr>
          <w:rFonts w:ascii="Times New Roman" w:cs="Times New Roman" w:eastAsia="Times New Roman" w:hAnsi="Times New Roman"/>
          <w:sz w:val="18"/>
          <w:szCs w:val="18"/>
          <w:color w:val="auto"/>
        </w:rPr>
        <w:t>Equiniti Trust Company LLC</w:t>
      </w:r>
    </w:p>
    <w:p>
      <w:pPr>
        <w:spacing w:after="0" w:line="117" w:lineRule="exact"/>
        <w:rPr>
          <w:sz w:val="20"/>
          <w:szCs w:val="20"/>
          <w:color w:val="auto"/>
        </w:rPr>
      </w:pPr>
    </w:p>
    <w:p>
      <w:pPr>
        <w:ind w:left="1280"/>
        <w:spacing w:after="0"/>
        <w:tabs>
          <w:tab w:leader="none" w:pos="450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This investment involves a high degree of risk. See “Risk</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Factors” for a discussion of factors you should carefully consider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before deciding to invest in our securities.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Prior to making a decision about</w:t>
      </w:r>
    </w:p>
    <w:p>
      <w:pPr>
        <w:spacing w:after="0" w:line="18"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investing in our securities, you should carefully consider the following risks and uncertainties, as well as those discussed under the caption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accompanying prospectus and in the documents incorporated by reference herein and therein. If any of the risks described in this prospectus supplement, the accompanying prospectus or the documents incorporated by reference herein and therein, actually occur, our business, prospects, financial condition or operating results could be harmed. In that case, the trading price of our securities could decline, and you may lose all or part of your investment. Additional risks and uncertainties not presently known to us or that we currently believe are immaterial may also impair our business operations and our liquidity. You should also refer to the other information contained in this prospectus supplement and the accompanying prospectus, or incorporated by reference herein and therein, including our financial statements and the related notes thereto and the information set forth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Common Stock</w:t>
      </w:r>
    </w:p>
    <w:p>
      <w:pPr>
        <w:spacing w:after="0" w:line="117"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the net proceeds from this offering, and we may not use the proceeds effectively.</w:t>
      </w:r>
    </w:p>
    <w:p>
      <w:pPr>
        <w:spacing w:after="0" w:line="90"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could spend the proceeds in ways that do not improve our results of operations or enhance the value of our common stock. For example, management could invest the proceeds in assets or capital projects that do not produce attractive returns or to make acquisitions of properties or businesses that do not prove to be attractive or otherwise are unsuccessful. Conversely, management may not be able to identify and complete prospects, investments or acquisitions. Our failure to apply these funds effectively could have a material adverse effect on our business, financial condition and results of operations and cause the price of our common stock to decline.</w:t>
      </w:r>
    </w:p>
    <w:p>
      <w:pPr>
        <w:spacing w:after="0" w:line="387" w:lineRule="exact"/>
        <w:rPr>
          <w:sz w:val="20"/>
          <w:szCs w:val="20"/>
          <w:color w:val="auto"/>
        </w:rPr>
      </w:pPr>
    </w:p>
    <w:p>
      <w:pPr>
        <w:ind w:left="1260" w:right="9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common stock offered hereby will be sold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at-the-market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offerings, and investors who buy shares at different times will likely pay different prices.</w:t>
      </w:r>
    </w:p>
    <w:p>
      <w:pPr>
        <w:spacing w:after="0" w:line="90" w:lineRule="exact"/>
        <w:rPr>
          <w:sz w:val="20"/>
          <w:szCs w:val="20"/>
          <w:color w:val="auto"/>
        </w:rPr>
      </w:pPr>
    </w:p>
    <w:p>
      <w:pPr>
        <w:jc w:val="both"/>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Investors who purchase shares under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declines in the value of their shares as a result of share sales made at prices lower than the prices they paid.</w:t>
      </w:r>
    </w:p>
    <w:p>
      <w:pPr>
        <w:spacing w:after="0" w:line="191"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Sales Agreement and the gross proceeds resulting from those sales, at any one time or in total, is uncertain.</w:t>
      </w:r>
    </w:p>
    <w:p>
      <w:pPr>
        <w:spacing w:after="0" w:line="90"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sales notice to Wainwright at any time throughout the term of the Sales Agreement. The number of shares that are sold by Wainwright after delivering a sales notice will fluctuate based on the market price of the common stock during the sales period and limits we set with Wainwright. Because the price per share of each share sold will fluctuate based on the market price of our common stock during the sales period, it is not possible at this stage to predict the number of shares that will be ultimately issued by us under the Sales Agreement or the gross proceeds to be raised in connection with those sales.</w:t>
      </w:r>
    </w:p>
    <w:p>
      <w:pPr>
        <w:spacing w:after="0" w:line="177" w:lineRule="exact"/>
        <w:rPr>
          <w:sz w:val="20"/>
          <w:szCs w:val="20"/>
          <w:color w:val="auto"/>
        </w:rPr>
      </w:pPr>
    </w:p>
    <w:p>
      <w:pPr>
        <w:ind w:left="1260" w:right="8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adversely affected by the future issuance and sale of additional shares of our common stock, including pursuant to the Sales Agreement, or by our announcement that such issuances and sales may occur.</w:t>
      </w:r>
    </w:p>
    <w:p>
      <w:pPr>
        <w:spacing w:after="0" w:line="101"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As of January 10, 2024, there were 240,499,833 shares of our common stock outstanding. All of our issued and outstanding shares may be sold in the market, including any shares of common stock issued pursuant to the Sales Agreement, and will be freely tradeable, except for any shares held by our “affiliates,” as that term is defined in Rule 144 under the Securities Act. We cannot predict the size of future issuances or sales of shares of our common stock, including those made pursuant to the Sales Agreement with the sales agent or in connection with future acquisitions or capital raising activities, or the effect, if any, that such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47" w:lineRule="auto"/>
        <w:rPr>
          <w:sz w:val="20"/>
          <w:szCs w:val="20"/>
          <w:color w:val="auto"/>
        </w:rPr>
      </w:pPr>
      <w:r>
        <w:rPr>
          <w:rFonts w:ascii="Times New Roman" w:cs="Times New Roman" w:eastAsia="Times New Roman" w:hAnsi="Times New Roman"/>
          <w:sz w:val="18"/>
          <w:szCs w:val="18"/>
          <w:color w:val="auto"/>
        </w:rPr>
        <w:t>issuances or sales may have on the market price of our common stock. The issuance and sale of substantial amounts of shares of our common stock, including issuances and sales pursuant to the Sales Agreement, or announcement that such issuances and sales may occur, could adversely affect the market price of our common stock. If there are more shares of common stock offered for sale than buyers are willing to purchase, then the market price of our common stock may decline to a market price at which buyers are willing to purchase the offered shares of common stock and sellers remain willing to sell the shares.</w:t>
      </w:r>
    </w:p>
    <w:p>
      <w:pPr>
        <w:spacing w:after="0" w:line="11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In addition, sales of stock by any of our executive officers or directors could have a material adverse effect on the trading price of our common stock.</w:t>
      </w:r>
    </w:p>
    <w:p>
      <w:pPr>
        <w:spacing w:after="0" w:line="172" w:lineRule="exact"/>
        <w:rPr>
          <w:sz w:val="20"/>
          <w:szCs w:val="20"/>
          <w:color w:val="auto"/>
        </w:rPr>
      </w:pPr>
    </w:p>
    <w:p>
      <w:pPr>
        <w:jc w:val="both"/>
        <w:ind w:left="1260" w:right="8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Future issuances of our common stock or instruments convertible or exercisable into our common stock may materially and adversely affect the price of our common stock and cause dilution to our existing stockholders.</w:t>
      </w:r>
    </w:p>
    <w:p>
      <w:pPr>
        <w:spacing w:after="0" w:line="67"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Historically, we have raised capital by issuing common stock and warrants in public offerings because no other reasonable sources of capital were available. These public offerings of common stock and warrants have materially and adversely affected the prevailing market prices of our common stock and caused significant dilution to our stockholders. We have also historically raised capital or refinanced outstanding debt through the issuance of convertible notes.</w:t>
      </w:r>
    </w:p>
    <w:p>
      <w:pPr>
        <w:spacing w:after="0" w:line="114"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We may need to raise capital through these public offerings of common stock, warrants and convertible debt in the future. We may obtain additional funds through public or private debt or equity financings, subject to certain limitations in the agreements governing our indebtedness outstanding at such time. If we issue additional shares of common stock or instruments convertible into common stock, it may materially and adversely affect the price of our common stock. In addition, the exercise of some or all of our warrants may dilute the ownership interests of our stockholders, and any sales in the public market of any of our common stock issuable upon such conversion or exercise could adversely affect prevailing market prices of our common stock.</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your investment in our shares could suffer a decline in value.</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market price of shares of our common stock has experienced significant price and volume fluctuations. We cannot predict whether the price of our common stock will rise or fall. A variety of factors may have a significant effect on our stock price, including:</w:t>
      </w:r>
    </w:p>
    <w:p>
      <w:pPr>
        <w:spacing w:after="0" w:line="61"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liquidity, financial condition and operating results;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position of our cash and cash equivalents;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costs required to construct our “Net-Zero Projects,” a series of planned facilities to produce energy dense liquid hydrocarbons using renewable energy and our proprietary technology;</w:t>
      </w:r>
    </w:p>
    <w:p>
      <w:pPr>
        <w:spacing w:after="0" w:line="40"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certain regulatory permits or approvals for our production facilities, including our Net-Zero Projects;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competitors’ operating results or changes in their growth rate;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our partners or our competitors;</w:t>
      </w:r>
    </w:p>
    <w:p>
      <w:pPr>
        <w:spacing w:after="0" w:line="103" w:lineRule="exact"/>
        <w:rPr>
          <w:rFonts w:ascii="Times New Roman" w:cs="Times New Roman" w:eastAsia="Times New Roman" w:hAnsi="Times New Roman"/>
          <w:sz w:val="18"/>
          <w:szCs w:val="18"/>
          <w:color w:val="auto"/>
        </w:rPr>
      </w:pPr>
    </w:p>
    <w:p>
      <w:pPr>
        <w:ind w:left="1800" w:right="127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partners or our competitors of significant acquisitions, strategic partnerships, joint ventures or capital commitments;</w:t>
      </w:r>
    </w:p>
    <w:p>
      <w:pPr>
        <w:spacing w:after="0" w:line="5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modification or termination of licensing arrangements, marketing arrangements, and/or research, development, commercialization, supply, off-take or distribution arrangements;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produce commercial quantities of our products;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our indebtedness when it becomes due;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remarket, refinance, restructure or convert our current and future indebtedness;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losses of customers or partners;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certain regulatory approvals for the use of our products in various fuels and chemicals markets;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prices, including oil, ethanol and corn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scientific personnel;</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reports by securities or industry analysts;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general industry or both;</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 or the pursuit of strategic alternatives;</w:t>
      </w:r>
    </w:p>
    <w:p>
      <w:pPr>
        <w:spacing w:after="0" w:line="10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laws, regulations and policies applicable to our business and products, and the adoption of or failure to adopt carbon emissions regulation;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or equity-linked securities, such as warrants, by us or our stockholders;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 our industry;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44"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Furthermore, the stock markets have experienced extreme price and volume fluctuations that have</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regardless of our operating performance, and cause the value of your investment to decline.</w:t>
      </w:r>
    </w:p>
    <w:p>
      <w:pPr>
        <w:spacing w:after="0" w:line="32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Additionally, in the past, companies that have experienced volatility in the market price of their stock have been subject to securities class action litigation or other derivative stockholder lawsuits. We may be the target of this type of litigation in the future. Securities litigation against us could result in substantial costs and divert our management’s attention from other business concerns, which could seriously harm our business regardless of the outcome.</w:t>
      </w:r>
    </w:p>
    <w:p>
      <w:pPr>
        <w:spacing w:after="0" w:line="110" w:lineRule="exact"/>
        <w:rPr>
          <w:sz w:val="20"/>
          <w:szCs w:val="20"/>
          <w:color w:val="auto"/>
        </w:rPr>
      </w:pPr>
    </w:p>
    <w:p>
      <w:pPr>
        <w:jc w:val="both"/>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price of our common stock could also be affected by possible sales of common stock by investors who view our warrants as a more attractive means of equity participation in us and by hedging or engaging in arbitrage activity involving our common stock. The hedging or arbitrage could, in turn, affect the trading prices of our warrants, if any trading market becomes established, or any common stock that holders receive upon exercise of such warrants.</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or securities linked to our common stock, such as our warrants (should an established market for such securities then exist), in the public market could occur at any time. These sales, or the perception in the market that such sales may occur, could reduce the market price of our common stock.</w:t>
      </w:r>
    </w:p>
    <w:p>
      <w:pPr>
        <w:spacing w:after="0" w:line="173" w:lineRule="exact"/>
        <w:rPr>
          <w:sz w:val="20"/>
          <w:szCs w:val="20"/>
          <w:color w:val="auto"/>
        </w:rPr>
      </w:pPr>
    </w:p>
    <w:p>
      <w:pPr>
        <w:ind w:left="12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w:t>
      </w:r>
    </w:p>
    <w:p>
      <w:pPr>
        <w:spacing w:after="0" w:line="78"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licensing arrangements. To the extent that we raise additional capital through the sale or issuance of equity, warrants or convertible debt securities, the ownership interest of our existing stockholders will be diluted, and the terms of such securities may include liquidation or other preferences that adversely affect your rights as a stockholder. If we raise capital through debt financing, it</w:t>
      </w: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47" w:lineRule="auto"/>
        <w:rPr>
          <w:sz w:val="20"/>
          <w:szCs w:val="20"/>
          <w:color w:val="auto"/>
        </w:rPr>
      </w:pPr>
      <w:r>
        <w:rPr>
          <w:rFonts w:ascii="Times New Roman" w:cs="Times New Roman" w:eastAsia="Times New Roman" w:hAnsi="Times New Roman"/>
          <w:sz w:val="18"/>
          <w:szCs w:val="18"/>
          <w:color w:val="auto"/>
        </w:rPr>
        <w:t>may involve agreements that include covenants further limiting or restricting our ability to take certain actions, such as incurring additional debt, making capital expenditures or declaring dividends. If we raise additional funds through strategic partnerships or licensing agreements with third parties, we may have to relinquish valuable rights to our technologies or grant licenses on terms that are not favorable to us. If we are unable to raise additional funds when needed, we may be required to delay, limit, reduce or terminate our development and commercialization efforts.</w:t>
      </w:r>
    </w:p>
    <w:p>
      <w:pPr>
        <w:spacing w:after="0" w:line="176" w:lineRule="exact"/>
        <w:rPr>
          <w:sz w:val="20"/>
          <w:szCs w:val="20"/>
          <w:color w:val="auto"/>
        </w:rPr>
      </w:pPr>
    </w:p>
    <w:p>
      <w:pPr>
        <w:ind w:left="1260" w:right="5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anti-takeover provisions in our amended and restated certificate of incorporation, our second amended and restated bylaws and under Delaware law that could delay or prevent an acquisition of the Company, even if the acquisition would be beneficial to our stockholders.</w:t>
      </w:r>
    </w:p>
    <w:p>
      <w:pPr>
        <w:spacing w:after="0" w:line="10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second amended and restated bylaws may delay or prevent an acquisition of the Company. Among other things, our amended and restated certificate of incorporation and second amended and restated bylaws provide for a board of directors that is divided into three classes with staggered three-year terms, provide that all stockholder action must be effected at a duly called meeting of the stockholders and not by a consent in writing, and further provide that only our board of directors may call a special meeting of the stockholders. These provisions may also frustrate or prevent any attempts by our stockholders to replace or remove our current management by making it more difficult for stockholders to replace members of our board of directors, who are responsible for appointing the members of our management team. Furthermore, because we are incorporated in Delaware, we are governed by the provisions of Section 203 of the General Corporation Law of the State of Delaware, which prohibits, with some exceptions, stockholders owning in excess of 15% of our outstanding voting stock from merging or combining with us. Finally, our charter documents establish advance notice requirements for nominations for election to our board of directors and for proposing matters that can be acted upon at stockholder meetings. Although we believe these provisions together provide an opportunity to receive higher bids by requiring potential acquirers to negotiate with our board of directors, they would apply even if an offer to acquire the Company may be considered beneficial by some stockholders.</w:t>
      </w:r>
    </w:p>
    <w:p>
      <w:pPr>
        <w:spacing w:after="0" w:line="200" w:lineRule="exact"/>
        <w:rPr>
          <w:sz w:val="20"/>
          <w:szCs w:val="20"/>
          <w:color w:val="auto"/>
        </w:rPr>
      </w:pPr>
    </w:p>
    <w:p>
      <w:pPr>
        <w:spacing w:after="0" w:line="210" w:lineRule="exact"/>
        <w:rPr>
          <w:sz w:val="20"/>
          <w:szCs w:val="20"/>
          <w:color w:val="auto"/>
        </w:rPr>
      </w:pPr>
    </w:p>
    <w:p>
      <w:pPr>
        <w:ind w:left="1260" w:right="49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provides that, unless we consent in writing to the selection of an alternative forum,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96"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shall, unless we consent in writing to the selection of an alternative forum, be the sole and exclusive forum for (i) any derivative action or proceeding brought on behalf of the Company, (ii) any action asserting a claim of breach of a fiduciary duty owed by any director, officer or other employee of the Company to the Company or its stockholders, (iii) any action asserting a claim arising pursuant to any provision of the Delaware General Corporation Law, or (iv) any action asserting a claim governed by the internal affairs doctrine, in each case subject to said Court of Chancery having personal jurisdiction over the indispensable parties named as defendants therein.</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exclusive forum provision may limit a stockholder’s ability to bring a claim in a judicial forum that it finds favorable for disputes with us or our directors, officers, employees or agents, which may discourage such lawsuits against us and our directors, officers, employees and agents.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 Notwithstanding the foregoing, the exclusive forum provision shall not preclude or contract the scope of exclusive federal or concurrent jurisdiction for actions brought under the Exchange Act, or the Securities Act, or the respective rules and regulations promulgated thereunder.</w:t>
      </w:r>
    </w:p>
    <w:p>
      <w:pPr>
        <w:spacing w:after="0" w:line="12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these provisions. This exclusive forum provision may limit 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stockholder’s ability to bring a claim in a judicial forum of its choosing for disputes with us or our directors, officers or other employees, which may discourage lawsuits against us and our directors, officers and other employees.</w:t>
      </w:r>
    </w:p>
    <w:p>
      <w:pPr>
        <w:spacing w:after="0" w:line="10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If a court were to find the exclusive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Even if we are successful in defending against these claims, litigation could result in substantial costs and be a distraction to management and other employees.</w:t>
      </w:r>
    </w:p>
    <w:p>
      <w:pPr>
        <w:spacing w:after="0" w:line="179" w:lineRule="exact"/>
        <w:rPr>
          <w:sz w:val="20"/>
          <w:szCs w:val="20"/>
          <w:color w:val="auto"/>
        </w:rPr>
      </w:pPr>
    </w:p>
    <w:p>
      <w:pPr>
        <w:ind w:left="1260" w:right="5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financial statements or cause us to fail to meet our periodic reporting obligations.</w:t>
      </w:r>
    </w:p>
    <w:p>
      <w:pPr>
        <w:spacing w:after="0" w:line="113"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are required to comply with certain provisions of Section 404 of the Sarbanes-Oxley Act of 2002 (“Sarbanes-Oxley Act”). Section 404 requires that we document and test our internal control over financial reporting and issue management's assessment of our internal control over financial reporting. In connection with our September 30, 2023 unaudited consolidated financial statements, management identified a material weakness related to the ineffective design of internal controls to identify and evaluate the existence of, and accounting for, variable interest entities (“VIEs”).</w:t>
      </w:r>
    </w:p>
    <w:p>
      <w:pPr>
        <w:spacing w:after="0" w:line="106"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We began remediation measures during and after the September 30, 2023 period end and continue to assess additional necessary remediation measures. The material weakness cannot be considered completely remediated, however, until the applicable controls have operated for a sufficient period of time and management has concluded, through testing, that these controls are operating effectively. We cannot guarantee that we will be successful in remediating the material weakness identified or that our internal control over financial reporting, as modified, will enable us to identify or avoid material weaknesses in the future. If we fail to comply with the requirements of Section 404 of the Sarbanes-Oxley Act, the accuracy and timeliness of the filing of our annual and quarterly reports may be materially adversely affected and could cause investors to lose confidence in our reported financial information, which could have a negative effect on the trading price of our common stock. In addition, a material weakness in the effectiveness of our internal control over financial reporting could result in an increased chance of fraud and the loss of customers, result in the restatement of our financial statements, subject us to regulatory scrutiny and sanction, reduce our ability to obtain financing and require additional expenditures to comply with these requirements, each of which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to fund capital projects, working capital and for general corporate purposes.</w:t>
      </w:r>
    </w:p>
    <w:p>
      <w:pPr>
        <w:spacing w:after="0" w:line="94"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As of the date of this prospectus supplement, we cannot specify with certainty all of the particular uses of the proceeds from this offering. Accordingly, we will retain broad discretion over the use of such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DESCRIPTION OF OUR COMMON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and Outstanding Capital Stock</w:t>
      </w:r>
    </w:p>
    <w:p>
      <w:pPr>
        <w:spacing w:after="0" w:line="162"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500,000,000 shares of common stock, par value $0.01 per share, and 10,000,000 shares of preferred stock, par value $0.01 per share, issuable in one or more series designated by our board of directors. As of January 10, 2024, there were 240,499,833 shares of common stock and no shares of preferred stock outstanding.</w:t>
      </w:r>
    </w:p>
    <w:p>
      <w:pPr>
        <w:spacing w:after="0" w:line="11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material terms and provisions of our common stock and each other class of our securities which may qualify or limit the rights and privileges of our common stock are described under the caption “Description of Capital Stock” in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CERTAIN MATERIAL UNITED STATES FEDERAL INCOME TAX CONSEQUENCES</w:t>
      </w:r>
    </w:p>
    <w:p>
      <w:pPr>
        <w:spacing w:after="0" w:line="162"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certain material U.S. federal income tax consequences of the acquisition, ownership and disposition of shares of our common stock.</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Scope of this Summary</w:t>
      </w:r>
    </w:p>
    <w:p>
      <w:pPr>
        <w:spacing w:after="0" w:line="14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This summary is for general information purposes only and does not purport to be a complete analysis or listing of all potential U.S. federal income tax consequences of the acquisition, ownership and disposition of shares of our common stock. Except as specifically set forth below, this summary does not discuss applicable tax reporting requirements. In addition, this summary does not take into account the individual facts and circumstances of any particular holder that may affect the U.S. federal income tax consequences to such holder.</w:t>
      </w:r>
    </w:p>
    <w:p>
      <w:pPr>
        <w:spacing w:after="0" w:line="321" w:lineRule="exact"/>
        <w:rPr>
          <w:sz w:val="20"/>
          <w:szCs w:val="20"/>
          <w:color w:val="auto"/>
        </w:rPr>
      </w:pPr>
    </w:p>
    <w:p>
      <w:pPr>
        <w:ind w:left="1260" w:right="63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Accordingly, this summary is not intended to be, and should not be construed as, legal or tax advice with respect to any particular holder. Each holder should consult its own tax advisors regarding the U.S. federal, state and local, and non-U.S. tax consequences of the acquisition, ownership and disposition of shares of our common stock.</w:t>
      </w:r>
    </w:p>
    <w:p>
      <w:pPr>
        <w:spacing w:after="0" w:line="107" w:lineRule="exact"/>
        <w:rPr>
          <w:sz w:val="20"/>
          <w:szCs w:val="20"/>
          <w:color w:val="auto"/>
        </w:rPr>
      </w:pPr>
    </w:p>
    <w:p>
      <w:pPr>
        <w:jc w:val="both"/>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No legal opinion from U.S. legal counsel or ruling from the Internal Revenue Service (the “IRS”) has been requested, or will be obtained, regarding the U.S. federal income tax consequences of the acquisition, ownership and disposition of shares of our common stock. This summary is not binding on the IRS, and the IRS is not precluded from taking a position that is different from, or contrary to, the positions taken in this summary.</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Authorities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summary is based upon provisions of the Internal Revenue Code of 1986, as amended</w:t>
      </w:r>
    </w:p>
    <w:p>
      <w:pPr>
        <w:spacing w:after="0" w:line="27" w:lineRule="exact"/>
        <w:rPr>
          <w:sz w:val="20"/>
          <w:szCs w:val="20"/>
          <w:color w:val="auto"/>
        </w:rPr>
      </w:pPr>
    </w:p>
    <w:p>
      <w:pPr>
        <w:ind w:left="1260" w:right="639"/>
        <w:spacing w:after="0"/>
        <w:rPr>
          <w:sz w:val="20"/>
          <w:szCs w:val="20"/>
          <w:color w:val="auto"/>
        </w:rPr>
      </w:pPr>
      <w:r>
        <w:rPr>
          <w:rFonts w:ascii="Times New Roman" w:cs="Times New Roman" w:eastAsia="Times New Roman" w:hAnsi="Times New Roman"/>
          <w:sz w:val="18"/>
          <w:szCs w:val="18"/>
          <w:color w:val="auto"/>
        </w:rPr>
        <w:t>(the “Code”), regulations, rulings and judicial decisions as of the date hereof. Those authorities may be changed, perhaps retroactively, or be subject to differing interpretations, so as to result in U.S. federal tax considerations different from those summarized below.</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As used in this summary, the term “U.S. Holder” means a beneficial owner of shares of our common stock acquired pursuant to this prospectus supplement that is, for U.S. federal income tax purposes:</w:t>
      </w:r>
    </w:p>
    <w:p>
      <w:pPr>
        <w:spacing w:after="0" w:line="54" w:lineRule="exact"/>
        <w:rPr>
          <w:sz w:val="20"/>
          <w:szCs w:val="20"/>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under the laws of the U.S., any state thereof or the District of Columbia;</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U.S. and the control of one or more U.S. persons for all substantial decisions or (2) has a valid election in effect under applicable Treasury Regulations to be treated as a U.S. person.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For purposes of this summary, a “Non-U.S. holder” means a beneficial owner of shares of our common stock acquired pursuant to this prospectus supplement that is neither a U.S. Holder nor a partnership (or an entity or arrangement treated as a partnership for U.S. federal income tax purposes). A Non-U.S. Holder should review the discussion under the heading “Non-U.S. Holders” below for more information.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Holders Subject to Special U.S. Federal Income Tax Rules</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This summary deals only with persons or entities who hold shares of our common stock as a capital asset within the meaning of Section 1221 of the Code (generally, property held for investment purposes). This summary does not address all aspects of U.S. federal income taxation that may be applicable to holders</w:t>
      </w: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in light of their particular circumstances or to holders subject to special treatment under U.S. federal income tax law, such as: banks, insurance companies, and other financial institutions; dealers or traders in securities, commodities or foreign currencies; regulated investment companies; U.S. expatriates or former long-term residents of the U.S.; persons required for U.S. federal income tax purposes to conform the timing of income accruals to their financial statements under Section 451(b) of the Code; persons holding shares of our common stock as part of a straddle, appreciated financial position, synthetic security, hedge, conversion transaction or other integrated investment; persons holding shares of our common stock as a result of a constructive sale; real estate investment trusts; U.S. Holders that have a “functional currency” other than the U.S. dollar; holders that acquired shares of our common stock in connection with the exercise of employee stock options or otherwise as consideration for services; or holders that are “controlled foreign corporations” or “passive foreign investment companies.” Holders that are subject to special provisions under the Code, including holders described immediately above, should consult their own tax advisors regarding the U.S. federal, state and local, and non-U.S. tax consequences of the acquisition, ownership and disposition of shares of our common stock.</w:t>
      </w:r>
    </w:p>
    <w:p>
      <w:pPr>
        <w:spacing w:after="0" w:line="34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If an entity classified as a partnership for U.S. federal income tax purposes holds shares of our common stock, the tax treatment of a partner generally will depend on the status of the partner and the activities of the partnership. This summary does not address the tax consequences to any such owner or entity. Partners of entities or arrangements that are classified as partnerships for U.S. federal income tax purposes should consult their own tax advisors regarding the U.S. federal income tax consequences of the acquisition, ownership and disposition of shares of our common stock.</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Not Addressed</w:t>
      </w:r>
    </w:p>
    <w:p>
      <w:pPr>
        <w:spacing w:after="0" w:line="162"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This summary does not address the U.S. state and local, U.S. federal estate and gift, U.S. federal alternative minimum tax, or non-U.S. tax consequences to holders of the acquisition, ownership and disposition of shares of our common stock. Each holder should consult its own tax advisors regarding the U.S. state and local, U.S. federal estate and gift, U.S. federal alternative minimum tax, and non-U.S. tax consequences of the acquisition, ownership and disposition of shares of our common stock.</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Shares of Our Common Stock</w:t>
      </w:r>
    </w:p>
    <w:p>
      <w:pPr>
        <w:spacing w:after="0" w:line="148" w:lineRule="exact"/>
        <w:rPr>
          <w:sz w:val="20"/>
          <w:szCs w:val="20"/>
          <w:color w:val="auto"/>
        </w:rPr>
      </w:pPr>
    </w:p>
    <w:p>
      <w:pPr>
        <w:jc w:val="both"/>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anticipate paying any cash dividends on our common stock in the foreseeable future. If we were to pay cash dividends in the future, such distributions made on shares of our common stock generally would be included in a U.S.</w:t>
      </w:r>
    </w:p>
    <w:p>
      <w:pPr>
        <w:spacing w:after="0" w:line="1"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Holder’s income as ordinary dividend income to the extent of our current or accumulated earnings and profits (determined under U.S. federal income tax principles) as of the end of our taxable year in which the distribution occurred. Dividends received by certain non-corporate U.S. Holders may be eligible for taxation at preferential rates provided certain holding period and other requirements are satisfied. Distributions in excess of our current and accumulated earnings and profits would be treated as a return of capital to the extent of a U.S. Holder’s adjusted tax basis in the shares and thereafter as capital gain from the sale or exchange of such shares, which would be taxable according to rules discussed under the heading “Sale or Other Taxable Dispositions of Shares of Our Common Stock,” below. Dividends received by a corporate holder may be eligible for a dividends received deduction, subject to applicable limitations.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Dispositions of Shares of Our Common Stock</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Upon the sale or other taxable disposition of shares of our common stock, a U.S. Holder generally will recognize capital gain or loss equal to the difference, if any, between (i) the amount of cash and the fair market value of any property received upon such taxable disposition and (ii) the U.S. Holder’s adjusted tax basis in the shares of our common stock sold or otherwise disposed of. Such capital gain or loss will be long-term capital gain or loss if a U.S. Holder’s holding period in the shares of our common stock is more than one year at the time of the taxable disposition. Long-term capital gains recognized by certain non-corporate U.S. Holders (including individuals) may be eligible for taxation at preferential rates. Deductions for capital losses are subject to limitations under the Code.</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Additional Tax on Passive Income</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Individuals, estates and certain trusts whose income exceeds certain thresholds will be required to pay a 3.8% Medicare surtax on “net investment income” including, among other things, dividends and net gain from the disposition of property (other than property held in certain trades or businesses). U.S. Holders should consult their own tax advisors regarding the effect, if any, of this tax on their ownership and disposition of shares of our common stock.</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payments of dividends on shares of our common stock and to the proceeds of a sale of shares of our common stock paid to a U.S. Holder unless the U.S. Holder is an exempt recipient (such as a corporation). Backup withholding will apply to those payments if the U.S. Holder fails to provide its correct taxpayer identification number, or certification of exempt status, or if the U.S. Holder is notified by the IRS that it has failed to report in full payments of interest and dividend income. Backup withholding is not an additional tax. Any amounts withheld under the backup withholding rules generally will be allowed as a refund or a credit against a U.S. Holder’s U.S. federal income tax liability, if any, provided the required information is furnished in a timely manner to the IRS.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Shares of Our Common Stock</w:t>
      </w:r>
    </w:p>
    <w:p>
      <w:pPr>
        <w:spacing w:after="0" w:line="162" w:lineRule="exact"/>
        <w:rPr>
          <w:sz w:val="20"/>
          <w:szCs w:val="20"/>
          <w:color w:val="auto"/>
        </w:rPr>
      </w:pPr>
    </w:p>
    <w:p>
      <w:pPr>
        <w:jc w:val="both"/>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anticipate paying any cash dividends on our common stock in the foreseeable future. If we were to pay cash dividends in the future on our common stock, such distributions would be subject to U.S. federal income tax in the manner described below.</w:t>
      </w:r>
    </w:p>
    <w:p>
      <w:pPr>
        <w:spacing w:after="0" w:line="11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Cash distributions on shares of our common stock generally would constitute dividends for U.S. federal income tax purposes to the extent paid out of our current or accumulated earnings and profits, as determined under U.S. federal income tax principles as of the end of our taxable year in which the distribution occurred. Distributions in excess of current and accumulated earnings and profits would be applied against and reduce a Non-U.S. Holder’s tax basis in shares of our common stock, to the extent thereof, and any excess would be treated as capital gain realized on the sale or other disposition of the shares and subject to tax in the manner described under the heading “Sale or Other Taxable Disposition of Shares of Our Common Stock,” below.</w:t>
      </w:r>
    </w:p>
    <w:p>
      <w:pPr>
        <w:spacing w:after="0" w:line="32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Any dividends paid to a Non-U.S. Holder with respect to shares of our common stock that constitute dividends under the rules described above generally would be subject to withholding of U.S. federal income tax at a 30% rate or such lower rate as may be specified by an applicable income tax treaty. However, dividends that are effectively connected with the conduct of a trade or business by a Non-U.S. Holder within the U.S. and, where an income tax treaty applies, are attributable to a U.S. permanent establishment of the Non-U.S. Holder, would not be subject to this withholding tax, but instead would be subject to U.S. federal income tax on a net income basis at applicable individual or corporate rates. A Non-U.S. Holder generally must deliver an IRS Form W-8ECI certifying under penalties of perjury that such dividends are effectively connected with a U.S. trade or business of the holder in order for effectively connected dividends to be exempt from this withholding tax. Any such effectively connected dividends received by a foreign corporation may be subject to an additional “branch profits tax” at a 30% rate or such lower rate as may be specified by an applicable income tax treaty.</w:t>
      </w:r>
    </w:p>
    <w:p>
      <w:pPr>
        <w:spacing w:after="0" w:line="340"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 Non-U.S. Holder of shares of our common stock who is entitled to and wishes to claim the benefits of an applicable treaty rate (and avoid backup withholding as discussed below) with respect to dividends received generally must (i) complete an IRS Form W-8BEN or W-8BEN-E (or an acceptable substitute form) and make certain certifications, under penalty of perjury, to establish its status as a non-U.S. person and its entitlement to treaty benefits or (ii) if the stock is held through certain foreign intermediaries, satisfy the relevant certification requirements of applicable U.S. Treasury regulations. Special certification and other requirements apply to certain Non-U.S. Holders that are entities rather than individuals.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certification requirements described above must be satisfied prior to the payment of dividends and may be required to be updated periodically. A Non-U.S. Holder eligible for a reduced rate of U.S. federal withholding tax pursuant to an income tax treaty may obtain a refund of any excess amounts withheld by timely filing an appropriate claim for refund with the IRS.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Shares of Our Common Stock</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general, a Non-U.S. Holder of shares of our common stock will not be subject to U.S. federal income tax with respect to gain recognized on a sale or other disposition of such shares of our common stock, unless: (i) the gain is effectively connected with a trade or business of the Non -U.S. Holder in the U.S. and, where a tax treaty applies, is attributable to a U.S. permanent establishment of the Non-U.S. Holder (in which case, the special rules described below apply), (ii) in the case of a Non-U.S. Holder who is an individual, such holder is present in the U.S. for 183 or more days in the taxable year of the sale or other disposition and certain other conditions are met, in which case the gain would be subject to a flat 30% tax, or such reduced rate as may be specified by an applicable income tax treaty, which may be offset by U.S. source capital losses, even though the individual is not considered a resident of the U.S., or (iii) subject to certain exceptions, we are or have been a “U.S. real property holding corporation,” as such term is defined in Section 897(c) of the Code, during the shorter of the five-year period ending on the date of disposition or the holder’s holding period of our shares of our common stock.</w:t>
      </w:r>
    </w:p>
    <w:p>
      <w:pPr>
        <w:spacing w:after="0" w:line="327"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We believe we currently are not, and do not anticipate becoming, a “U.S. real property holding corporation” for U.S. federal income tax purposes.</w:t>
      </w:r>
    </w:p>
    <w:p>
      <w:pPr>
        <w:spacing w:after="0" w:line="95"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Any gain described in (i) above will be subject to U.S. federal income tax on a net income basis at applicable individual or corporate rates. If the Non-U.S. Holder is a corporation, under certain circumstances, that portion of its earnings and profits that is effectively connected with its U.S. trade or business, subject to certain adjustments, generally would be subject to an additional “branch profits tax” at a 30% rate or such lower rate as may be specified by an applicable income tax treaty.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amount of dividends paid to such holder on the shares of our common stock and the tax withheld (if any) with respect to such dividends, regardless of whether withholding was required. Copies of the information returns reporting such dividends and any withholding may also be made available to the tax authorities in the country in which the Non-U.S. Holder resides under the provisions of an applicable income tax treaty or information sharing agreement. In addition, dividends paid to a Non-U.S. Holder may be subject to backup withholding unless applicable certification requirements are met.</w:t>
      </w:r>
    </w:p>
    <w:p>
      <w:pPr>
        <w:spacing w:after="0" w:line="114"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Payment of the proceeds of a sale of shares of our common stock within the U.S. or conducted through certain U.S. related financial intermediaries is subject to information reporting and, depending upon the circumstances, backup withholding unless the Non-U.S. Holder certifies under penalties of perjury that it is not a U.S. person (and the payor does not have actual knowledge or reason to know that the holder is a U.S. person) or the holder otherwise establishes an exemption.</w:t>
      </w:r>
    </w:p>
    <w:p>
      <w:pPr>
        <w:spacing w:after="0" w:line="116" w:lineRule="exact"/>
        <w:rPr>
          <w:sz w:val="20"/>
          <w:szCs w:val="20"/>
          <w:color w:val="auto"/>
        </w:rPr>
      </w:pPr>
    </w:p>
    <w:p>
      <w:pPr>
        <w:ind w:left="1260" w:right="479" w:firstLine="360"/>
        <w:spacing w:after="0" w:line="275" w:lineRule="auto"/>
        <w:rPr>
          <w:sz w:val="20"/>
          <w:szCs w:val="20"/>
          <w:color w:val="auto"/>
        </w:rPr>
      </w:pPr>
      <w:r>
        <w:rPr>
          <w:rFonts w:ascii="Times New Roman" w:cs="Times New Roman" w:eastAsia="Times New Roman" w:hAnsi="Times New Roman"/>
          <w:sz w:val="18"/>
          <w:szCs w:val="18"/>
          <w:color w:val="auto"/>
        </w:rPr>
        <w:t>Any amounts withheld under the backup withholding rules may be allowed as a refund or a credit against such holder’s U.S. federal income tax liability provided the required information is timely furnished to the IRS.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Account Tax Compliance Act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Legislation commonly referred to as the Foreign Account Tax Compliance Act and associated guidance, or FATCA, generally will impose a 30% U.S. federal withholding tax on any “withholdable payment” (as​ defined below) paid to (i) a “foreign financial institution” (as​ specifically defined in the legislation), whether such foreign financial institution is the beneficial owner or an intermediary, unless such foreign financial institution agrees to verify, report and disclose its U.S. “account” holders (as specifically defined in the legislation) and meets certain other specified requirements, or (ii) a non-financial foreign entity, whether such non-financial foreign entity is the beneficial owner or an intermediary, unless such entity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3" w:lineRule="auto"/>
        <w:rPr>
          <w:sz w:val="20"/>
          <w:szCs w:val="20"/>
          <w:color w:val="auto"/>
        </w:rPr>
      </w:pPr>
      <w:r>
        <w:rPr>
          <w:rFonts w:ascii="Times New Roman" w:cs="Times New Roman" w:eastAsia="Times New Roman" w:hAnsi="Times New Roman"/>
          <w:sz w:val="18"/>
          <w:szCs w:val="18"/>
          <w:color w:val="auto"/>
        </w:rPr>
        <w:t>provides a certification that the beneficial owner of the payment does not have any substantial U.S. owners or provides the name, address and taxpayer identification number of each such substantial U.S. owner and certain other specified requirements are met. In certain cases, the relevant foreign financial institution or non-financial foreign entity may qualify for an exemption from, or be deemed to be in compliance with, these rules. Under final regulations and other current guidance, “withholdable payments” generally include dividends on shares of our common stock, and (subject to the proposed Treasury regulations discussed below) the gross proceeds of a disposition of shares of our common stock. Proposed Treasury regulations eliminate withholding under FATCA on payments of gross proceeds. Taxpayers may rely on these proposed Treasury regulations until final Treasury regulations are issued, but such Treasury regulations are subject to change. Investors are urged to consult their own tax advisors regarding the possible application of these rules to their investment in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have entered into the Sales Agreement with Wainwright, as our sales agent, under which we may offer and sell from time to time shares of our common stock pursuant to this prospectus supplement and the accompanying prospectus. The sales, if any, of shares of our common stock made under the Sales Agreement may be made in sales deemed to be “at-the-market offerings” as defined in Rule 415 under the Securities Act, including by sales made directly on or through the Nasdaq Capital Market or another market for our common stock, sales made to or through a market maker other than on an exchange or otherwise, in negotiated transactions at market prices prevailing at the time of sale or at negotiated prices, or as otherwise agreed with the sales agent.</w:t>
      </w:r>
    </w:p>
    <w:p>
      <w:pPr>
        <w:spacing w:after="0" w:line="12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will designate the maximum amount of shares of our common stock to be sold through the sales agent on a daily basis or otherwise as we and the sales agent agree and the minimum price per share at which such shares may be sold. Subject to the terms and conditions of the Sales Agreement, the sales agent will use its commercially reasonable efforts to sell on our behalf all of the designated shares. We may instruct the sales agent not to sell any shares if the sales cannot be effected at or above the price designated by us in any such instruction. We or the sales agent may suspend the offering of shares at any time and from time to time by notifying the other party. We cannot predict the number of shares that we may sell hereby or if any shares will be sold.</w:t>
      </w:r>
    </w:p>
    <w:p>
      <w:pPr>
        <w:spacing w:after="0" w:line="11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will pay the sales agent a commission of up to 3.0% of the gross sales price per share sold through it as our agent under the Sales Agreement. We have agreed to reimburse expenses of Wainwright in the amount of up to $50,000 in connection with the Sales Agreement. Additionally, pursuant to the terms of the Sales Agreement, we agreed to reimburse Wainwright for the documented fees and costs of its legal counsel reasonably incurred in connection with Wainwright’s ongoing diligence, drafting and other filing requirements arising from the transactions contemplated by the Sales Agreement in an amount not to exceed $2,500 in the aggregate per calendar quarter.</w:t>
      </w:r>
    </w:p>
    <w:p>
      <w:pPr>
        <w:spacing w:after="0" w:line="121"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sales agent will provide to us written confirmation following the close of trading on the Nasdaq Capital Market each day in which shares are sold under the Sales Agreement. Each confirmation will include the number of shares sold on that day, the gross sales proceeds, the net proceeds to us (after deducting any expenses payable by us and any transaction fees, transfer taxes or similar taxes or fees imposed by any governmental entity or self-regulatory organization in respect of such sales) and the compensation payable by us to the sales agent. We will report in a prospectus supplement and/or our filings under the Exchange Act, at least quarterly the number of shares sold by or through the sales agent under the Sales Agreement, the net proceeds to us and the aggregate compensation of the sales agent in connection with sales of the shares.</w:t>
      </w:r>
    </w:p>
    <w:p>
      <w:pPr>
        <w:spacing w:after="0" w:line="34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Settlement for sales of shares will occur in return for payment of the net proceeds to us in accordance with the standard settlement cycle provided in Rule 15c6-1(a) under the Exchange Act, unless the parties agree otherwise. There is no arrangement for funds to be received in an escrow, trust or similar arrangement.</w:t>
      </w:r>
    </w:p>
    <w:p>
      <w:pPr>
        <w:spacing w:after="0" w:line="95"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Under the terms of the Sales Agreement, we also may sell shares of our common stock to the sales agent, as principal for its own account, at a price per share agreed upon at the time of sale. If we sell shares to the sales agent as principal, we will enter into a separate terms agreement with the sales agent and we will describe the agreement in a separate prospectus supplement or pricing supplement.</w:t>
      </w:r>
    </w:p>
    <w:p>
      <w:pPr>
        <w:spacing w:after="0" w:line="11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To the extent required by Regulation M, Wainwright will not engage in any market making activities involving our shares of common stock while the offering is ongoing under this prospectus supplement.</w:t>
      </w:r>
    </w:p>
    <w:p>
      <w:pPr>
        <w:spacing w:after="0" w:line="94" w:lineRule="exact"/>
        <w:rPr>
          <w:sz w:val="20"/>
          <w:szCs w:val="20"/>
          <w:color w:val="auto"/>
        </w:rPr>
      </w:pPr>
    </w:p>
    <w:p>
      <w:pPr>
        <w:jc w:val="both"/>
        <w:ind w:left="1260" w:right="459" w:firstLine="360"/>
        <w:spacing w:after="0" w:line="275" w:lineRule="auto"/>
        <w:rPr>
          <w:sz w:val="20"/>
          <w:szCs w:val="20"/>
          <w:color w:val="auto"/>
        </w:rPr>
      </w:pPr>
      <w:r>
        <w:rPr>
          <w:rFonts w:ascii="Times New Roman" w:cs="Times New Roman" w:eastAsia="Times New Roman" w:hAnsi="Times New Roman"/>
          <w:sz w:val="18"/>
          <w:szCs w:val="18"/>
          <w:color w:val="auto"/>
        </w:rPr>
        <w:t>The offering of shares pursuant to the Sales Agreement will terminate upon the earlier of (1) the sale of all shares subject to the Sales Agreement or (2) the termination of the Sales Agreement by us or by the sales agent.</w:t>
      </w:r>
    </w:p>
    <w:p>
      <w:pPr>
        <w:spacing w:after="0" w:line="309"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In connection with the sale of shares of our common stock on our behalf, the sales agent will be deemed to be an “underwriter” within the meaning of the Securities Act, and the compensation paid to the sales agent will be deemed to be underwriting commissions or discounts. We have agreed to provide indemnification and contribution to the sales agent against certain liabilities, including civil liabilities under the Securities Act.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Wainwright and its affiliates may in the future provide various investment banking and other financial services for us and our affiliates, for which services they may in the future receive customary fees.</w:t>
      </w:r>
    </w:p>
    <w:p>
      <w:pPr>
        <w:spacing w:after="0" w:line="94"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We estimate that the total expenses of this offering payable by us, excluding commissions payable to the sales agent under the Sales Agreement, will be approximately $105,000.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shares of common stock being offered by this prospectus supplement will be passed upon by Perkins Coie LLP, Denver, Colorado. Ellenoff Grossman &amp; Schole LLP, New York, New York, is counsel for Wainwright in connection with this offering.</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audited financial statements incorporated by reference in this prospectus supplement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7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being offered hereby. This prospectus supplement and the accompanying prospectus, which constitutes a part of the registration statement, does not contain all of the information set forth in the registration statement or the exhibits and schedules filed therewith. For further information about us and the securities offered hereby, we refer you to the registration statement and the exhibits filed thereto. Statements contained in this prospectus supplement and the accompanying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file annual, quarterly and special reports, proxy statements and other information with the SEC. The SEC maintains an internet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 including us, which you may access free of charge. You may also access our reports and proxy statements free of charge at our website, </w:t>
      </w:r>
      <w:r>
        <w:rPr>
          <w:rFonts w:ascii="Times New Roman" w:cs="Times New Roman" w:eastAsia="Times New Roman" w:hAnsi="Times New Roman"/>
          <w:sz w:val="18"/>
          <w:szCs w:val="18"/>
          <w:i w:val="1"/>
          <w:iCs w:val="1"/>
          <w:color w:val="auto"/>
        </w:rPr>
        <w:t>www.gevo.com</w:t>
      </w:r>
      <w:r>
        <w:rPr>
          <w:rFonts w:ascii="Times New Roman" w:cs="Times New Roman" w:eastAsia="Times New Roman" w:hAnsi="Times New Roman"/>
          <w:sz w:val="18"/>
          <w:szCs w:val="18"/>
          <w:color w:val="auto"/>
        </w:rPr>
        <w:t>. The information contained in, or that can be accessed through, our website is not part of this prospectus supplement or the accompanying prospectus. The prospectus supplement and the accompanying prospectus included in this filing are part of a registration statement filed by us with the SEC. The full registration statement can be obtained from the SEC, as indicated above, or from us.</w:t>
      </w:r>
    </w:p>
    <w:p>
      <w:pPr>
        <w:spacing w:after="0" w:line="18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another document that we have filed separately with the SEC. We hereby incorporate by reference the following information or documents into this prospectus supplement and the accompanying prospectus:</w:t>
      </w:r>
    </w:p>
    <w:p>
      <w:pPr>
        <w:spacing w:after="0" w:line="72" w:lineRule="exact"/>
        <w:rPr>
          <w:sz w:val="20"/>
          <w:szCs w:val="20"/>
          <w:color w:val="auto"/>
        </w:rPr>
      </w:pPr>
    </w:p>
    <w:p>
      <w:pPr>
        <w:ind w:left="1800" w:right="87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56">
        <w:r>
          <w:rPr>
            <w:rFonts w:ascii="Times New Roman" w:cs="Times New Roman" w:eastAsia="Times New Roman" w:hAnsi="Times New Roman"/>
            <w:sz w:val="18"/>
            <w:szCs w:val="18"/>
            <w:u w:val="single" w:color="auto"/>
            <w:color w:val="0000EE"/>
          </w:rPr>
          <w:t>Annual Report on Form 10-K for the year ended December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9, 2023;</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2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quarterly periods ended March 31, 2023, June 30, 2023 </w:t>
      </w:r>
      <w:hyperlink r:id="rId57">
        <w:r>
          <w:rPr>
            <w:rFonts w:ascii="Times New Roman" w:cs="Times New Roman" w:eastAsia="Times New Roman" w:hAnsi="Times New Roman"/>
            <w:sz w:val="18"/>
            <w:szCs w:val="18"/>
            <w:color w:val="auto"/>
          </w:rPr>
          <w:t xml:space="preserve">and September 30, 2023, filed with the SEC on </w:t>
        </w:r>
        <w:r>
          <w:rPr>
            <w:rFonts w:ascii="Times New Roman" w:cs="Times New Roman" w:eastAsia="Times New Roman" w:hAnsi="Times New Roman"/>
            <w:sz w:val="18"/>
            <w:szCs w:val="18"/>
            <w:u w:val="single" w:color="auto"/>
            <w:color w:val="0000EE"/>
          </w:rPr>
          <w:t>May 10,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10, 2023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November 14,</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jc w:val="both"/>
        <w:ind w:left="1800" w:right="459" w:hanging="180"/>
        <w:spacing w:after="0" w:line="266" w:lineRule="auto"/>
        <w:tabs>
          <w:tab w:leader="none" w:pos="1800" w:val="left"/>
        </w:tabs>
        <w:numPr>
          <w:ilvl w:val="0"/>
          <w:numId w:val="26"/>
        </w:numPr>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auto"/>
          </w:rPr>
          <w:t xml:space="preserve">our Current Reports on Forms 8-K filed with the SEC on </w:t>
        </w:r>
        <w:r>
          <w:rPr>
            <w:rFonts w:ascii="Times New Roman" w:cs="Times New Roman" w:eastAsia="Times New Roman" w:hAnsi="Times New Roman"/>
            <w:sz w:val="18"/>
            <w:szCs w:val="18"/>
            <w:u w:val="single" w:color="auto"/>
            <w:color w:val="0000EE"/>
          </w:rPr>
          <w:t>January 5,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15,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25,</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9">
        <w:r>
          <w:rPr>
            <w:rFonts w:ascii="Times New Roman" w:cs="Times New Roman" w:eastAsia="Times New Roman" w:hAnsi="Times New Roman"/>
            <w:sz w:val="18"/>
            <w:szCs w:val="18"/>
            <w:u w:val="single" w:color="auto"/>
            <w:color w:val="0000EE"/>
          </w:rPr>
          <w:t>May 10, 2023</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0">
        <w:r>
          <w:rPr>
            <w:rFonts w:ascii="Times New Roman" w:cs="Times New Roman" w:eastAsia="Times New Roman" w:hAnsi="Times New Roman"/>
            <w:sz w:val="18"/>
            <w:szCs w:val="18"/>
            <w:u w:val="single" w:color="auto"/>
            <w:color w:val="0000EE"/>
          </w:rPr>
          <w:t>May 25, 2023</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1">
        <w:r>
          <w:rPr>
            <w:rFonts w:ascii="Times New Roman" w:cs="Times New Roman" w:eastAsia="Times New Roman" w:hAnsi="Times New Roman"/>
            <w:sz w:val="18"/>
            <w:szCs w:val="18"/>
            <w:u w:val="single" w:color="auto"/>
            <w:color w:val="0000EE"/>
          </w:rPr>
          <w:t>September 12, 2023</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2">
        <w:r>
          <w:rPr>
            <w:rFonts w:ascii="Times New Roman" w:cs="Times New Roman" w:eastAsia="Times New Roman" w:hAnsi="Times New Roman"/>
            <w:sz w:val="18"/>
            <w:szCs w:val="18"/>
            <w:u w:val="single" w:color="auto"/>
            <w:color w:val="0000EE"/>
          </w:rPr>
          <w:t>October 17, 2023</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3">
        <w:r>
          <w:rPr>
            <w:rFonts w:ascii="Times New Roman" w:cs="Times New Roman" w:eastAsia="Times New Roman" w:hAnsi="Times New Roman"/>
            <w:sz w:val="18"/>
            <w:szCs w:val="18"/>
            <w:u w:val="single" w:color="auto"/>
            <w:color w:val="0000EE"/>
          </w:rPr>
          <w:t>December 13, 2023</w:t>
        </w:r>
      </w:hyperlink>
      <w:hyperlink r:id="rId58">
        <w:r>
          <w:rPr>
            <w:rFonts w:ascii="Times New Roman" w:cs="Times New Roman" w:eastAsia="Times New Roman" w:hAnsi="Times New Roman"/>
            <w:sz w:val="18"/>
            <w:szCs w:val="18"/>
            <w:color w:val="000000"/>
          </w:rPr>
          <w:t>, and</w:t>
        </w:r>
      </w:hyperlink>
      <w:r>
        <w:rPr>
          <w:rFonts w:ascii="Times New Roman" w:cs="Times New Roman" w:eastAsia="Times New Roman" w:hAnsi="Times New Roman"/>
          <w:sz w:val="18"/>
          <w:szCs w:val="18"/>
          <w:color w:val="0000EE"/>
        </w:rPr>
        <w:t xml:space="preserve"> </w:t>
      </w:r>
      <w:hyperlink r:id="rId64">
        <w:r>
          <w:rPr>
            <w:rFonts w:ascii="Times New Roman" w:cs="Times New Roman" w:eastAsia="Times New Roman" w:hAnsi="Times New Roman"/>
            <w:sz w:val="18"/>
            <w:szCs w:val="18"/>
            <w:u w:val="single" w:color="auto"/>
            <w:color w:val="0000EE"/>
          </w:rPr>
          <w:t>January 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800" w:right="419" w:hanging="180"/>
        <w:spacing w:after="0" w:line="259" w:lineRule="auto"/>
        <w:tabs>
          <w:tab w:leader="none" w:pos="1800" w:val="left"/>
        </w:tabs>
        <w:numPr>
          <w:ilvl w:val="0"/>
          <w:numId w:val="26"/>
        </w:numPr>
        <w:rPr>
          <w:rFonts w:ascii="Times New Roman" w:cs="Times New Roman" w:eastAsia="Times New Roman" w:hAnsi="Times New Roman"/>
          <w:sz w:val="18"/>
          <w:szCs w:val="18"/>
          <w:color w:val="000000"/>
        </w:rPr>
      </w:pPr>
      <w:hyperlink r:id="rId65">
        <w:r>
          <w:rPr>
            <w:rFonts w:ascii="Times New Roman" w:cs="Times New Roman" w:eastAsia="Times New Roman" w:hAnsi="Times New Roman"/>
            <w:sz w:val="18"/>
            <w:szCs w:val="18"/>
            <w:color w:val="auto"/>
          </w:rPr>
          <w:t xml:space="preserve">the description of our common stock contained in </w:t>
        </w:r>
        <w:r>
          <w:rPr>
            <w:rFonts w:ascii="Times New Roman" w:cs="Times New Roman" w:eastAsia="Times New Roman" w:hAnsi="Times New Roman"/>
            <w:sz w:val="18"/>
            <w:szCs w:val="18"/>
            <w:u w:val="single" w:color="auto"/>
            <w:color w:val="0000EE"/>
          </w:rPr>
          <w:t>our Registration Statement on Form 8-A filed with</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the SEC on February 4, 2011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Section 12(b) of the Exchange Act, including any amendments or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reports filed for the purpose of updating such description (including </w:t>
      </w:r>
      <w:hyperlink r:id="rId66">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to the Company’s Annual Report on Form 10-K for the year ended December 31, 2021, filed with the SEC on February 24, 2022).</w:t>
      </w: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Any information in any of the foregoing documents will automatically be deemed to be modified or superseded to the extent that information in this prospectus supplement or the accompanying prospectus or in a later filed document that is incorporated or deemed to be incorporated herein by reference modifies or replaces such information.</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made with the SEC pursuant to Sections 13(a), 13(c), 14 or 15(d) of the Exchange Act, until we sell all of the securities offered by this prospectus supplement.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24"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Upon written or oral request, we will provide to you, without charge, a copy of any or all of the documents that are incorporated by reference into this prospectus supplement and the accompanying prospectus but not delivered herewith, including exhibits which are specifically incorporated by reference into such documents. Requests should be directed to: Gevo, Inc., Attention: Investor Relations, 345 Inverness Drive South, Building C, Suite 310, Englewood, Colorado 80112, telephone (303) 858-8358.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1176655</wp:posOffset>
            </wp:positionV>
            <wp:extent cx="1783080" cy="514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7830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Gevo,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5"/>
          <w:szCs w:val="25"/>
          <w:b w:val="1"/>
          <w:bCs w:val="1"/>
          <w:color w:val="auto"/>
        </w:rPr>
        <w:t>Up to $500,000,000</w:t>
      </w:r>
    </w:p>
    <w:p>
      <w:pPr>
        <w:spacing w:after="0" w:line="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32"/>
          <w:szCs w:val="32"/>
          <w:b w:val="1"/>
          <w:bCs w:val="1"/>
          <w:color w:val="auto"/>
        </w:rPr>
        <w:t>H.C. Wainwright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1148715</wp:posOffset>
            </wp:positionV>
            <wp:extent cx="52120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247015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62" w:lineRule="exact"/>
        <w:rPr>
          <w:sz w:val="20"/>
          <w:szCs w:val="20"/>
          <w:color w:val="auto"/>
        </w:rPr>
      </w:pPr>
    </w:p>
    <w:p>
      <w:pPr>
        <w:ind w:left="1260" w:right="659" w:firstLine="360"/>
        <w:spacing w:after="0" w:line="253" w:lineRule="auto"/>
        <w:rPr>
          <w:sz w:val="20"/>
          <w:szCs w:val="20"/>
          <w:color w:val="auto"/>
        </w:rPr>
      </w:pPr>
      <w:r>
        <w:rPr>
          <w:rFonts w:ascii="Times New Roman" w:cs="Times New Roman" w:eastAsia="Times New Roman" w:hAnsi="Times New Roman"/>
          <w:sz w:val="18"/>
          <w:szCs w:val="18"/>
          <w:color w:val="auto"/>
        </w:rPr>
        <w:t>The registrants’ estimated expenses in connection with the issuance and distribution of the securities being registered are set forth in the following table.</w:t>
      </w:r>
    </w:p>
    <w:tbl>
      <w:tblPr>
        <w:tblLayout w:type="fixed"/>
        <w:tblInd w:w="1260" w:type="dxa"/>
        <w:tblCellMar>
          <w:top w:w="0" w:type="dxa"/>
          <w:left w:w="0" w:type="dxa"/>
          <w:bottom w:w="0" w:type="dxa"/>
          <w:right w:w="0" w:type="dxa"/>
        </w:tblCellMar>
      </w:tblPr>
      <w:tr>
        <w:trPr>
          <w:trHeight w:val="176"/>
        </w:trPr>
        <w:tc>
          <w:tcPr>
            <w:tcW w:w="360" w:type="dxa"/>
            <w:vAlign w:val="bottom"/>
            <w:vMerge w:val="restart"/>
          </w:tcPr>
          <w:p>
            <w:pPr>
              <w:spacing w:after="0"/>
              <w:rPr>
                <w:sz w:val="15"/>
                <w:szCs w:val="15"/>
                <w:color w:val="auto"/>
              </w:rPr>
            </w:pPr>
          </w:p>
        </w:tc>
        <w:tc>
          <w:tcPr>
            <w:tcW w:w="15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600" w:type="dxa"/>
            <w:vAlign w:val="bottom"/>
            <w:gridSpan w:val="2"/>
          </w:tcPr>
          <w:p>
            <w:pPr>
              <w:spacing w:after="0"/>
              <w:rPr>
                <w:sz w:val="15"/>
                <w:szCs w:val="15"/>
                <w:color w:val="auto"/>
              </w:rPr>
            </w:pPr>
          </w:p>
        </w:tc>
        <w:tc>
          <w:tcPr>
            <w:tcW w:w="180" w:type="dxa"/>
            <w:vAlign w:val="bottom"/>
            <w:vMerge w:val="restart"/>
          </w:tcPr>
          <w:p>
            <w:pPr>
              <w:spacing w:after="0" w:line="36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89"/>
        </w:trPr>
        <w:tc>
          <w:tcPr>
            <w:tcW w:w="360" w:type="dxa"/>
            <w:vAlign w:val="bottom"/>
            <w:vMerge w:val="continue"/>
          </w:tcPr>
          <w:p>
            <w:pPr>
              <w:spacing w:after="0"/>
              <w:rPr>
                <w:sz w:val="16"/>
                <w:szCs w:val="16"/>
                <w:color w:val="auto"/>
              </w:rPr>
            </w:pPr>
          </w:p>
        </w:tc>
        <w:tc>
          <w:tcPr>
            <w:tcW w:w="48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​SEC Registration Fee</w:t>
            </w:r>
          </w:p>
        </w:tc>
        <w:tc>
          <w:tcPr>
            <w:tcW w:w="2620" w:type="dxa"/>
            <w:vAlign w:val="bottom"/>
            <w:gridSpan w:val="3"/>
            <w:shd w:val="clear" w:color="auto" w:fill="CCEEFF"/>
          </w:tcPr>
          <w:p>
            <w:pPr>
              <w:ind w:left="1860"/>
              <w:spacing w:after="0" w:line="189" w:lineRule="exact"/>
              <w:rPr>
                <w:sz w:val="20"/>
                <w:szCs w:val="20"/>
                <w:color w:val="auto"/>
              </w:rPr>
            </w:pPr>
            <w:r>
              <w:rPr>
                <w:rFonts w:ascii="Times New Roman" w:cs="Times New Roman" w:eastAsia="Times New Roman" w:hAnsi="Times New Roman"/>
                <w:sz w:val="18"/>
                <w:szCs w:val="18"/>
                <w:color w:val="auto"/>
              </w:rPr>
              <w:t>​ ​​$92,000</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20" w:type="dxa"/>
            <w:vAlign w:val="bottom"/>
            <w:gridSpan w:val="3"/>
          </w:tcPr>
          <w:p>
            <w:pPr>
              <w:ind w:left="360"/>
              <w:spacing w:after="0" w:line="202" w:lineRule="exact"/>
              <w:rPr>
                <w:sz w:val="20"/>
                <w:szCs w:val="20"/>
                <w:color w:val="auto"/>
              </w:rPr>
            </w:pPr>
            <w:r>
              <w:rPr>
                <w:rFonts w:ascii="Times New Roman" w:cs="Times New Roman" w:eastAsia="Times New Roman" w:hAnsi="Times New Roman"/>
                <w:sz w:val="18"/>
                <w:szCs w:val="18"/>
                <w:color w:val="auto"/>
              </w:rPr>
              <w:t>Legal Fees and Expenses</w:t>
            </w:r>
          </w:p>
        </w:tc>
        <w:tc>
          <w:tcPr>
            <w:tcW w:w="2120" w:type="dxa"/>
            <w:vAlign w:val="bottom"/>
            <w:gridSpan w:val="2"/>
            <w:vMerge w:val="restart"/>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54"/>
        </w:trPr>
        <w:tc>
          <w:tcPr>
            <w:tcW w:w="5220" w:type="dxa"/>
            <w:vAlign w:val="bottom"/>
            <w:gridSpan w:val="3"/>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21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8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Trustee Fees and Expenses</w:t>
            </w:r>
          </w:p>
        </w:tc>
        <w:tc>
          <w:tcPr>
            <w:tcW w:w="2120" w:type="dxa"/>
            <w:vAlign w:val="bottom"/>
            <w:gridSpan w:val="2"/>
            <w:vMerge w:val="restart"/>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48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120" w:type="dxa"/>
            <w:vAlign w:val="bottom"/>
            <w:gridSpan w:val="2"/>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5220" w:type="dxa"/>
            <w:vAlign w:val="bottom"/>
            <w:gridSpan w:val="3"/>
          </w:tcPr>
          <w:p>
            <w:pPr>
              <w:ind w:left="360"/>
              <w:spacing w:after="0" w:line="202" w:lineRule="exact"/>
              <w:rPr>
                <w:sz w:val="20"/>
                <w:szCs w:val="20"/>
                <w:color w:val="auto"/>
              </w:rPr>
            </w:pPr>
            <w:r>
              <w:rPr>
                <w:rFonts w:ascii="Times New Roman" w:cs="Times New Roman" w:eastAsia="Times New Roman" w:hAnsi="Times New Roman"/>
                <w:sz w:val="18"/>
                <w:szCs w:val="18"/>
                <w:color w:val="auto"/>
              </w:rPr>
              <w:t>Accounting Fees and Expenses</w:t>
            </w:r>
          </w:p>
        </w:tc>
        <w:tc>
          <w:tcPr>
            <w:tcW w:w="2120" w:type="dxa"/>
            <w:vAlign w:val="bottom"/>
            <w:gridSpan w:val="2"/>
            <w:vMerge w:val="restart"/>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54"/>
        </w:trPr>
        <w:tc>
          <w:tcPr>
            <w:tcW w:w="5220" w:type="dxa"/>
            <w:vAlign w:val="bottom"/>
            <w:gridSpan w:val="3"/>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21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8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Printing Expenses</w:t>
            </w:r>
          </w:p>
        </w:tc>
        <w:tc>
          <w:tcPr>
            <w:tcW w:w="2120" w:type="dxa"/>
            <w:vAlign w:val="bottom"/>
            <w:gridSpan w:val="2"/>
            <w:vMerge w:val="restart"/>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48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120" w:type="dxa"/>
            <w:vAlign w:val="bottom"/>
            <w:gridSpan w:val="2"/>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5220" w:type="dxa"/>
            <w:vAlign w:val="bottom"/>
            <w:gridSpan w:val="3"/>
          </w:tcPr>
          <w:p>
            <w:pPr>
              <w:ind w:left="360"/>
              <w:spacing w:after="0" w:line="202" w:lineRule="exact"/>
              <w:rPr>
                <w:sz w:val="20"/>
                <w:szCs w:val="20"/>
                <w:color w:val="auto"/>
              </w:rPr>
            </w:pPr>
            <w:r>
              <w:rPr>
                <w:rFonts w:ascii="Times New Roman" w:cs="Times New Roman" w:eastAsia="Times New Roman" w:hAnsi="Times New Roman"/>
                <w:sz w:val="18"/>
                <w:szCs w:val="18"/>
                <w:color w:val="auto"/>
              </w:rPr>
              <w:t>Stock Exchange and Other Listing Fees</w:t>
            </w:r>
          </w:p>
        </w:tc>
        <w:tc>
          <w:tcPr>
            <w:tcW w:w="2120" w:type="dxa"/>
            <w:vAlign w:val="bottom"/>
            <w:gridSpan w:val="2"/>
            <w:vMerge w:val="restart"/>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54"/>
        </w:trPr>
        <w:tc>
          <w:tcPr>
            <w:tcW w:w="5220" w:type="dxa"/>
            <w:vAlign w:val="bottom"/>
            <w:gridSpan w:val="3"/>
          </w:tcPr>
          <w:p>
            <w:pPr>
              <w:ind w:left="360"/>
              <w:spacing w:after="0" w:line="54" w:lineRule="exact"/>
              <w:rPr>
                <w:sz w:val="20"/>
                <w:szCs w:val="20"/>
                <w:color w:val="auto"/>
              </w:rPr>
            </w:pPr>
            <w:r>
              <w:rPr>
                <w:rFonts w:ascii="Times New Roman" w:cs="Times New Roman" w:eastAsia="Times New Roman" w:hAnsi="Times New Roman"/>
                <w:sz w:val="6"/>
                <w:szCs w:val="6"/>
                <w:color w:val="auto"/>
              </w:rPr>
              <w:t>​</w:t>
            </w:r>
          </w:p>
        </w:tc>
        <w:tc>
          <w:tcPr>
            <w:tcW w:w="21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48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Miscellaneous</w:t>
            </w:r>
          </w:p>
        </w:tc>
        <w:tc>
          <w:tcPr>
            <w:tcW w:w="2120" w:type="dxa"/>
            <w:vAlign w:val="bottom"/>
            <w:gridSpan w:val="2"/>
            <w:vMerge w:val="restart"/>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48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2120" w:type="dxa"/>
            <w:vAlign w:val="bottom"/>
            <w:gridSpan w:val="2"/>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8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29"/>
        </w:trPr>
        <w:tc>
          <w:tcPr>
            <w:tcW w:w="52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54"/>
        </w:trPr>
        <w:tc>
          <w:tcPr>
            <w:tcW w:w="5220" w:type="dxa"/>
            <w:vAlign w:val="bottom"/>
            <w:gridSpan w:val="3"/>
          </w:tcPr>
          <w:p>
            <w:pPr>
              <w:ind w:left="360"/>
              <w:spacing w:after="0"/>
              <w:rPr>
                <w:sz w:val="20"/>
                <w:szCs w:val="20"/>
                <w:color w:val="auto"/>
              </w:rPr>
            </w:pPr>
            <w:r>
              <w:rPr>
                <w:rFonts w:ascii="Times New Roman" w:cs="Times New Roman" w:eastAsia="Times New Roman" w:hAnsi="Times New Roman"/>
                <w:sz w:val="3"/>
                <w:szCs w:val="3"/>
                <w:color w:val="auto"/>
              </w:rPr>
              <w:t>​</w:t>
            </w:r>
          </w:p>
        </w:tc>
        <w:tc>
          <w:tcPr>
            <w:tcW w:w="2120" w:type="dxa"/>
            <w:vAlign w:val="bottom"/>
            <w:gridSpan w:val="2"/>
          </w:tcPr>
          <w:p>
            <w:pPr>
              <w:ind w:left="1860"/>
              <w:spacing w:after="0"/>
              <w:rPr>
                <w:sz w:val="20"/>
                <w:szCs w:val="20"/>
                <w:color w:val="auto"/>
              </w:rPr>
            </w:pPr>
            <w:r>
              <w:rPr>
                <w:rFonts w:ascii="Times New Roman" w:cs="Times New Roman" w:eastAsia="Times New Roman" w:hAnsi="Times New Roman"/>
                <w:sz w:val="3"/>
                <w:szCs w:val="3"/>
                <w:color w:val="auto"/>
              </w:rPr>
              <w:t>​ ​​</w:t>
            </w:r>
          </w:p>
        </w:tc>
        <w:tc>
          <w:tcPr>
            <w:tcW w:w="500" w:type="dxa"/>
            <w:vAlign w:val="bottom"/>
          </w:tcPr>
          <w:p>
            <w:pPr>
              <w:spacing w:after="0"/>
              <w:rPr>
                <w:sz w:val="4"/>
                <w:szCs w:val="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2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620" w:right="439" w:hanging="360"/>
        <w:spacing w:after="0" w:line="257"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previously paid fees totaling $55,100 related to $500,000,000 of the registrant’s common stock registered on the prospectus supplement filed with the SEC on September 9, 2021 and Post-Effective Amendment No. 1 to the Registration Statement on Form S-3ASR (File No. 333-252229) filed with the SEC on March 9, 2023. Of such shares of common stock, $500,000,000 remain unsold, and the registration fee in the amount of $55,100 related thereto is applied to the registrant’s total registration fee hereunder.</w:t>
      </w:r>
    </w:p>
    <w:p>
      <w:pPr>
        <w:spacing w:after="0" w:line="255" w:lineRule="exact"/>
        <w:rPr>
          <w:sz w:val="20"/>
          <w:szCs w:val="20"/>
          <w:color w:val="auto"/>
        </w:rPr>
      </w:pPr>
    </w:p>
    <w:p>
      <w:pPr>
        <w:ind w:left="1620" w:right="959" w:hanging="360"/>
        <w:spacing w:after="0" w:line="266"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Under Section 145 of the Delaware General Corporation Law (the “DGCL”), a corporation has the power to indemnify its directors and officers under certain prescribed circumstances and, subject to certain limitations, against certain costs and expenses, including attorneys’ fees, judgments, fines and amounts paid in settlement, actually and reasonably incurred in connection with any threatened, pending or completed action, suit or proceeding, whether criminal, civil, administrative or investigative, to which any of them is a party by reason of his being a director or officer of the corporation if it is determined that he acted in accordance with the applicable standard of conduct set forth in such statutory provision. In addition, a corporation may advance expenses incurred by a director or officer in defending a proceeding upon receipt of an undertaking from such person to repay any amount so advanced if it is ultimately determined that such person is not eligible for indemnification. The registrant’s amended and restated certificate of incorporation provides that, pursuant to the DGCL, the registrant’s directors shall not be liable for monetary damages to the fullest extent authorized under applicable law, including for breach of the directors’ fiduciary duty of care to the registrant and the registrant’s stockholders. This provision in the registrant’s amended and restated certificate of incorporation does not eliminate the duty of care, and in appropriate circumstances equitable remedies such as injunctive or other forms of non-monetary relief will remain available under Delaware law. In addition, each director will continue to be subject to liability for breach of the director’s duty of loyalty, for acts or omissions not in good faith or involving intentional misconduct or knowing violations of the law, for actions leading to improper personal benefit to the director, and for payment of dividends or approval of stock repurchases or redemptions that are unlawful under Delaware law. The provision also does not affect a director’s responsibilities under any other law, such as the federal securities laws or state or federal environmental laws.</w:t>
      </w:r>
    </w:p>
    <w:p>
      <w:pPr>
        <w:spacing w:after="0" w:line="324"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Article 10 of the registrant’s second amended and restated bylaws provides that the registrant will indemnify, to the fullest extent authorized by the DGCL, each person who was or is made a party or is threatened to be made a party to or is involved in any action, suit or proceeding, whether civil, criminal,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0" w:lineRule="auto"/>
        <w:rPr>
          <w:sz w:val="20"/>
          <w:szCs w:val="20"/>
          <w:color w:val="auto"/>
        </w:rPr>
      </w:pPr>
      <w:r>
        <w:rPr>
          <w:rFonts w:ascii="Times New Roman" w:cs="Times New Roman" w:eastAsia="Times New Roman" w:hAnsi="Times New Roman"/>
          <w:sz w:val="18"/>
          <w:szCs w:val="18"/>
          <w:color w:val="auto"/>
        </w:rPr>
        <w:t>administrative or investigative, by reason of the fact that he or she is or was a director or officer of the registrant, whether the basis of such proceeding is alleged action in an official capacity as a director or officer or in any other capacity while serving as a director or officer against all expenses, liability and loss reasonably incurred or suffered by such person in connection therewith.</w:t>
      </w:r>
    </w:p>
    <w:p>
      <w:pPr>
        <w:spacing w:after="0" w:line="110"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In addition to the above, the registrant has entered into indemnification agreements with each of the registrant’s directors and officers. These indemnification agreements provide the registrant’s directors and officers with the same indemnification and advancement of expenses as described above, and provide that our directors and officers will be indemnified to the fullest extent authorized by any future Delaware law that expands the permissible scope of indemnification. The registrant also has directors’ and officers’ liability insurance, which provides coverage against certain liabilities that may be incurred by the registrant’s directors and officers in their capacities as directors and officers of the registrant.</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exhibits are filed as part of this registration statement:</w:t>
      </w:r>
    </w:p>
    <w:p>
      <w:pPr>
        <w:sectPr>
          <w:pgSz w:w="11900" w:h="16838" w:orient="portrait"/>
          <w:cols w:equalWidth="0" w:num="1">
            <w:col w:w="9879"/>
          </w:cols>
          <w:pgMar w:left="580" w:top="97" w:right="1440" w:bottom="1440" w:gutter="0" w:footer="0" w:header="0"/>
        </w:sectPr>
      </w:pPr>
    </w:p>
    <w:p>
      <w:pPr>
        <w:spacing w:after="0" w:line="2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1480" w:hanging="220"/>
        <w:spacing w:after="0"/>
        <w:tabs>
          <w:tab w:leader="none" w:pos="148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w:t>
      </w:r>
    </w:p>
    <w:p>
      <w:pPr>
        <w:spacing w:after="0" w:line="24" w:lineRule="exact"/>
        <w:rPr>
          <w:rFonts w:ascii="Times New Roman" w:cs="Times New Roman" w:eastAsia="Times New Roman" w:hAnsi="Times New Roman"/>
          <w:sz w:val="14"/>
          <w:szCs w:val="14"/>
          <w:b w:val="1"/>
          <w:bCs w:val="1"/>
          <w:color w:val="auto"/>
        </w:rPr>
      </w:pPr>
    </w:p>
    <w:p>
      <w:pPr>
        <w:ind w:left="1360" w:hanging="100"/>
        <w:spacing w:after="0" w:line="188" w:lineRule="auto"/>
        <w:tabs>
          <w:tab w:leader="none" w:pos="1360" w:val="left"/>
        </w:tabs>
        <w:numPr>
          <w:ilvl w:val="0"/>
          <w:numId w:val="2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1.1*</w:t>
      </w:r>
    </w:p>
    <w:p>
      <w:pPr>
        <w:spacing w:after="0" w:line="15" w:lineRule="exact"/>
        <w:rPr>
          <w:rFonts w:ascii="Times New Roman" w:cs="Times New Roman" w:eastAsia="Times New Roman" w:hAnsi="Times New Roman"/>
          <w:sz w:val="28"/>
          <w:szCs w:val="28"/>
          <w:color w:val="auto"/>
          <w:vertAlign w:val="superscript"/>
        </w:rPr>
      </w:pPr>
    </w:p>
    <w:p>
      <w:pPr>
        <w:ind w:left="1360" w:hanging="100"/>
        <w:spacing w:after="0"/>
        <w:tabs>
          <w:tab w:leader="none" w:pos="1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0" w:lineRule="exact"/>
        <w:rPr>
          <w:rFonts w:ascii="Times New Roman" w:cs="Times New Roman" w:eastAsia="Times New Roman" w:hAnsi="Times New Roman"/>
          <w:sz w:val="18"/>
          <w:szCs w:val="18"/>
          <w:color w:val="auto"/>
        </w:rPr>
      </w:pPr>
    </w:p>
    <w:p>
      <w:pPr>
        <w:spacing w:after="0" w:line="248" w:lineRule="exact"/>
        <w:rPr>
          <w:rFonts w:ascii="Times New Roman" w:cs="Times New Roman" w:eastAsia="Times New Roman" w:hAnsi="Times New Roman"/>
          <w:sz w:val="18"/>
          <w:szCs w:val="18"/>
          <w:color w:val="auto"/>
        </w:rPr>
      </w:pPr>
    </w:p>
    <w:p>
      <w:pPr>
        <w:ind w:left="1360" w:hanging="100"/>
        <w:spacing w:after="0"/>
        <w:tabs>
          <w:tab w:leader="none" w:pos="1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pacing w:after="0" w:line="252" w:lineRule="exact"/>
        <w:rPr>
          <w:rFonts w:ascii="Times New Roman" w:cs="Times New Roman" w:eastAsia="Times New Roman" w:hAnsi="Times New Roman"/>
          <w:sz w:val="18"/>
          <w:szCs w:val="18"/>
          <w:color w:val="auto"/>
        </w:rPr>
      </w:pPr>
    </w:p>
    <w:p>
      <w:pPr>
        <w:ind w:left="1360" w:hanging="100"/>
        <w:spacing w:after="0"/>
        <w:tabs>
          <w:tab w:leader="none" w:pos="1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52" w:lineRule="exact"/>
        <w:rPr>
          <w:rFonts w:ascii="Times New Roman" w:cs="Times New Roman" w:eastAsia="Times New Roman" w:hAnsi="Times New Roman"/>
          <w:sz w:val="18"/>
          <w:szCs w:val="18"/>
          <w:color w:val="auto"/>
        </w:rPr>
      </w:pPr>
    </w:p>
    <w:p>
      <w:pPr>
        <w:ind w:left="1360" w:hanging="100"/>
        <w:spacing w:after="0"/>
        <w:tabs>
          <w:tab w:leader="none" w:pos="1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p>
    <w:p>
      <w:pPr>
        <w:spacing w:after="0" w:line="27" w:lineRule="exact"/>
        <w:rPr>
          <w:rFonts w:ascii="Times New Roman" w:cs="Times New Roman" w:eastAsia="Times New Roman" w:hAnsi="Times New Roman"/>
          <w:sz w:val="18"/>
          <w:szCs w:val="18"/>
          <w:color w:val="auto"/>
        </w:rPr>
      </w:pPr>
    </w:p>
    <w:p>
      <w:pPr>
        <w:ind w:left="1360" w:hanging="100"/>
        <w:spacing w:after="0" w:line="191" w:lineRule="auto"/>
        <w:tabs>
          <w:tab w:leader="none" w:pos="1360" w:val="left"/>
        </w:tabs>
        <w:numPr>
          <w:ilvl w:val="0"/>
          <w:numId w:val="2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4.4*</w:t>
      </w:r>
    </w:p>
    <w:p>
      <w:pPr>
        <w:spacing w:after="0" w:line="28" w:lineRule="exact"/>
        <w:rPr>
          <w:rFonts w:ascii="Times New Roman" w:cs="Times New Roman" w:eastAsia="Times New Roman" w:hAnsi="Times New Roman"/>
          <w:sz w:val="28"/>
          <w:szCs w:val="28"/>
          <w:color w:val="auto"/>
          <w:vertAlign w:val="superscript"/>
        </w:rPr>
      </w:pPr>
    </w:p>
    <w:p>
      <w:pPr>
        <w:ind w:left="1360" w:hanging="100"/>
        <w:spacing w:after="0" w:line="186" w:lineRule="auto"/>
        <w:tabs>
          <w:tab w:leader="none" w:pos="136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4.5</w:t>
      </w:r>
    </w:p>
    <w:p>
      <w:pPr>
        <w:spacing w:after="0" w:line="29" w:lineRule="exact"/>
        <w:rPr>
          <w:rFonts w:ascii="Times New Roman" w:cs="Times New Roman" w:eastAsia="Times New Roman" w:hAnsi="Times New Roman"/>
          <w:sz w:val="24"/>
          <w:szCs w:val="24"/>
          <w:color w:val="auto"/>
          <w:vertAlign w:val="superscript"/>
        </w:rPr>
      </w:pPr>
    </w:p>
    <w:p>
      <w:pPr>
        <w:ind w:left="1360" w:hanging="100"/>
        <w:spacing w:after="0" w:line="186" w:lineRule="auto"/>
        <w:tabs>
          <w:tab w:leader="none" w:pos="136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4.6</w:t>
      </w:r>
    </w:p>
    <w:p>
      <w:pPr>
        <w:spacing w:after="0" w:line="29" w:lineRule="exact"/>
        <w:rPr>
          <w:rFonts w:ascii="Times New Roman" w:cs="Times New Roman" w:eastAsia="Times New Roman" w:hAnsi="Times New Roman"/>
          <w:sz w:val="24"/>
          <w:szCs w:val="24"/>
          <w:color w:val="auto"/>
          <w:vertAlign w:val="superscript"/>
        </w:rPr>
      </w:pPr>
    </w:p>
    <w:p>
      <w:pPr>
        <w:ind w:left="1360" w:hanging="100"/>
        <w:spacing w:after="0" w:line="186" w:lineRule="auto"/>
        <w:tabs>
          <w:tab w:leader="none" w:pos="136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4.7*</w:t>
      </w:r>
    </w:p>
    <w:p>
      <w:pPr>
        <w:spacing w:after="0" w:line="29" w:lineRule="exact"/>
        <w:rPr>
          <w:rFonts w:ascii="Times New Roman" w:cs="Times New Roman" w:eastAsia="Times New Roman" w:hAnsi="Times New Roman"/>
          <w:sz w:val="24"/>
          <w:szCs w:val="24"/>
          <w:color w:val="auto"/>
          <w:vertAlign w:val="superscript"/>
        </w:rPr>
      </w:pPr>
    </w:p>
    <w:p>
      <w:pPr>
        <w:ind w:left="1360" w:hanging="100"/>
        <w:spacing w:after="0" w:line="186" w:lineRule="auto"/>
        <w:tabs>
          <w:tab w:leader="none" w:pos="136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4.8*</w:t>
      </w:r>
    </w:p>
    <w:p>
      <w:pPr>
        <w:spacing w:after="0" w:line="42" w:lineRule="exact"/>
        <w:rPr>
          <w:rFonts w:ascii="Times New Roman" w:cs="Times New Roman" w:eastAsia="Times New Roman" w:hAnsi="Times New Roman"/>
          <w:sz w:val="24"/>
          <w:szCs w:val="24"/>
          <w:color w:val="auto"/>
          <w:vertAlign w:val="superscript"/>
        </w:rPr>
      </w:pPr>
    </w:p>
    <w:p>
      <w:pPr>
        <w:ind w:left="1360" w:hanging="100"/>
        <w:spacing w:after="0" w:line="186" w:lineRule="auto"/>
        <w:tabs>
          <w:tab w:leader="none" w:pos="136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4.9*</w:t>
      </w:r>
    </w:p>
    <w:p>
      <w:pPr>
        <w:spacing w:after="0" w:line="42" w:lineRule="exact"/>
        <w:rPr>
          <w:rFonts w:ascii="Times New Roman" w:cs="Times New Roman" w:eastAsia="Times New Roman" w:hAnsi="Times New Roman"/>
          <w:sz w:val="24"/>
          <w:szCs w:val="24"/>
          <w:color w:val="auto"/>
          <w:vertAlign w:val="superscript"/>
        </w:rPr>
      </w:pPr>
    </w:p>
    <w:p>
      <w:pPr>
        <w:ind w:left="1360" w:hanging="100"/>
        <w:spacing w:after="0" w:line="186" w:lineRule="auto"/>
        <w:tabs>
          <w:tab w:leader="none" w:pos="136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4.10*</w:t>
      </w:r>
    </w:p>
    <w:p>
      <w:pPr>
        <w:spacing w:after="0" w:line="42" w:lineRule="exact"/>
        <w:rPr>
          <w:rFonts w:ascii="Times New Roman" w:cs="Times New Roman" w:eastAsia="Times New Roman" w:hAnsi="Times New Roman"/>
          <w:sz w:val="24"/>
          <w:szCs w:val="24"/>
          <w:color w:val="auto"/>
          <w:vertAlign w:val="superscript"/>
        </w:rPr>
      </w:pPr>
    </w:p>
    <w:p>
      <w:pPr>
        <w:ind w:left="1360" w:hanging="100"/>
        <w:spacing w:after="0" w:line="186" w:lineRule="auto"/>
        <w:tabs>
          <w:tab w:leader="none" w:pos="136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4.11*</w:t>
      </w:r>
    </w:p>
    <w:p>
      <w:pPr>
        <w:spacing w:after="0" w:line="42" w:lineRule="exact"/>
        <w:rPr>
          <w:rFonts w:ascii="Times New Roman" w:cs="Times New Roman" w:eastAsia="Times New Roman" w:hAnsi="Times New Roman"/>
          <w:sz w:val="24"/>
          <w:szCs w:val="24"/>
          <w:color w:val="auto"/>
          <w:vertAlign w:val="superscript"/>
        </w:rPr>
      </w:pPr>
    </w:p>
    <w:p>
      <w:pPr>
        <w:ind w:left="1360" w:hanging="100"/>
        <w:spacing w:after="0" w:line="186" w:lineRule="auto"/>
        <w:tabs>
          <w:tab w:leader="none" w:pos="136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4.12*</w:t>
      </w:r>
    </w:p>
    <w:p>
      <w:pPr>
        <w:spacing w:after="0" w:line="42" w:lineRule="exact"/>
        <w:rPr>
          <w:rFonts w:ascii="Times New Roman" w:cs="Times New Roman" w:eastAsia="Times New Roman" w:hAnsi="Times New Roman"/>
          <w:sz w:val="24"/>
          <w:szCs w:val="24"/>
          <w:color w:val="auto"/>
          <w:vertAlign w:val="superscript"/>
        </w:rPr>
      </w:pPr>
    </w:p>
    <w:p>
      <w:pPr>
        <w:ind w:left="1360" w:hanging="100"/>
        <w:spacing w:after="0" w:line="186" w:lineRule="auto"/>
        <w:tabs>
          <w:tab w:leader="none" w:pos="136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5.1†</w:t>
      </w:r>
    </w:p>
    <w:p>
      <w:pPr>
        <w:spacing w:after="0" w:line="29" w:lineRule="exact"/>
        <w:rPr>
          <w:rFonts w:ascii="Times New Roman" w:cs="Times New Roman" w:eastAsia="Times New Roman" w:hAnsi="Times New Roman"/>
          <w:sz w:val="24"/>
          <w:szCs w:val="24"/>
          <w:color w:val="auto"/>
          <w:vertAlign w:val="superscript"/>
        </w:rPr>
      </w:pPr>
    </w:p>
    <w:p>
      <w:pPr>
        <w:ind w:left="1360" w:hanging="100"/>
        <w:spacing w:after="0"/>
        <w:tabs>
          <w:tab w:leader="none" w:pos="1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-3063875</wp:posOffset>
            </wp:positionV>
            <wp:extent cx="4025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402590" cy="8255"/>
                    </a:xfrm>
                    <a:prstGeom prst="rect">
                      <a:avLst/>
                    </a:prstGeom>
                    <a:noFill/>
                  </pic:spPr>
                </pic:pic>
              </a:graphicData>
            </a:graphic>
          </wp:anchor>
        </w:drawing>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23.1†</w:t>
      </w:r>
    </w:p>
    <w:p>
      <w:pPr>
        <w:ind w:left="1260"/>
        <w:spacing w:after="0"/>
        <w:rPr>
          <w:sz w:val="20"/>
          <w:szCs w:val="20"/>
          <w:color w:val="auto"/>
        </w:rPr>
      </w:pPr>
      <w:r>
        <w:rPr>
          <w:rFonts w:ascii="Times New Roman" w:cs="Times New Roman" w:eastAsia="Times New Roman" w:hAnsi="Times New Roman"/>
          <w:sz w:val="18"/>
          <w:szCs w:val="18"/>
          <w:color w:val="auto"/>
        </w:rPr>
        <w:t>23.2†​</w:t>
      </w: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​23.3†</w:t>
      </w:r>
    </w:p>
    <w:p>
      <w:pPr>
        <w:spacing w:after="0" w:line="2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​24.1†</w:t>
      </w:r>
    </w:p>
    <w:p>
      <w:pPr>
        <w:spacing w:after="0" w:line="2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​25.1#</w:t>
      </w:r>
    </w:p>
    <w:p>
      <w:pPr>
        <w:spacing w:after="0" w:line="200" w:lineRule="exact"/>
        <w:rPr>
          <w:sz w:val="20"/>
          <w:szCs w:val="20"/>
          <w:color w:val="auto"/>
        </w:rPr>
      </w:pPr>
    </w:p>
    <w:p>
      <w:pPr>
        <w:spacing w:after="0" w:line="2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107†</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0"/>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60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3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At The Market Offering Agreement, dated</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000EE"/>
        </w:rPr>
        <w:t>January 16, 2024, between Gevo, Inc. and H.C.</w:t>
      </w: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1880" w:type="dxa"/>
            <w:vAlign w:val="bottom"/>
            <w:tcBorders>
              <w:bottom w:val="single" w:sz="8" w:color="0000EE"/>
            </w:tcBorders>
            <w:gridSpan w:val="5"/>
          </w:tcPr>
          <w:p>
            <w:pPr>
              <w:spacing w:after="0" w:line="203" w:lineRule="exact"/>
              <w:rPr>
                <w:sz w:val="20"/>
                <w:szCs w:val="20"/>
                <w:color w:val="auto"/>
              </w:rPr>
            </w:pPr>
            <w:r>
              <w:rPr>
                <w:rFonts w:ascii="Times New Roman" w:cs="Times New Roman" w:eastAsia="Times New Roman" w:hAnsi="Times New Roman"/>
                <w:sz w:val="18"/>
                <w:szCs w:val="18"/>
                <w:color w:val="0000EE"/>
              </w:rPr>
              <w:t>Wainwright &amp; Co., LLC.</w:t>
            </w:r>
          </w:p>
        </w:tc>
        <w:tc>
          <w:tcPr>
            <w:tcW w:w="1680" w:type="dxa"/>
            <w:vAlign w:val="bottom"/>
            <w:gridSpan w:val="11"/>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40" w:type="dxa"/>
            <w:vAlign w:val="bottom"/>
            <w:gridSpan w:val="1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hyperlink r:id="rId111">
              <w:r>
                <w:rPr>
                  <w:rFonts w:ascii="Times New Roman" w:cs="Times New Roman" w:eastAsia="Times New Roman" w:hAnsi="Times New Roman"/>
                  <w:sz w:val="18"/>
                  <w:szCs w:val="18"/>
                  <w:color w:val="0000EE"/>
                </w:rPr>
                <w:t>Amended and Restated Certificate of</w:t>
              </w:r>
            </w:hyperlink>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001-35073</w:t>
            </w:r>
          </w:p>
        </w:tc>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​02/24/22 ​ ​</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Incorporation of Gevo, Inc.</w:t>
              </w:r>
            </w:hyperlink>
          </w:p>
        </w:tc>
        <w:tc>
          <w:tcPr>
            <w:tcW w:w="720" w:type="dxa"/>
            <w:vAlign w:val="bottom"/>
            <w:tcBorders>
              <w:top w:val="single" w:sz="8" w:color="0000EE"/>
            </w:tcBorders>
            <w:gridSpan w:val="4"/>
          </w:tcPr>
          <w:p>
            <w:pPr>
              <w:spacing w:after="0"/>
              <w:rPr>
                <w:sz w:val="17"/>
                <w:szCs w:val="17"/>
                <w:color w:val="auto"/>
              </w:rPr>
            </w:pPr>
          </w:p>
        </w:tc>
        <w:tc>
          <w:tcPr>
            <w:tcW w:w="78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40" w:type="dxa"/>
            <w:vAlign w:val="bottom"/>
            <w:gridSpan w:val="1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hyperlink r:id="rId112">
              <w:r>
                <w:rPr>
                  <w:rFonts w:ascii="Times New Roman" w:cs="Times New Roman" w:eastAsia="Times New Roman" w:hAnsi="Times New Roman"/>
                  <w:sz w:val="18"/>
                  <w:szCs w:val="18"/>
                  <w:color w:val="0000EE"/>
                </w:rPr>
                <w:t>Second Amended and Restated Bylaws of</w:t>
              </w:r>
            </w:hyperlink>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8-K</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001-35073</w:t>
            </w:r>
          </w:p>
        </w:tc>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​11/24/21 ​ ​</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Gevo, Inc.</w:t>
              </w:r>
            </w:hyperlink>
          </w:p>
        </w:tc>
        <w:tc>
          <w:tcPr>
            <w:tcW w:w="2360" w:type="dxa"/>
            <w:vAlign w:val="bottom"/>
            <w:tcBorders>
              <w:top w:val="single" w:sz="8" w:color="0000EE"/>
            </w:tcBorders>
            <w:gridSpan w:val="11"/>
          </w:tcPr>
          <w:p>
            <w:pPr>
              <w:spacing w:after="0"/>
              <w:rPr>
                <w:sz w:val="17"/>
                <w:szCs w:val="17"/>
                <w:color w:val="auto"/>
              </w:rPr>
            </w:pPr>
          </w:p>
        </w:tc>
        <w:tc>
          <w:tcPr>
            <w:tcW w:w="42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60" w:type="dxa"/>
            <w:vAlign w:val="bottom"/>
            <w:gridSpan w:val="18"/>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hyperlink r:id="rId113">
              <w:r>
                <w:rPr>
                  <w:rFonts w:ascii="Times New Roman" w:cs="Times New Roman" w:eastAsia="Times New Roman" w:hAnsi="Times New Roman"/>
                  <w:sz w:val="18"/>
                  <w:szCs w:val="18"/>
                  <w:color w:val="0000EE"/>
                </w:rPr>
                <w:t>Form of Gevo, Inc. Common Stock Certificate.</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​333-168792</w:t>
            </w:r>
          </w:p>
        </w:tc>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​01/19/11 ​ ​</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740" w:type="dxa"/>
            <w:vAlign w:val="bottom"/>
            <w:gridSpan w:val="17"/>
          </w:tcPr>
          <w:p>
            <w:pPr>
              <w:spacing w:after="0" w:line="245"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Specimen Preferred Stock Certificate.</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40" w:type="dxa"/>
            <w:vAlign w:val="bottom"/>
            <w:gridSpan w:val="17"/>
          </w:tcPr>
          <w:p>
            <w:pPr>
              <w:spacing w:after="0" w:line="235" w:lineRule="exact"/>
              <w:rPr>
                <w:rFonts w:ascii="Times New Roman" w:cs="Times New Roman" w:eastAsia="Times New Roman" w:hAnsi="Times New Roman"/>
                <w:sz w:val="15"/>
                <w:szCs w:val="15"/>
                <w:color w:val="0000EE"/>
              </w:rPr>
            </w:pPr>
            <w:hyperlink r:id="rId114"/>
            <w:r>
              <w:rPr>
                <w:rFonts w:ascii="Times New Roman" w:cs="Times New Roman" w:eastAsia="Times New Roman" w:hAnsi="Times New Roman"/>
                <w:sz w:val="27"/>
                <w:szCs w:val="27"/>
                <w:color w:val="000000"/>
                <w:vertAlign w:val="superscript"/>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27"/>
                <w:szCs w:val="27"/>
                <w:color w:val="000000"/>
                <w:vertAlign w:val="superscript"/>
              </w:rPr>
              <w:t>​</w:t>
            </w:r>
            <w:hyperlink r:id="rId114">
              <w:r>
                <w:rPr>
                  <w:rFonts w:ascii="Times New Roman" w:cs="Times New Roman" w:eastAsia="Times New Roman" w:hAnsi="Times New Roman"/>
                  <w:sz w:val="15"/>
                  <w:szCs w:val="15"/>
                  <w:color w:val="0000EE"/>
                </w:rPr>
                <w:t>Form of Senior Debt Indenture.</w:t>
              </w:r>
            </w:hyperlink>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1200" w:type="dxa"/>
            <w:vAlign w:val="bottom"/>
            <w:gridSpan w:val="2"/>
          </w:tcPr>
          <w:p>
            <w:pPr>
              <w:ind w:left="100"/>
              <w:spacing w:after="0" w:line="235"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333-226686</w:t>
            </w:r>
          </w:p>
        </w:tc>
        <w:tc>
          <w:tcPr>
            <w:tcW w:w="1180" w:type="dxa"/>
            <w:vAlign w:val="bottom"/>
            <w:gridSpan w:val="3"/>
          </w:tcPr>
          <w:p>
            <w:pPr>
              <w:jc w:val="right"/>
              <w:ind w:right="10"/>
              <w:spacing w:after="0" w:line="235"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 xml:space="preserve">08/08/18 </w:t>
            </w:r>
            <w:r>
              <w:rPr>
                <w:rFonts w:ascii="Times New Roman" w:cs="Times New Roman" w:eastAsia="Times New Roman" w:hAnsi="Times New Roman"/>
                <w:sz w:val="27"/>
                <w:szCs w:val="27"/>
                <w:color w:val="auto"/>
                <w:vertAlign w:val="superscript"/>
              </w:rPr>
              <w:t>​ ​</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line="20" w:lineRule="exact"/>
              <w:rPr>
                <w:sz w:val="1"/>
                <w:szCs w:val="1"/>
                <w:color w:val="auto"/>
              </w:rPr>
            </w:pPr>
          </w:p>
        </w:tc>
        <w:tc>
          <w:tcPr>
            <w:tcW w:w="1200" w:type="dxa"/>
            <w:vAlign w:val="bottom"/>
            <w:gridSpan w:val="2"/>
            <w:vMerge w:val="restart"/>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333-226686</w:t>
            </w:r>
          </w:p>
        </w:tc>
        <w:tc>
          <w:tcPr>
            <w:tcW w:w="1180" w:type="dxa"/>
            <w:vAlign w:val="bottom"/>
            <w:gridSpan w:val="3"/>
            <w:vMerge w:val="restart"/>
          </w:tcPr>
          <w:p>
            <w:pPr>
              <w:jc w:val="right"/>
              <w:ind w:right="1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08/08/18 </w:t>
            </w:r>
            <w:r>
              <w:rPr>
                <w:rFonts w:ascii="Times New Roman" w:cs="Times New Roman" w:eastAsia="Times New Roman" w:hAnsi="Times New Roman"/>
                <w:sz w:val="28"/>
                <w:szCs w:val="28"/>
                <w:color w:val="auto"/>
                <w:vertAlign w:val="superscript"/>
              </w:rPr>
              <w:t>​ ​</w:t>
            </w:r>
          </w:p>
        </w:tc>
        <w:tc>
          <w:tcPr>
            <w:tcW w:w="440" w:type="dxa"/>
            <w:vAlign w:val="bottom"/>
          </w:tcPr>
          <w:p>
            <w:pPr>
              <w:spacing w:after="0" w:line="20" w:lineRule="exact"/>
              <w:rPr>
                <w:sz w:val="1"/>
                <w:szCs w:val="1"/>
                <w:color w:val="auto"/>
              </w:rPr>
            </w:pPr>
          </w:p>
        </w:tc>
        <w:tc>
          <w:tcPr>
            <w:tcW w:w="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23"/>
        </w:trPr>
        <w:tc>
          <w:tcPr>
            <w:tcW w:w="180" w:type="dxa"/>
            <w:vAlign w:val="bottom"/>
            <w:vMerge w:val="continue"/>
          </w:tcPr>
          <w:p>
            <w:pPr>
              <w:spacing w:after="0"/>
              <w:rPr>
                <w:sz w:val="19"/>
                <w:szCs w:val="19"/>
                <w:color w:val="auto"/>
              </w:rPr>
            </w:pPr>
          </w:p>
        </w:tc>
        <w:tc>
          <w:tcPr>
            <w:tcW w:w="3560" w:type="dxa"/>
            <w:vAlign w:val="bottom"/>
            <w:gridSpan w:val="16"/>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Form of Subordinated Debt Indenture.</w:t>
              </w:r>
            </w:hyperlink>
          </w:p>
        </w:tc>
        <w:tc>
          <w:tcPr>
            <w:tcW w:w="320" w:type="dxa"/>
            <w:vAlign w:val="bottom"/>
            <w:vMerge w:val="continue"/>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S-3</w:t>
            </w:r>
          </w:p>
        </w:tc>
        <w:tc>
          <w:tcPr>
            <w:tcW w:w="1200" w:type="dxa"/>
            <w:vAlign w:val="bottom"/>
            <w:gridSpan w:val="2"/>
            <w:vMerge w:val="continue"/>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rPr>
              <w:t>Form of Senior Note.</w:t>
            </w:r>
          </w:p>
        </w:tc>
        <w:tc>
          <w:tcPr>
            <w:tcW w:w="2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gridSpan w:val="17"/>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Form of Subordinated Note.</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740" w:type="dxa"/>
            <w:vAlign w:val="bottom"/>
            <w:gridSpan w:val="17"/>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Form of Deposit Agreement.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gridSpan w:val="17"/>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Form of Warrant Agreement.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740" w:type="dxa"/>
            <w:vAlign w:val="bottom"/>
            <w:gridSpan w:val="17"/>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Form of Purchase Contract.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40" w:type="dxa"/>
            <w:vAlign w:val="bottom"/>
            <w:gridSpan w:val="17"/>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Form of Unit Agreement.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40" w:type="dxa"/>
            <w:vAlign w:val="bottom"/>
            <w:gridSpan w:val="17"/>
          </w:tcPr>
          <w:p>
            <w:pPr>
              <w:spacing w:after="0" w:line="235" w:lineRule="exact"/>
              <w:rPr>
                <w:sz w:val="20"/>
                <w:szCs w:val="20"/>
                <w:color w:val="auto"/>
              </w:rPr>
            </w:pPr>
            <w:r>
              <w:rPr>
                <w:rFonts w:ascii="Times New Roman" w:cs="Times New Roman" w:eastAsia="Times New Roman" w:hAnsi="Times New Roman"/>
                <w:sz w:val="27"/>
                <w:szCs w:val="27"/>
                <w:color w:val="000000"/>
                <w:vertAlign w:val="superscript"/>
              </w:rPr>
              <w:t>​ ​</w:t>
            </w:r>
            <w:r>
              <w:rPr>
                <w:rFonts w:ascii="Times New Roman" w:cs="Times New Roman" w:eastAsia="Times New Roman" w:hAnsi="Times New Roman"/>
                <w:sz w:val="15"/>
                <w:szCs w:val="15"/>
                <w:color w:val="0000EE"/>
              </w:rPr>
              <w:t>Opinion of Perkins Coie LLP.</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Opinion of Perkins Coie LLP related to the at-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the-market offering agreement prospectus.</w:t>
            </w:r>
          </w:p>
        </w:tc>
        <w:tc>
          <w:tcPr>
            <w:tcW w:w="360" w:type="dxa"/>
            <w:vAlign w:val="bottom"/>
            <w:tcBorders>
              <w:top w:val="single" w:sz="8" w:color="0000EE"/>
            </w:tcBorders>
            <w:gridSpan w:val="2"/>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740" w:type="dxa"/>
            <w:vAlign w:val="bottom"/>
            <w:gridSpan w:val="17"/>
          </w:tcPr>
          <w:p>
            <w:pPr>
              <w:spacing w:after="0" w:line="250" w:lineRule="exact"/>
              <w:rPr>
                <w:sz w:val="20"/>
                <w:szCs w:val="20"/>
                <w:color w:val="auto"/>
              </w:rPr>
            </w:pPr>
            <w:r>
              <w:rPr>
                <w:rFonts w:ascii="Times New Roman" w:cs="Times New Roman" w:eastAsia="Times New Roman" w:hAnsi="Times New Roman"/>
                <w:sz w:val="28"/>
                <w:szCs w:val="28"/>
                <w:color w:val="000000"/>
                <w:vertAlign w:val="superscript"/>
              </w:rPr>
              <w:t>​ ​</w:t>
            </w:r>
            <w:r>
              <w:rPr>
                <w:rFonts w:ascii="Times New Roman" w:cs="Times New Roman" w:eastAsia="Times New Roman" w:hAnsi="Times New Roman"/>
                <w:sz w:val="15"/>
                <w:szCs w:val="15"/>
                <w:color w:val="0000EE"/>
              </w:rPr>
              <w:t>Consent of Grant Thornton LLP.</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Consent of Perkins Coie LLP (included in</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Exhibit 5.1).</w:t>
            </w:r>
          </w:p>
        </w:tc>
        <w:tc>
          <w:tcPr>
            <w:tcW w:w="2220" w:type="dxa"/>
            <w:vAlign w:val="bottom"/>
            <w:tcBorders>
              <w:top w:val="single" w:sz="8" w:color="0000EE"/>
            </w:tcBorders>
            <w:gridSpan w:val="11"/>
          </w:tcPr>
          <w:p>
            <w:pPr>
              <w:spacing w:after="0"/>
              <w:rPr>
                <w:sz w:val="17"/>
                <w:szCs w:val="17"/>
                <w:color w:val="auto"/>
              </w:rPr>
            </w:pPr>
          </w:p>
        </w:tc>
        <w:tc>
          <w:tcPr>
            <w:tcW w:w="4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Consent of Perkins Coie LLP (included in</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Exhibit 5.2).</w:t>
            </w:r>
          </w:p>
        </w:tc>
        <w:tc>
          <w:tcPr>
            <w:tcW w:w="2220" w:type="dxa"/>
            <w:vAlign w:val="bottom"/>
            <w:tcBorders>
              <w:top w:val="single" w:sz="8" w:color="0000EE"/>
            </w:tcBorders>
            <w:gridSpan w:val="11"/>
          </w:tcPr>
          <w:p>
            <w:pPr>
              <w:spacing w:after="0"/>
              <w:rPr>
                <w:sz w:val="17"/>
                <w:szCs w:val="17"/>
                <w:color w:val="auto"/>
              </w:rPr>
            </w:pPr>
          </w:p>
        </w:tc>
        <w:tc>
          <w:tcPr>
            <w:tcW w:w="4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Power of Attorney (included on the signature</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pages hereof).</w:t>
            </w:r>
          </w:p>
        </w:tc>
        <w:tc>
          <w:tcPr>
            <w:tcW w:w="2340" w:type="dxa"/>
            <w:vAlign w:val="bottom"/>
            <w:tcBorders>
              <w:top w:val="single" w:sz="8" w:color="0000EE"/>
            </w:tcBorders>
            <w:gridSpan w:val="12"/>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 ​Form T-1 Statement of Eligibility under the</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5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Trust Indenture Act of 1939, as amended, with</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35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respect to the Indentures.</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40" w:type="dxa"/>
            <w:vAlign w:val="bottom"/>
            <w:gridSpan w:val="17"/>
          </w:tcPr>
          <w:p>
            <w:pPr>
              <w:spacing w:after="0" w:line="235" w:lineRule="exact"/>
              <w:rPr>
                <w:sz w:val="20"/>
                <w:szCs w:val="20"/>
                <w:color w:val="auto"/>
              </w:rPr>
            </w:pPr>
            <w:r>
              <w:rPr>
                <w:rFonts w:ascii="Times New Roman" w:cs="Times New Roman" w:eastAsia="Times New Roman" w:hAnsi="Times New Roman"/>
                <w:sz w:val="27"/>
                <w:szCs w:val="27"/>
                <w:color w:val="000000"/>
                <w:vertAlign w:val="superscript"/>
              </w:rPr>
              <w:t>​ ​</w:t>
            </w:r>
            <w:r>
              <w:rPr>
                <w:rFonts w:ascii="Times New Roman" w:cs="Times New Roman" w:eastAsia="Times New Roman" w:hAnsi="Times New Roman"/>
                <w:sz w:val="15"/>
                <w:szCs w:val="15"/>
                <w:color w:val="0000EE"/>
              </w:rPr>
              <w:t>Filing Fee Table</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154305</wp:posOffset>
            </wp:positionV>
            <wp:extent cx="12344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4" w:lineRule="exact"/>
        <w:rPr>
          <w:sz w:val="20"/>
          <w:szCs w:val="20"/>
          <w:color w:val="auto"/>
        </w:rPr>
      </w:pPr>
    </w:p>
    <w:p>
      <w:pPr>
        <w:sectPr>
          <w:pgSz w:w="11900" w:h="16838" w:orient="portrait"/>
          <w:cols w:equalWidth="0" w:num="2">
            <w:col w:w="1800" w:space="140"/>
            <w:col w:w="7939"/>
          </w:cols>
          <w:pgMar w:left="580" w:top="97" w:right="1440" w:bottom="1440" w:gutter="0" w:footer="0" w:header="0"/>
          <w:type w:val="continuous"/>
        </w:sectPr>
      </w:pPr>
    </w:p>
    <w:p>
      <w:pPr>
        <w:spacing w:after="0" w:line="32" w:lineRule="exact"/>
        <w:rPr>
          <w:sz w:val="20"/>
          <w:szCs w:val="20"/>
          <w:color w:val="auto"/>
        </w:rPr>
      </w:pPr>
    </w:p>
    <w:p>
      <w:pPr>
        <w:ind w:left="1620" w:hanging="360"/>
        <w:spacing w:after="0"/>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hanging="360"/>
        <w:spacing w:after="0" w:line="282"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as an exhibit to a Current Report on Form 8-K or by other applicable filing with the SEC to be incorporated by reference herein.</w:t>
      </w:r>
    </w:p>
    <w:p>
      <w:pPr>
        <w:spacing w:after="0" w:line="27" w:lineRule="exact"/>
        <w:rPr>
          <w:sz w:val="20"/>
          <w:szCs w:val="20"/>
          <w:color w:val="auto"/>
        </w:rPr>
      </w:pPr>
    </w:p>
    <w:p>
      <w:pPr>
        <w:ind w:left="1620" w:right="1059" w:hanging="360"/>
        <w:spacing w:after="0" w:line="282"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in accordance with the requirements of Section 305(b)(2) of the Trust Indenture Act of 1939, as amended.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sz w:val="20"/>
          <w:szCs w:val="20"/>
          <w:color w:val="auto"/>
        </w:rPr>
      </w:pPr>
    </w:p>
    <w:p>
      <w:pPr>
        <w:ind w:left="1620" w:hanging="360"/>
        <w:spacing w:after="0"/>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8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57" w:lineRule="exact"/>
        <w:rPr>
          <w:rFonts w:ascii="Times New Roman" w:cs="Times New Roman" w:eastAsia="Times New Roman" w:hAnsi="Times New Roman"/>
          <w:sz w:val="18"/>
          <w:szCs w:val="18"/>
          <w:color w:val="auto"/>
        </w:rPr>
      </w:pPr>
    </w:p>
    <w:p>
      <w:pPr>
        <w:ind w:left="2340" w:right="439" w:hanging="360"/>
        <w:spacing w:after="0" w:line="253" w:lineRule="auto"/>
        <w:tabs>
          <w:tab w:leader="none" w:pos="23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13" w:lineRule="exact"/>
        <w:rPr>
          <w:rFonts w:ascii="Times New Roman" w:cs="Times New Roman" w:eastAsia="Times New Roman" w:hAnsi="Times New Roman"/>
          <w:sz w:val="18"/>
          <w:szCs w:val="18"/>
          <w:color w:val="auto"/>
        </w:rPr>
      </w:pPr>
    </w:p>
    <w:p>
      <w:pPr>
        <w:jc w:val="both"/>
        <w:ind w:left="2340" w:right="799" w:hanging="360"/>
        <w:spacing w:after="0" w:line="266" w:lineRule="auto"/>
        <w:tabs>
          <w:tab w:leader="none" w:pos="23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06" w:lineRule="exact"/>
        <w:rPr>
          <w:sz w:val="20"/>
          <w:szCs w:val="20"/>
          <w:color w:val="auto"/>
        </w:rPr>
      </w:pPr>
    </w:p>
    <w:p>
      <w:pPr>
        <w:ind w:left="1980" w:right="439"/>
        <w:spacing w:after="0" w:line="24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above do not apply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is on Form 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this registration statement, or is contained in a form of prospectus filed pursuant to Rule 424(b) that is part of this registration statement.</w:t>
      </w:r>
    </w:p>
    <w:p>
      <w:pPr>
        <w:spacing w:after="0" w:line="101" w:lineRule="exact"/>
        <w:rPr>
          <w:sz w:val="20"/>
          <w:szCs w:val="20"/>
          <w:color w:val="auto"/>
        </w:rPr>
      </w:pPr>
    </w:p>
    <w:p>
      <w:pPr>
        <w:ind w:left="1980" w:right="439" w:hanging="360"/>
        <w:spacing w:after="0" w:line="261" w:lineRule="auto"/>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the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12" w:lineRule="exact"/>
        <w:rPr>
          <w:rFonts w:ascii="Times New Roman" w:cs="Times New Roman" w:eastAsia="Times New Roman" w:hAnsi="Times New Roman"/>
          <w:sz w:val="18"/>
          <w:szCs w:val="18"/>
          <w:color w:val="auto"/>
        </w:rPr>
      </w:pPr>
    </w:p>
    <w:p>
      <w:pPr>
        <w:ind w:left="1980" w:right="639" w:hanging="360"/>
        <w:spacing w:after="0" w:line="282" w:lineRule="auto"/>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44" w:lineRule="exact"/>
        <w:rPr>
          <w:rFonts w:ascii="Times New Roman" w:cs="Times New Roman" w:eastAsia="Times New Roman" w:hAnsi="Times New Roman"/>
          <w:sz w:val="18"/>
          <w:szCs w:val="18"/>
          <w:color w:val="auto"/>
        </w:rPr>
      </w:pPr>
    </w:p>
    <w:p>
      <w:pPr>
        <w:ind w:left="2340" w:right="579" w:hanging="360"/>
        <w:spacing w:after="0" w:line="266" w:lineRule="auto"/>
        <w:tabs>
          <w:tab w:leader="none" w:pos="23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Times New Roman" w:cs="Times New Roman" w:eastAsia="Times New Roman" w:hAnsi="Times New Roman"/>
          <w:sz w:val="18"/>
          <w:szCs w:val="18"/>
          <w:color w:val="auto"/>
        </w:rPr>
      </w:pPr>
    </w:p>
    <w:p>
      <w:pPr>
        <w:ind w:left="2340" w:right="519" w:hanging="360"/>
        <w:spacing w:after="0" w:line="254" w:lineRule="auto"/>
        <w:tabs>
          <w:tab w:leader="none" w:pos="23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w:t>
      </w: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459"/>
        <w:spacing w:after="0" w:line="244" w:lineRule="auto"/>
        <w:rPr>
          <w:sz w:val="20"/>
          <w:szCs w:val="20"/>
          <w:color w:val="auto"/>
        </w:rPr>
      </w:pPr>
      <w:r>
        <w:rPr>
          <w:rFonts w:ascii="Times New Roman" w:cs="Times New Roman" w:eastAsia="Times New Roman" w:hAnsi="Times New Roman"/>
          <w:sz w:val="18"/>
          <w:szCs w:val="18"/>
          <w:color w:val="auto"/>
        </w:rPr>
        <w:t xml:space="preserve">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8" w:lineRule="exact"/>
        <w:rPr>
          <w:sz w:val="20"/>
          <w:szCs w:val="20"/>
          <w:color w:val="auto"/>
        </w:rPr>
      </w:pPr>
    </w:p>
    <w:p>
      <w:pPr>
        <w:ind w:left="1980" w:right="579" w:hanging="360"/>
        <w:spacing w:after="0" w:line="282" w:lineRule="auto"/>
        <w:tabs>
          <w:tab w:leader="none" w:pos="19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w:t>
      </w:r>
    </w:p>
    <w:p>
      <w:pPr>
        <w:spacing w:after="0" w:line="80" w:lineRule="exact"/>
        <w:rPr>
          <w:rFonts w:ascii="Times New Roman" w:cs="Times New Roman" w:eastAsia="Times New Roman" w:hAnsi="Times New Roman"/>
          <w:sz w:val="18"/>
          <w:szCs w:val="18"/>
          <w:color w:val="auto"/>
        </w:rPr>
      </w:pPr>
    </w:p>
    <w:p>
      <w:pPr>
        <w:ind w:left="1980" w:right="5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registrants will be sellers to the purchaser and will be considered to offer or sell such securities to such purchaser:</w:t>
      </w:r>
    </w:p>
    <w:p>
      <w:pPr>
        <w:spacing w:after="0" w:line="109" w:lineRule="exact"/>
        <w:rPr>
          <w:rFonts w:ascii="Times New Roman" w:cs="Times New Roman" w:eastAsia="Times New Roman" w:hAnsi="Times New Roman"/>
          <w:sz w:val="18"/>
          <w:szCs w:val="18"/>
          <w:color w:val="auto"/>
        </w:rPr>
      </w:pPr>
    </w:p>
    <w:p>
      <w:pPr>
        <w:ind w:left="2340" w:right="459" w:hanging="360"/>
        <w:spacing w:after="0" w:line="282" w:lineRule="auto"/>
        <w:tabs>
          <w:tab w:leader="none" w:pos="23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80" w:lineRule="exact"/>
        <w:rPr>
          <w:rFonts w:ascii="Times New Roman" w:cs="Times New Roman" w:eastAsia="Times New Roman" w:hAnsi="Times New Roman"/>
          <w:sz w:val="18"/>
          <w:szCs w:val="18"/>
          <w:color w:val="auto"/>
        </w:rPr>
      </w:pPr>
    </w:p>
    <w:p>
      <w:pPr>
        <w:ind w:left="2340" w:right="1339" w:hanging="360"/>
        <w:spacing w:after="0" w:line="282" w:lineRule="auto"/>
        <w:tabs>
          <w:tab w:leader="none" w:pos="23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ind w:left="2340" w:right="579" w:hanging="360"/>
        <w:spacing w:after="0" w:line="266" w:lineRule="auto"/>
        <w:tabs>
          <w:tab w:leader="none" w:pos="23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Times New Roman" w:cs="Times New Roman" w:eastAsia="Times New Roman" w:hAnsi="Times New Roman"/>
          <w:sz w:val="18"/>
          <w:szCs w:val="18"/>
          <w:color w:val="auto"/>
        </w:rPr>
      </w:pPr>
    </w:p>
    <w:p>
      <w:pPr>
        <w:ind w:left="2340" w:right="579" w:hanging="360"/>
        <w:spacing w:after="0" w:line="282" w:lineRule="auto"/>
        <w:tabs>
          <w:tab w:leader="none" w:pos="23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registrants to the purchaser.</w:t>
      </w:r>
    </w:p>
    <w:p>
      <w:pPr>
        <w:spacing w:after="0" w:line="94" w:lineRule="exact"/>
        <w:rPr>
          <w:rFonts w:ascii="Times New Roman" w:cs="Times New Roman" w:eastAsia="Times New Roman" w:hAnsi="Times New Roman"/>
          <w:sz w:val="18"/>
          <w:szCs w:val="18"/>
          <w:color w:val="auto"/>
        </w:rPr>
      </w:pPr>
    </w:p>
    <w:p>
      <w:pPr>
        <w:ind w:left="1620" w:right="419" w:hanging="360"/>
        <w:spacing w:after="0" w:line="255"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08" w:lineRule="exact"/>
        <w:rPr>
          <w:sz w:val="20"/>
          <w:szCs w:val="20"/>
          <w:color w:val="auto"/>
        </w:rPr>
      </w:pPr>
    </w:p>
    <w:p>
      <w:pPr>
        <w:ind w:left="1620" w:right="639" w:hanging="360"/>
        <w:spacing w:after="0" w:line="253"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registrants of expenses incurred or paid by a director, officer or controlling person of the registrant sin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57" w:lineRule="exact"/>
        <w:rPr>
          <w:rFonts w:ascii="Times New Roman" w:cs="Times New Roman" w:eastAsia="Times New Roman" w:hAnsi="Times New Roman"/>
          <w:sz w:val="18"/>
          <w:szCs w:val="18"/>
          <w:color w:val="auto"/>
        </w:rPr>
      </w:pPr>
    </w:p>
    <w:p>
      <w:pPr>
        <w:ind w:left="1980" w:right="419" w:hanging="360"/>
        <w:spacing w:after="0" w:line="258" w:lineRule="auto"/>
        <w:tabs>
          <w:tab w:leader="none" w:pos="1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59" w:hanging="360"/>
        <w:spacing w:after="0" w:line="261" w:lineRule="auto"/>
        <w:tabs>
          <w:tab w:leader="none" w:pos="19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Times New Roman" w:cs="Times New Roman" w:eastAsia="Times New Roman" w:hAnsi="Times New Roman"/>
          <w:sz w:val="18"/>
          <w:szCs w:val="18"/>
          <w:color w:val="auto"/>
        </w:rPr>
      </w:pPr>
    </w:p>
    <w:p>
      <w:pPr>
        <w:ind w:left="1620" w:right="439" w:hanging="360"/>
        <w:spacing w:after="0" w:line="263"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Englewood, State of Colorado, on January 16, 2024.</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220"/>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60" w:type="dxa"/>
            <w:vAlign w:val="bottom"/>
            <w:gridSpan w:val="3"/>
          </w:tcPr>
          <w:p>
            <w:pPr>
              <w:ind w:left="1640"/>
              <w:spacing w:after="0"/>
              <w:rPr>
                <w:sz w:val="20"/>
                <w:szCs w:val="20"/>
                <w:color w:val="auto"/>
              </w:rPr>
            </w:pPr>
            <w:r>
              <w:rPr>
                <w:rFonts w:ascii="Times New Roman" w:cs="Times New Roman" w:eastAsia="Times New Roman" w:hAnsi="Times New Roman"/>
                <w:sz w:val="18"/>
                <w:szCs w:val="18"/>
                <w:b w:val="1"/>
                <w:bCs w:val="1"/>
                <w:color w:val="auto"/>
              </w:rPr>
              <w:t>​ ​ GEVO, INC.</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 ​</w:t>
            </w:r>
          </w:p>
        </w:tc>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1"/>
        </w:trPr>
        <w:tc>
          <w:tcPr>
            <w:tcW w:w="1680" w:type="dxa"/>
            <w:vAlign w:val="bottom"/>
          </w:tcPr>
          <w:p>
            <w:pPr>
              <w:spacing w:after="0"/>
              <w:rPr>
                <w:sz w:val="24"/>
                <w:szCs w:val="24"/>
                <w:color w:val="auto"/>
              </w:rPr>
            </w:pPr>
          </w:p>
        </w:tc>
        <w:tc>
          <w:tcPr>
            <w:tcW w:w="646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By:   /s/ Patrick R. Gruber</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vMerge w:val="restart"/>
          </w:tcPr>
          <w:p>
            <w:pPr>
              <w:ind w:left="1640"/>
              <w:spacing w:after="0"/>
              <w:rPr>
                <w:sz w:val="20"/>
                <w:szCs w:val="20"/>
                <w:color w:val="auto"/>
              </w:rPr>
            </w:pPr>
            <w:r>
              <w:rPr>
                <w:rFonts w:ascii="Times New Roman" w:cs="Times New Roman" w:eastAsia="Times New Roman" w:hAnsi="Times New Roman"/>
                <w:sz w:val="18"/>
                <w:szCs w:val="18"/>
                <w:color w:val="auto"/>
              </w:rPr>
              <w:t>​ ​ ​   ​ ​</w:t>
            </w:r>
          </w:p>
        </w:tc>
        <w:tc>
          <w:tcPr>
            <w:tcW w:w="4100" w:type="dxa"/>
            <w:vAlign w:val="bottom"/>
            <w:tcBorders>
              <w:bottom w:val="single" w:sz="8" w:color="auto"/>
            </w:tcBorders>
          </w:tcPr>
          <w:p>
            <w:pPr>
              <w:spacing w:after="0"/>
              <w:rPr>
                <w:sz w:val="4"/>
                <w:szCs w:val="4"/>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680" w:type="dxa"/>
            <w:vAlign w:val="bottom"/>
            <w:vMerge w:val="continue"/>
          </w:tcPr>
          <w:p>
            <w:pPr>
              <w:spacing w:after="0"/>
              <w:rPr>
                <w:sz w:val="19"/>
                <w:szCs w:val="19"/>
                <w:color w:val="auto"/>
              </w:rPr>
            </w:pPr>
          </w:p>
        </w:tc>
        <w:tc>
          <w:tcPr>
            <w:tcW w:w="2360" w:type="dxa"/>
            <w:vAlign w:val="bottom"/>
            <w:gridSpan w:val="2"/>
            <w:vMerge w:val="continue"/>
          </w:tcPr>
          <w:p>
            <w:pPr>
              <w:spacing w:after="0"/>
              <w:rPr>
                <w:sz w:val="19"/>
                <w:szCs w:val="19"/>
                <w:color w:val="auto"/>
              </w:rPr>
            </w:pPr>
          </w:p>
        </w:tc>
        <w:tc>
          <w:tcPr>
            <w:tcW w:w="4100" w:type="dxa"/>
            <w:vAlign w:val="bottom"/>
          </w:tcPr>
          <w:p>
            <w:pPr>
              <w:spacing w:after="0" w:line="223" w:lineRule="exact"/>
              <w:rPr>
                <w:sz w:val="20"/>
                <w:szCs w:val="20"/>
                <w:color w:val="auto"/>
              </w:rPr>
            </w:pPr>
            <w:r>
              <w:rPr>
                <w:rFonts w:ascii="Times New Roman" w:cs="Times New Roman" w:eastAsia="Times New Roman" w:hAnsi="Times New Roman"/>
                <w:sz w:val="14"/>
                <w:szCs w:val="14"/>
                <w:color w:val="auto"/>
              </w:rPr>
              <w:t>Name:</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 xml:space="preserve"> Patrick R. Gruber</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 ​ ​</w:t>
            </w:r>
          </w:p>
        </w:tc>
        <w:tc>
          <w:tcPr>
            <w:tcW w:w="4440" w:type="dxa"/>
            <w:vAlign w:val="bottom"/>
            <w:gridSpan w:val="2"/>
          </w:tcPr>
          <w:p>
            <w:pPr>
              <w:ind w:left="12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Title: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Chief Executive Officer</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Patrick R. Gruber, L. Lynn Smull and E. Cabell Massey, and each of them acting individually, as his or her true and lawful attorneys-in-fact and agents, each with full power of substitution, for him or her in any and all capacities, to execute any and all amendments to this Registration Statement (including any post-effective amendments, and any new registration statement with respect to the offering contemplated thereby filed pursuant to Rule 462(b) of the Securities Act), and to file the same, with exhibits thereto and other documents in connection therewith, with the SEC, granting unto such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such attorneys-in-fact and agents, or his, her or their substitute or substitutes, may lawfully do or cause to be done by virtue hereof.</w:t>
      </w:r>
    </w:p>
    <w:p>
      <w:pPr>
        <w:spacing w:after="0" w:line="114" w:lineRule="exact"/>
        <w:rPr>
          <w:sz w:val="20"/>
          <w:szCs w:val="20"/>
          <w:color w:val="auto"/>
        </w:rPr>
      </w:pPr>
    </w:p>
    <w:p>
      <w:pPr>
        <w:ind w:left="1260" w:right="579" w:firstLine="360"/>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68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88"/>
        </w:trPr>
        <w:tc>
          <w:tcPr>
            <w:tcW w:w="2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Patrick R. Gruber</w:t>
            </w:r>
          </w:p>
        </w:tc>
        <w:tc>
          <w:tcPr>
            <w:tcW w:w="388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Chief Executive Officer</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16,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5"/>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Patrick R. Gruber, Ph.D.</w:t>
            </w:r>
          </w:p>
        </w:tc>
        <w:tc>
          <w:tcPr>
            <w:tcW w:w="200" w:type="dxa"/>
            <w:vAlign w:val="bottom"/>
          </w:tcPr>
          <w:p>
            <w:pPr>
              <w:spacing w:after="0"/>
              <w:rPr>
                <w:sz w:val="10"/>
                <w:szCs w:val="10"/>
                <w:color w:val="auto"/>
              </w:rPr>
            </w:pPr>
          </w:p>
        </w:tc>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2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 Lynn Smull</w:t>
            </w:r>
          </w:p>
        </w:tc>
        <w:tc>
          <w:tcPr>
            <w:tcW w:w="20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80" w:type="dxa"/>
            <w:vAlign w:val="bottom"/>
          </w:tcPr>
          <w:p>
            <w:pPr>
              <w:spacing w:after="0"/>
              <w:rPr>
                <w:sz w:val="10"/>
                <w:szCs w:val="10"/>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16, 2024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3"/>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 Lynn Smull</w:t>
            </w:r>
          </w:p>
        </w:tc>
        <w:tc>
          <w:tcPr>
            <w:tcW w:w="200" w:type="dxa"/>
            <w:vAlign w:val="bottom"/>
            <w:vMerge w:val="continue"/>
          </w:tcPr>
          <w:p>
            <w:pPr>
              <w:spacing w:after="0"/>
              <w:rPr>
                <w:sz w:val="13"/>
                <w:szCs w:val="13"/>
                <w:color w:val="auto"/>
              </w:rPr>
            </w:pPr>
          </w:p>
        </w:tc>
        <w:tc>
          <w:tcPr>
            <w:tcW w:w="368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6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Alisher Nurmat</w:t>
            </w:r>
          </w:p>
        </w:tc>
        <w:tc>
          <w:tcPr>
            <w:tcW w:w="20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Accounting and Treasurer</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80" w:type="dxa"/>
            <w:vAlign w:val="bottom"/>
          </w:tcPr>
          <w:p>
            <w:pPr>
              <w:spacing w:after="0"/>
              <w:rPr>
                <w:sz w:val="10"/>
                <w:szCs w:val="10"/>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16, 2024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3"/>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Alisher Nurmat</w:t>
            </w:r>
          </w:p>
        </w:tc>
        <w:tc>
          <w:tcPr>
            <w:tcW w:w="200" w:type="dxa"/>
            <w:vAlign w:val="bottom"/>
            <w:vMerge w:val="continue"/>
          </w:tcPr>
          <w:p>
            <w:pPr>
              <w:spacing w:after="0"/>
              <w:rPr>
                <w:sz w:val="13"/>
                <w:szCs w:val="13"/>
                <w:color w:val="auto"/>
              </w:rPr>
            </w:pPr>
          </w:p>
        </w:tc>
        <w:tc>
          <w:tcPr>
            <w:tcW w:w="368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6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H. Baum</w:t>
            </w: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w:t>
            </w:r>
          </w:p>
        </w:tc>
        <w:tc>
          <w:tcPr>
            <w:tcW w:w="2080" w:type="dxa"/>
            <w:vAlign w:val="bottom"/>
          </w:tcPr>
          <w:p>
            <w:pPr>
              <w:spacing w:after="0"/>
              <w:rPr>
                <w:sz w:val="10"/>
                <w:szCs w:val="10"/>
                <w:color w:val="auto"/>
              </w:rPr>
            </w:pPr>
          </w:p>
        </w:tc>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 Chairperson of the Board of Directors</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16, 2024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3"/>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William H. Baum</w:t>
            </w:r>
          </w:p>
        </w:tc>
        <w:tc>
          <w:tcPr>
            <w:tcW w:w="38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6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Angelo Amorelli</w:t>
            </w: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w:t>
            </w:r>
          </w:p>
        </w:tc>
        <w:tc>
          <w:tcPr>
            <w:tcW w:w="2080" w:type="dxa"/>
            <w:vAlign w:val="bottom"/>
          </w:tcPr>
          <w:p>
            <w:pPr>
              <w:spacing w:after="0"/>
              <w:rPr>
                <w:sz w:val="10"/>
                <w:szCs w:val="10"/>
                <w:color w:val="auto"/>
              </w:rPr>
            </w:pPr>
          </w:p>
        </w:tc>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 Director</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16, 2024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3"/>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Angelo Amorelli</w:t>
            </w:r>
          </w:p>
        </w:tc>
        <w:tc>
          <w:tcPr>
            <w:tcW w:w="38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6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Carol J. Battershell</w:t>
            </w: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w:t>
            </w:r>
          </w:p>
        </w:tc>
        <w:tc>
          <w:tcPr>
            <w:tcW w:w="2080" w:type="dxa"/>
            <w:vAlign w:val="bottom"/>
          </w:tcPr>
          <w:p>
            <w:pPr>
              <w:spacing w:after="0"/>
              <w:rPr>
                <w:sz w:val="10"/>
                <w:szCs w:val="10"/>
                <w:color w:val="auto"/>
              </w:rPr>
            </w:pPr>
          </w:p>
        </w:tc>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 Director</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16, 2024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3"/>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Carol J. Battershell</w:t>
            </w:r>
          </w:p>
        </w:tc>
        <w:tc>
          <w:tcPr>
            <w:tcW w:w="38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6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Mary K. Ellet</w:t>
            </w:r>
          </w:p>
        </w:tc>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 Director</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16, 2024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4"/>
        </w:trPr>
        <w:tc>
          <w:tcPr>
            <w:tcW w:w="520" w:type="dxa"/>
            <w:vAlign w:val="bottom"/>
            <w:tcBorders>
              <w:bottom w:val="single" w:sz="8" w:color="auto"/>
            </w:tcBorders>
          </w:tcPr>
          <w:p>
            <w:pPr>
              <w:spacing w:after="0" w:line="75" w:lineRule="exact"/>
              <w:rPr>
                <w:sz w:val="20"/>
                <w:szCs w:val="20"/>
                <w:color w:val="auto"/>
              </w:rPr>
            </w:pPr>
            <w:r>
              <w:rPr>
                <w:rFonts w:ascii="Times New Roman" w:cs="Times New Roman" w:eastAsia="Times New Roman" w:hAnsi="Times New Roman"/>
                <w:sz w:val="8"/>
                <w:szCs w:val="8"/>
                <w:color w:val="auto"/>
              </w:rPr>
              <w:t>​</w:t>
            </w:r>
          </w:p>
        </w:tc>
        <w:tc>
          <w:tcPr>
            <w:tcW w:w="2080" w:type="dxa"/>
            <w:vAlign w:val="bottom"/>
            <w:tcBorders>
              <w:bottom w:val="single" w:sz="8" w:color="auto"/>
            </w:tcBorders>
          </w:tcPr>
          <w:p>
            <w:pPr>
              <w:spacing w:after="0"/>
              <w:rPr>
                <w:sz w:val="8"/>
                <w:szCs w:val="8"/>
                <w:color w:val="auto"/>
              </w:rPr>
            </w:pPr>
          </w:p>
        </w:tc>
        <w:tc>
          <w:tcPr>
            <w:tcW w:w="388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-2193925</wp:posOffset>
            </wp:positionV>
            <wp:extent cx="16459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-1756410</wp:posOffset>
            </wp:positionV>
            <wp:extent cx="16459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-1319530</wp:posOffset>
            </wp:positionV>
            <wp:extent cx="16459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-882015</wp:posOffset>
            </wp:positionV>
            <wp:extent cx="16459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-445135</wp:posOffset>
            </wp:positionV>
            <wp:extent cx="16459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Mary K. Ellet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280" w:hanging="1020"/>
        <w:spacing w:after="0"/>
        <w:tabs>
          <w:tab w:leader="none" w:pos="2280" w:val="left"/>
        </w:tabs>
        <w:numPr>
          <w:ilvl w:val="0"/>
          <w:numId w:val="40"/>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23495</wp:posOffset>
            </wp:positionV>
            <wp:extent cx="16459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Jaime Guillen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16459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Jaime Guillen</w:t>
      </w:r>
    </w:p>
    <w:p>
      <w:pPr>
        <w:spacing w:after="0" w:line="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Gary W. Mize</w:t>
      </w:r>
    </w:p>
    <w:p>
      <w:pPr>
        <w:ind w:left="1260"/>
        <w:spacing w:after="0" w:line="234" w:lineRule="auto"/>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-34290</wp:posOffset>
            </wp:positionV>
            <wp:extent cx="16459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Gary W. Mize</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Andrew J. Marsh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10160</wp:posOffset>
            </wp:positionV>
            <wp:extent cx="16459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7"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color w:val="auto"/>
        </w:rPr>
        <w:t>Andrew J. Marsh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493"/>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January 16,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6"/>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Director</w:t>
            </w:r>
          </w:p>
        </w:tc>
        <w:tc>
          <w:tcPr>
            <w:tcW w:w="25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16,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62"/>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Director</w:t>
            </w:r>
          </w:p>
        </w:tc>
        <w:tc>
          <w:tcPr>
            <w:tcW w:w="25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16, 2024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-2460625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3140" w:space="720"/>
            <w:col w:w="6019"/>
          </w:cols>
          <w:pgMar w:left="580" w:top="97" w:right="1440"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THE MARKET OFFERING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16, 2024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LLC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430 Park Avenue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Gevo, Inc., a corporation organized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H.C.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Wainwright &amp; Co., LLC (the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as follows: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The terms that follow, when used in this Agreement and any Terms Agreement, shall have the meanings indicated.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shall have the meaning ascribed to such term in Section 4(m).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shall mean the Securities Act of 1933, as amended, and the rules and regulations of the Commission promulgated thereunder.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ascribed to such term in Section 3(o).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shall mean, with respect to any Shares, the time of sale of such Shares pursuant to this Agreement or any relevant Terms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shall mean the base prospectus contained in the Registration Statement at the Effective Time.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have the meaning ascribed to such term in Section 2(b)(iii).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Broker Fee</w:t>
      </w:r>
      <w:r>
        <w:rPr>
          <w:rFonts w:ascii="Times New Roman" w:cs="Times New Roman" w:eastAsia="Times New Roman" w:hAnsi="Times New Roman"/>
          <w:sz w:val="18"/>
          <w:szCs w:val="18"/>
          <w:color w:val="auto"/>
        </w:rPr>
        <w:t>” shall have the meaning ascribed to such term in Section 2(b)(v).</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shall mean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clarity,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United States Securities and Exchange Commission.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have the meaning ascribed to such term in Section 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shall have the meaning ascribed to such term in Section 3(g).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shall have the meaning ascribed to such term in Section 4(l).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shall have the meaning ascribed to such term in Section 2(b)(vii).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each date and time that the Registration Statement and any post-effective amendment or amendments thereto became or becomes effective.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shall mean the first date and time that the Registration Statement becomes effective.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Commission promulgated thereunder.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shall mean the date and time that this Agreement is executed and delivered by the parties hereto.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shall mean a free writing prospectus, as defined in Rule 405.</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shall mean the documents or portions thereof filed with the Commission on or before the Effective Date that are incorporated by reference in the Registration Statement or the Prospectus and any documents or portions thereof filed with the Commission after the Effective Date that are deemed to be incorporated by reference in the Registration Statement or the Prospectus.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3(v).</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shall mean an issuer free writing prospectus, as defined in Rule 433.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ascribed to such term in Section 7(d).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ascribed to such term in Section 3(b).</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shall have the meaning ascribed to such term in Section 2(b)(v).</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shall have the meaning ascribed to such term in Section 4(g).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shall have the meaning ascribed to such term in Section 2(c).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shall have the meaning ascribed to such term in Section 3(b).</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Base Prospectus, as supplemented by the Prospectus Supplement included in the Registration Statement at the Effective Time and any subsequently filed Prospectus Supplement.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shall mean the prospectus supplement relating to the Shares included in the Registration Statement at the Effective Time and any other prospectus supplement relating to the Shares prepared and filed pursuant to Rule 424(b) from time to time.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the shelf registration statement on Form S-3 registering $750 million of securities of the Company to be filed on or about the Execution Time,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becomes effective, shall also mean such registration statement as so amended.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shall have the meaning ascribed to such term in Section 4(k).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refer to such rules under the Act.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Sales Notice</w:t>
      </w:r>
      <w:r>
        <w:rPr>
          <w:rFonts w:ascii="Times New Roman" w:cs="Times New Roman" w:eastAsia="Times New Roman" w:hAnsi="Times New Roman"/>
          <w:sz w:val="18"/>
          <w:szCs w:val="18"/>
          <w:color w:val="auto"/>
        </w:rPr>
        <w:t>” shall have the meaning ascribed to such term in Section 2(b)(i).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shall have the meaning ascribed to such term in Section 2(b)(vii).</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have the meaning ascribed to such term in Section 3(a).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Terms Agreement</w:t>
      </w:r>
      <w:r>
        <w:rPr>
          <w:rFonts w:ascii="Times New Roman" w:cs="Times New Roman" w:eastAsia="Times New Roman" w:hAnsi="Times New Roman"/>
          <w:sz w:val="18"/>
          <w:szCs w:val="18"/>
          <w:color w:val="auto"/>
        </w:rPr>
        <w:t>” shall have the meaning ascribed to such term in Section 2(a).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Time of Delivery</w:t>
      </w:r>
      <w:r>
        <w:rPr>
          <w:rFonts w:ascii="Times New Roman" w:cs="Times New Roman" w:eastAsia="Times New Roman" w:hAnsi="Times New Roman"/>
          <w:sz w:val="18"/>
          <w:szCs w:val="18"/>
          <w:color w:val="auto"/>
        </w:rPr>
        <w:t>” shall have the meaning ascribed to such term in Section 2(c).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Trading Market is open for trading.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the Nasdaq Capital Market.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Sale and Delivery of Shares</w:t>
      </w:r>
      <w:r>
        <w:rPr>
          <w:rFonts w:ascii="Times New Roman" w:cs="Times New Roman" w:eastAsia="Times New Roman" w:hAnsi="Times New Roman"/>
          <w:sz w:val="18"/>
          <w:szCs w:val="18"/>
          <w:color w:val="auto"/>
        </w:rPr>
        <w:t>. The Company proposes to issue and sell through or to the Manager, as sales agent and/or principal, from time to time during the term of this Agreement and on the terms set forth herein, up to such number of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that does not exceed (a) the number or dollar amount of shares of Common Stock registered on the Prospectus Supplement, pursuant to which the offering is being made, (b) the number of authorized but unissued shares of Common Stock (less the number of shares of Common Stock issuable upon exercise, conversion or exchange of any outstanding securities of the Company or otherwise reserved from the Company’s authorized capital stock), or (c) the number or dollar amount of shares of Common Stock that would cause the Company or the offering of the Shares to not satisfy the eligibility and transaction requirements for use of Form S-3, including, if applicable, General Instruction I.B.6 of Registration Statement on Form S-3 (the lesser of (a), (b) and (c),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Notwithstanding anything to the contrary contained herein, the parties hereto agree that compliance with the limitations set forth in this Section 2 on the number and aggregate sales price of Shares issued and sold under this Agreement shall be the sole responsibility of the Company and that the Manager shall have no obligation in connection with such compliance.</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Appointment of Manager as Selling Agent; Terms Agreement</w:t>
      </w:r>
      <w:r>
        <w:rPr>
          <w:rFonts w:ascii="Times New Roman" w:cs="Times New Roman" w:eastAsia="Times New Roman" w:hAnsi="Times New Roman"/>
          <w:sz w:val="18"/>
          <w:szCs w:val="18"/>
          <w:color w:val="auto"/>
        </w:rPr>
        <w:t>. For purposes of selling the Shares through the Manager, the Company hereby appoints the Manager as exclusive agent of the Company for the purpose of selling the Shares of the Company pursuant to this Agreement and the Manager agrees to use its commercially reasonable efforts to sell the Shares on the terms and subject to the conditions stated herein. The Company agrees that, whenever it determines to sell the Shares directly to the Manager as principal, it will enter into a separate agreement (each, a “</w:t>
      </w:r>
      <w:r>
        <w:rPr>
          <w:rFonts w:ascii="Times New Roman" w:cs="Times New Roman" w:eastAsia="Times New Roman" w:hAnsi="Times New Roman"/>
          <w:sz w:val="18"/>
          <w:szCs w:val="18"/>
          <w:u w:val="single" w:color="auto"/>
          <w:color w:val="auto"/>
        </w:rPr>
        <w:t>Terms Agreement</w:t>
      </w:r>
      <w:r>
        <w:rPr>
          <w:rFonts w:ascii="Times New Roman" w:cs="Times New Roman" w:eastAsia="Times New Roman" w:hAnsi="Times New Roman"/>
          <w:sz w:val="18"/>
          <w:szCs w:val="18"/>
          <w:color w:val="auto"/>
        </w:rPr>
        <w:t xml:space="preserve">”) in substantially the form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relating to such sale in accordance with Section 2 of this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Agent Sales</w:t>
      </w:r>
      <w:r>
        <w:rPr>
          <w:rFonts w:ascii="Times New Roman" w:cs="Times New Roman" w:eastAsia="Times New Roman" w:hAnsi="Times New Roman"/>
          <w:sz w:val="17"/>
          <w:szCs w:val="17"/>
          <w:color w:val="auto"/>
        </w:rPr>
        <w:t>. Subject to the terms and conditions and in reliance upon the representations and warranties herein set forth, following the effectiveness of the Registration Statement, the Company will issue and agrees to sell Shares from time to time through the Manager, acting as sales agent, and the Manager agrees to use its commercially reasonable efforts to sell, as sales agent for the Company, on the following terms:</w:t>
      </w: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The Shares are to be sold on a daily basis or otherwise as shall be agreed to by the Company and the Manager on any day that (A) is a Trading Day, (B) the Company has instructed the Manager by telephone (confirmed promptly by electronic mail) to make such sales (“</w:t>
      </w:r>
      <w:r>
        <w:rPr>
          <w:rFonts w:ascii="Times New Roman" w:cs="Times New Roman" w:eastAsia="Times New Roman" w:hAnsi="Times New Roman"/>
          <w:sz w:val="18"/>
          <w:szCs w:val="18"/>
          <w:u w:val="single" w:color="auto"/>
          <w:color w:val="auto"/>
        </w:rPr>
        <w:t>Sales Notice</w:t>
      </w:r>
      <w:r>
        <w:rPr>
          <w:rFonts w:ascii="Times New Roman" w:cs="Times New Roman" w:eastAsia="Times New Roman" w:hAnsi="Times New Roman"/>
          <w:sz w:val="18"/>
          <w:szCs w:val="18"/>
          <w:color w:val="auto"/>
        </w:rPr>
        <w:t>”) and (C) the Company has satisfied its obligations under Section 6 of this Agreement. The Company will designate the maximum amount of the Shares to be sold by the Manager daily (subject to the limitations set forth in Section 2(d)) and the minimum price per Share at which such Shares may be sold. Subject to the terms and conditions hereof, the Manager shall use its commercially reasonable efforts consistent with its normal trading and sales practices to sell on a particular day all of the Shares designated for the sale by the Company on such day. The gross sales price of the Shares sold under this Section 2(b) shall be the market price for the shares of Common Stock sold by the Manager under this Section 2(b) on the Trading Market at the time of sale of such Shares.</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The Company acknowledges and agrees that (A) there can be no assurance that the Manager will be successful in selling the Shares, (B) the Manager will incur no liability or obligation to the Company or any other person or entity if it does not sell the Shares for any reason other than a failure by the Manager to use its commercially reasonable efforts consistent with its normal trading and sales practices and applicable law and regulations to sell such Shares as required under this Agreement, and (C) the Manager shall be under no obligation to purchase Shares on a principal basis pursuant to this Agreement, except as otherwise specifically agreed by the Manager and the Company pursuant to a Terms Agreement.</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The Company shall not authorize the issuance and sale of, and the Manager shall not be obligated to use its commercially reasonable efforts to sell, any Share at a price lower than the minimum price therefor designated from time to time by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or a duly authorized committee thereof, or such duly authorized officers of the Company, and notified to the Manager in writing. The Company or the Manager may, upon notice to the other party hereto by telephone (confirmed promptly by electronic mail), suspend the offering of the Shares for any reason and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Shares sold hereunder prior to the giving of such notice.</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The Manager may sell Shares by any method permitted by law deemed to be an “at the market offering” as defined in Rule 415 under the Act, including without limitation sales made directly on the Trading Market, on any other existing trading market for the Common Stock or to or through a market maker. The Manager may also sell Shares in privately negotiated transactions, provided that the Manager receives the Company’s prior written approval for any sales in privately negotiated transactions and if so provided in the “Plan of Distribution” section of the Prospectus Supplement or a supplement to the Prospectus Supplement or a new Prospectus Supplement disclosing the terms of such privately negotiated transaction.</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The compensation to the Manager for sales of the Shares under this Section 2(b) shall be a placement fee of up to 3.0% of the gross sales price of the Shares sold pursuant to this Section 2(b) (“</w:t>
      </w:r>
      <w:r>
        <w:rPr>
          <w:rFonts w:ascii="Times New Roman" w:cs="Times New Roman" w:eastAsia="Times New Roman" w:hAnsi="Times New Roman"/>
          <w:sz w:val="18"/>
          <w:szCs w:val="18"/>
          <w:u w:val="single" w:color="auto"/>
          <w:color w:val="auto"/>
        </w:rPr>
        <w:t>Broker Fee</w:t>
      </w:r>
      <w:r>
        <w:rPr>
          <w:rFonts w:ascii="Times New Roman" w:cs="Times New Roman" w:eastAsia="Times New Roman" w:hAnsi="Times New Roman"/>
          <w:sz w:val="18"/>
          <w:szCs w:val="18"/>
          <w:color w:val="auto"/>
        </w:rPr>
        <w:t>”). The foregoing rate of compensation shall not apply when the Manager acts as principal, in which case the Company may sell Shares to the Manager as principal at a price agreed upon at the relevant Applicable Time pursuant to a Terms Agreement. The remaining proceeds, after deduction of the Broker Fee and deduction of any transaction fees imposed by any clearing firm, execution broker, or governmental or self-regulatory organization in respect of such sales, shall constitute the net proceeds to the Company for such Shares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            The Manager shall provide written confirmation (which may be by electronic mail) to the Company following the close of trading on the Trading Market each day in which the Shares are sold under this Section 2(b) setting forth the number of the Shares sold on such day, the aggregate gross sales proceeds and the Net Proceeds to the Company, and the compensation payable by the Company to the Manager with respect to such sales.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            Unless otherwise agreed between the Company and the Manager, settlement for sales of the Shares will occur at 10:00 a.m. (New York City time) on the second (2nd) Trading Day (and on and after May 28, 2024 (or such later date on which the Commission’s final rule with respect to the shortening of the securities transaction settlement cycle becomes effective), on the first (1st) Trading Day, or any such other settlement cycle as may be in effect pursuant to Rule 15c6-1 under the Exchange Act from time to time) following the date on which such sales are made (each,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On or before the Trading Day prior to each Settlement Date, the Company will, or will cause its transfer agent to, electronically transfer the Shares being sold by crediting the Manager’s or its designee’s account (provided that the Manager shall have given the Company written notice of such designee at least one Trading Day prior to the Settlement Date)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through its Deposit and Withdrawal at Custodian System or by such other means of delivery as may be mutually agreed upon by the parties hereto which Shares in all cases shall be freely tradable, transferable, registered shares in good deliverable form. On each Settlement Date, the Manager will deliver the related Net Proceeds in same day funds to an account designated by the Company. The Company agrees that, if the Company, or its transfer agent (if applicable), defaults in its obligation to deliver duly authorized Shares on a Settlement Date, in addition to and in no way limiting the rights and obligations set forth in Section 7 hereto, the Company will (i) hold the Manager harmless against any loss, claim, damage, or reasonable, documented expense (including reasonable and documented legal fees and expenses), as incurred, arising out of or in connection with such default by the Company, and (ii) pay to the Manager any commission, discount or other compensation to which the Manager would otherwise have been entitled absent such default.</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(viii)            At each Applicable Time, Settlement Date, and Representation Date,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the Manager to use its commercially reasonable efforts to sell the Shares on behalf of the Company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(ix)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and the record date for the determination of stockholders entitled to receive the Distribution,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Company hereby covenants that, in connection with any sales of Shares pursuant to a Sales Notice on the Record Date, the Company shall issue and deliver such Shares to the Manager on the Record Date and the Record Date shall be the Settlement Date and the Company shall cover any additional costs of the Manager in connection with the delivery of Shares on the Record Date.</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Term Sales</w:t>
      </w:r>
      <w:r>
        <w:rPr>
          <w:rFonts w:ascii="Times New Roman" w:cs="Times New Roman" w:eastAsia="Times New Roman" w:hAnsi="Times New Roman"/>
          <w:sz w:val="18"/>
          <w:szCs w:val="18"/>
          <w:color w:val="auto"/>
        </w:rPr>
        <w:t>. If the Company wishes to sell the Shares pursuant to this Agreement in a manner other than as set forth in Section 2(b) of this Agreement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the Company will notify the Manager of the proposed terms of such Placement. If the Manager, acting as principal, wishes to accept such proposed terms (which it may decline to do for any reason in its sole discretion) or, following discussions with the Company wishes to accept amended terms, the Manager and the Company will enter into a Terms Agreement setting forth the terms of such Placement. The terms set forth in a Terms Agreement will not be binding on the Company or the Manager unless and until the Company and the Manager have each executed such Terms Agreement accepting all of the terms of such Terms Agreement. In the event of a conflict between the terms of this Agreement and the terms of a Terms Agreement, the terms of such Terms Agreement will control. A Terms Agreement may also specify certain provisions relating to the reoffering of such Shares by the Manager. The commitment of the Manager to purchase the Shares pursuant to any Terms Agreement shall be deemed to have been made on the basis of the representations and warranties of the Company herein contained and shall be subject to the terms and conditions herein set forth. Each Terms Agreement shall specify the number of the Shares to be purchased by the Manager pursuant thereto, the price to be paid to the Company for such Shares, any provisions relating to rights of, and default by, underwriters acting together with the Manager in the reoffering of the Shares, and the time and date (each such time and date being referred to herein as a “</w:t>
      </w:r>
      <w:r>
        <w:rPr>
          <w:rFonts w:ascii="Times New Roman" w:cs="Times New Roman" w:eastAsia="Times New Roman" w:hAnsi="Times New Roman"/>
          <w:sz w:val="18"/>
          <w:szCs w:val="18"/>
          <w:u w:val="single" w:color="auto"/>
          <w:color w:val="auto"/>
        </w:rPr>
        <w:t>Time of Delivery</w:t>
      </w:r>
      <w:r>
        <w:rPr>
          <w:rFonts w:ascii="Times New Roman" w:cs="Times New Roman" w:eastAsia="Times New Roman" w:hAnsi="Times New Roman"/>
          <w:sz w:val="18"/>
          <w:szCs w:val="18"/>
          <w:color w:val="auto"/>
        </w:rPr>
        <w:t>”) and place of delivery of and payment for such Shares. Such Terms Agreement shall also specify any requirements for opinions of counsel, accountants’ letters and officers’ certificates pursuant to Section 6 of this Agreement and any other information or documents required by the Manager.</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Maximum Number of Shares</w:t>
      </w:r>
      <w:r>
        <w:rPr>
          <w:rFonts w:ascii="Times New Roman" w:cs="Times New Roman" w:eastAsia="Times New Roman" w:hAnsi="Times New Roman"/>
          <w:sz w:val="18"/>
          <w:szCs w:val="18"/>
          <w:color w:val="auto"/>
        </w:rPr>
        <w:t>. Under no circumstances shall the Company cause or request the offer or sale of any Shares if, after giving effect to the sale of such Shares, the aggregate amount of Shares sold pursuant to this Agreement would exceed the lesser of (A) together with all sales of Shares under this Agreement, the Maximum Amount, (B) the amount available for offer and sale under the currently effective Registration Statement and (C) the amount authorized from time to time to be issued and sold under this Agreement by the Board, a duly authorized committee thereof or a duly authorized executive committee, and notified to the Manager in writing. Under no circumstances shall the Company cause or request the offer or sale of any Shares pursuant to this Agreement at a price lower than the minimum price authorized from time to time by the Board, a duly authorized committee thereof or a duly authorized executive officer, and notified to the Manager in writing. Further, under no circumstances shall the Company cause or permit the aggregate offering amount of Shares sold pursuant to this Agreement to exceed the Maximum Amount.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Regulation M Notice</w:t>
      </w:r>
      <w:r>
        <w:rPr>
          <w:rFonts w:ascii="Times New Roman" w:cs="Times New Roman" w:eastAsia="Times New Roman" w:hAnsi="Times New Roman"/>
          <w:sz w:val="18"/>
          <w:szCs w:val="18"/>
          <w:color w:val="auto"/>
        </w:rPr>
        <w:t>. Unless the exceptive provisions set forth in Rule 101(c)(1) of Regulation M under the Exchange Act are satisfied with respect to the Shares, the Company shall give the Manager at least one (1) Business Day’s prior notice of its intent to sell any Shares in order to allow the Manager time to comply with Regulation M.</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The Company represents and warrants to, and agrees with, the Manager at the Execution Time and the Effective Time and on each such time that the following representations and warranties are repeated or deemed to be made pursuant to this Agreement, as set forth below, except as set forth in the Registration Statement, the Prospectus or the Incorporated Documents.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 All of the direct and indirect subsidiaries (individually,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the Company are set forth on Exhibit 21.1 to the Company’s most recent Annual Report on Form 10-K filed with the Commission, except for (i) those subsidiaries of the Company not required to be listed on such Exhibit 21.1 by Item 601 of Regulation S-K under the Exchange Act and (ii) those subsidiaries of the Company formed following the last day of the most recently ended fiscal year, if any. The Company owns, directly or indirectly, all of the capital stock or other equity interests of each Subsidiary free and clear of any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(which for purposes of this Agreement shall mean a lien, charge, security interest, encumbrance, right of first refusal, preemptive right or other restriction), and all of the issued and outstanding shares of capital stock of each Subsidiary are validly issued and are fully paid, non-assessable and free of preemptive and similar rights to subscribe for or purchase securities.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or in default in any material respect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result in: (i) a material adverse effect on the legality, validity or enforceability of this Agreement, (ii) a material adverse effect on the results of operations, assets, business or condition (financial or otherwise) of the Company and the Subsidiaries, taken as a whole, from that set forth in the Registration Statement, the Base Prospectus, any Prospectus Supplement, the Prospectus or the Incorporated Documents, or (iii) a material adverse effect on the Company’s ability to perform in any material respect on a timely basis its obligations under this Agreement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(which for purposes of this Agreement shall mean any action, claim, suit, investigation or proceeding (including, without limitation, an informal investigation or partial proceeding, such as a deposition), whether commenced or threatened) has been instituted in any such jurisdiction revoking, limiting or curtailing or seeking to revoke, limit or curtail such power and authority or qualification.</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Authorization and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contemplated hereby have been duly authorized by all necessary action on the part of the Company and no further action is required by the Company, the Board or the Company’s stockholders in connection herewith other than in connection with the Required Approvals. This Agreement has been duly executed and delivered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 Conflicts</w:t>
      </w:r>
      <w:r>
        <w:rPr>
          <w:rFonts w:ascii="Times New Roman" w:cs="Times New Roman" w:eastAsia="Times New Roman" w:hAnsi="Times New Roman"/>
          <w:sz w:val="18"/>
          <w:szCs w:val="18"/>
          <w:color w:val="auto"/>
        </w:rPr>
        <w:t>. The execution, delivery and performance by the Company of this Agreement, the issuance and sale of the Shares and the consummation by it of the transactions contemplated 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have, individually or in the aggregate, a Material Adverse Effect.</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Filings, Consents and Approvals.</w:t>
      </w:r>
      <w:r>
        <w:rPr>
          <w:rFonts w:ascii="Times New Roman" w:cs="Times New Roman" w:eastAsia="Times New Roman" w:hAnsi="Times New Roman"/>
          <w:sz w:val="18"/>
          <w:szCs w:val="18"/>
          <w:color w:val="auto"/>
        </w:rPr>
        <w:t xml:space="preserve"> The Company is not required to obtain any consent, waiver, authorization or order of, give any notice to, or make any filing or registration with, any court or other federal, state, local or other governmental authority or other “Person” (defined as an individual or corporation, partnership, trust, incorporated or unincorporated association, joint venture, limited liability company, joint stock company, government (or an agency or subdivision thereof) or other entity of any kind, including the Trading Market) in connection with the execution, delivery and performance by the Company of this Agreement, other than (i) the filings required by this Agreement, (ii) the filing with the Commission of the Prospectus Supplement, (iii) the filing of application(s) to and approval by the Trading Market for the listing of the Shares for trading thereon in the time and manner required thereby, and (iv) such filings as are required to be made under applicable state securities laws and the rules and regulations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Issuance of Shares</w:t>
      </w:r>
      <w:r>
        <w:rPr>
          <w:rFonts w:ascii="Times New Roman" w:cs="Times New Roman" w:eastAsia="Times New Roman" w:hAnsi="Times New Roman"/>
          <w:sz w:val="18"/>
          <w:szCs w:val="18"/>
          <w:color w:val="auto"/>
        </w:rPr>
        <w:t>. The Shares are duly authorized and, when issued and paid for in accordance with this Agreement, will be duly and validly issued, fully paid and nonassessable, free and clear of all Liens imposed by the Company. The Company has reserved from its duly authorized capital stock the maximum number of shares of Common Stock issuable pursuant to this Agreement. On or after the Effective Time, the issuance by the Company of the Shares has been registered under the Act and all of the Shares are freely transferable and tradable by the purchasers thereof without restriction (other than any restrictions arising solely from an act or omission of such a purchaser). On or after the Effective Time, the Shares are being issued pursuant to the Registration Statement and the issuance of the Shares has been registered by the Company under the Act.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section within the Registration Statement permits the issuance and sale of the Shares as contemplated by this Agreement. Upon receipt of the Shares, the purchasers of such Shares will have good and marketable title to such Shares and the Shares will be freely tradable on the Trading Market.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 The capitalization of the Company is as set forth in the SEC Reports. The Company has not issued any capital stock since its most recently filed periodic report under the Exchange Act, other than pursuant to the issuance of capital stock for any equity awards (including the issuance of capital stock upon exercise or settlement of such equity awards) under the Company’s equity incentive plans, the issuance of shares of Common Stock to employees pursuant to the Company’s employee stock purchase plan and the Company’s 401(k) plan and pursuant to the conversion and/or exercise of securities exercisable, exchangeable or convertible into Common Stock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Equivalents</w:t>
      </w:r>
      <w:r>
        <w:rPr>
          <w:rFonts w:ascii="Times New Roman" w:cs="Times New Roman" w:eastAsia="Times New Roman" w:hAnsi="Times New Roman"/>
          <w:sz w:val="18"/>
          <w:szCs w:val="18"/>
          <w:color w:val="auto"/>
        </w:rPr>
        <w:t>”) outstanding as of the date of the most recently filed periodic report under the Exchange Act. No Person has any right of first refusal, preemptive right, right of participation, or any similar right to participate in the transactions contemplated by this Agreement.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or others is required for the issuance and sale of the Shares. Except as set forth in the SEC Reports,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Registration Statement</w:t>
      </w:r>
      <w:r>
        <w:rPr>
          <w:rFonts w:ascii="Times New Roman" w:cs="Times New Roman" w:eastAsia="Times New Roman" w:hAnsi="Times New Roman"/>
          <w:sz w:val="18"/>
          <w:szCs w:val="18"/>
          <w:color w:val="auto"/>
        </w:rPr>
        <w:t>. The Company meets the requirements for use of Form S-3 under the Act and has prepared and filed with the Commission the Registration Statement, including a related Base Prospectus, for registration under the Act of the offering and sale of the Shares. Upon the Effective Time, such Registration Statement shall be effective and available for the offer and sale of the Shares as of the date hereof. As filed, the Base Prospectus contains all information required by the Act and the rules thereunder, and, except to the extent the Manager shall agree in writing to a modification, shall be in all substantive respects in the form furnished to the Manager prior to the Execution Time or prior to any such time this representation is repeated or deemed to be made. The Registration Statement, at the Execution Time, each such time this representation is repeated or deemed to be made, and at all times during which a prospectus is required by the Act to be delivered (whether physically or through compliance with Rule 172, 173 or any similar rule) in connection with any offer or sale of the Shares, meets the requirements set forth in Rule 415(a)(1)(x). The Company meets the transaction requirements as set forth in General Instruction I.B.1 of Form S-3 or, if applicable, as set forth in General Instruction I.B.6 of Form S-3 with respect to the aggregate market value of securities being sold pursuant to this offering and during the last twelve (12) months prior to this offering.</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Accuracy of Incorporated Documents</w:t>
      </w:r>
      <w:r>
        <w:rPr>
          <w:rFonts w:ascii="Times New Roman" w:cs="Times New Roman" w:eastAsia="Times New Roman" w:hAnsi="Times New Roman"/>
          <w:sz w:val="18"/>
          <w:szCs w:val="18"/>
          <w:color w:val="auto"/>
        </w:rPr>
        <w:t>. The Incorporated Documents, when they were filed with the Commission, conformed in all material respects to the requirements of the Exchange Act and the rules thereunder, and none of the Incorporated Documents, when they were filed with the Commission, contained any untrue statement of a material fact or omitted to state a material fact necessary to make the statements therein, in light of the circumstances under which they were made not misleading; and any further documents so filed and incorporated by reference in the Registration Statement, the Base Prospectus, the Prospectus Supplement or the Prospectus, when such documents are filed with the Commission, will conform in all material respects to the requirements of the Exchange Act and the rules thereunder, as applicable, and will not contain any untrue statement of a material fact or omit to state a material fact necessary to make the statements therein, in light of the circumstances under which they were made, not misleading.</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Ineligible Issuer</w:t>
      </w:r>
      <w:r>
        <w:rPr>
          <w:rFonts w:ascii="Times New Roman" w:cs="Times New Roman" w:eastAsia="Times New Roman" w:hAnsi="Times New Roman"/>
          <w:sz w:val="18"/>
          <w:szCs w:val="18"/>
          <w:color w:val="auto"/>
        </w:rPr>
        <w:t>. (i) At the earliest time after the filing of the Registration Statement that the Company or another offering participant made a bona fide offer (within the meaning of Rule 164(h)(2)) of the Shares and (ii) as of the Execution Time and on each such time this representation is repeated or deemed to be made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Free Writing Prospectus</w:t>
      </w:r>
      <w:r>
        <w:rPr>
          <w:rFonts w:ascii="Times New Roman" w:cs="Times New Roman" w:eastAsia="Times New Roman" w:hAnsi="Times New Roman"/>
          <w:sz w:val="18"/>
          <w:szCs w:val="18"/>
          <w:color w:val="auto"/>
        </w:rPr>
        <w:t>. The Company is eligible to use Issuer Free Writing Prospectuses. Each Issuer Free Writing Prospectus does not include any information the substance of which conflicts with the information contained in the Registration Statement, including any Incorporated Documents and any prospectus supplement deemed to be a part thereof that has not been superseded or modified; and each Issuer Free Writing Prospectus does not contain any untrue statement of a material fact or omit to state any material fact necessary in order to make the statements therein, in the light of the circumstances under which they were made, not misleading. The foregoing sentence does not apply to statements in or omissions from any Issuer Free Writing Prospectus based upon and in conformity with written information furnished to the Company by the Manager specifically for use therein. Any Issuer Free Writing Prospectus that the Company is required to file pursuant to Rule 433(d) has been, or will be, filed with the Commission in accordance with the requirements of the Act and the rules thereunder. Each Issuer Free Writing Prospectus that the Company has filed, or is required to file, pursuant to Rule 433(d) or that was prepared by or behalf of or used by the Company complies or will comply in all material respects with the requirements of the Act and the rules thereunder. The Company will not, without the prior consent of the Manager, prepare, use or refer to, any Issuer Free Writing Prospectuses.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Proceedings Related to Registration Statement</w:t>
      </w:r>
      <w:r>
        <w:rPr>
          <w:rFonts w:ascii="Times New Roman" w:cs="Times New Roman" w:eastAsia="Times New Roman" w:hAnsi="Times New Roman"/>
          <w:sz w:val="18"/>
          <w:szCs w:val="18"/>
          <w:color w:val="auto"/>
        </w:rPr>
        <w:t>. The Registration Statement is not the subject of a pending proceeding or examination under Section 8(d) or 8(e) of the Act, and the Company is not the subject of a pending proceeding under Section 8A of the Act in connection with the offering of the Shares. The Company has not received any notice that the Commission has issued or intends to issue a stop-order with respect to the Registration Statement or that the Commission otherwise has suspended or withdrawn the effectiveness of the Registration Statement, either temporarily or permanently, or intends or has threatened in writing to do so.</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SEC Reports</w:t>
      </w:r>
      <w:r>
        <w:rPr>
          <w:rFonts w:ascii="Times New Roman" w:cs="Times New Roman" w:eastAsia="Times New Roman" w:hAnsi="Times New Roman"/>
          <w:sz w:val="18"/>
          <w:szCs w:val="18"/>
          <w:color w:val="auto"/>
        </w:rPr>
        <w:t>. The Company has complied in all material respects with requirements to file all reports, schedules, forms, statements and other documents required to be filed by the Company under the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[RESERVED]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specifically disclosed in a subsequent SEC Report filed prior to the date on which this representation is being made,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(v) the Company has not issued any equity securities to any officer, director or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(defined as any Person that, directly or indirectly through one or more intermediaries, controls or is controlled by or is under common control with a Person, as such terms are used in and construed under Rule 144 under the Act), except pursuant to existing Company equity incentive plans and the Company’s 401(k) plan, and (vi) no executive officer of the Company or member of the Board has resigned from any position with the Company, except for an executive officer of the Company for which public disclosure of such resignation is not required by Regulation S-K under the Exchange Act. The Company does not have pending before the Commission any request for confidential treatment of information. Except for the issuance of the Shares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that would have a Material Adverse Effect. None of the Actions set forth in the SEC Reports, (i) adversely affects or challenges the legality, validity or enforceability of this Agreement or the Shares or (ii) would, if there were an unfavorable decision, have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Act.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would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would not, individually or in the aggregate, have a Material Adverse Effect.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a Material Adverse Effect.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(s)   </w:t>
      </w:r>
      <w:r>
        <w:rPr>
          <w:rFonts w:ascii="Times New Roman" w:cs="Times New Roman" w:eastAsia="Times New Roman" w:hAnsi="Times New Roman"/>
          <w:sz w:val="17"/>
          <w:szCs w:val="17"/>
          <w:u w:val="single" w:color="auto"/>
          <w:color w:val="auto"/>
        </w:rPr>
        <w:t>  Environmental Laws</w:t>
      </w:r>
      <w:r>
        <w:rPr>
          <w:rFonts w:ascii="Times New Roman" w:cs="Times New Roman" w:eastAsia="Times New Roman" w:hAnsi="Times New Roman"/>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7"/>
          <w:szCs w:val="17"/>
          <w:u w:val="single" w:color="auto"/>
          <w:color w:val="auto"/>
        </w:rPr>
        <w:t>Hazardous Materials</w:t>
      </w:r>
      <w:r>
        <w:rPr>
          <w:rFonts w:ascii="Times New Roman" w:cs="Times New Roman" w:eastAsia="Times New Roman" w:hAnsi="Times New Roman"/>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have, individually or in the aggregate, a Material Adverse Effect.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Title to Assets</w:t>
      </w:r>
      <w:r>
        <w:rPr>
          <w:rFonts w:ascii="Times New Roman" w:cs="Times New Roman" w:eastAsia="Times New Roman" w:hAnsi="Times New Roman"/>
          <w:sz w:val="18"/>
          <w:szCs w:val="18"/>
          <w:color w:val="auto"/>
        </w:rPr>
        <w:t>. Except as set forth in the SEC Reports,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have a Material Adverse Effect.</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Affiliate Transactions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award agreements under any equity incentive plan of the Company.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Sarbanes Oxley Compliance</w:t>
      </w:r>
      <w:r>
        <w:rPr>
          <w:rFonts w:ascii="Times New Roman" w:cs="Times New Roman" w:eastAsia="Times New Roman" w:hAnsi="Times New Roman"/>
          <w:sz w:val="18"/>
          <w:szCs w:val="18"/>
          <w:color w:val="auto"/>
        </w:rPr>
        <w:t>. The Company and the Subsidiaries are in material compliance with any and all applicable requirements of the Sarbanes-Oxley Act of 2002, as amended, that are effective as of the date hereof, and any and all applicable rules and regulations promulgated by the Commission thereunder that are effective as of the date hereof. The Company and the Subsidiaries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Certain Fees</w:t>
      </w:r>
      <w:r>
        <w:rPr>
          <w:rFonts w:ascii="Times New Roman" w:cs="Times New Roman" w:eastAsia="Times New Roman" w:hAnsi="Times New Roman"/>
          <w:sz w:val="18"/>
          <w:szCs w:val="18"/>
          <w:color w:val="auto"/>
        </w:rPr>
        <w:t>. Other than payments to be made to the Manager, no brokerage or finder’s fees or commissions are or will be payable by the Company or any Subsidiary to any broker, financial advisor or consultant, finder, placement agent, investment banker, bank or other Person with respect to the transactions contemplated by this Agreement. The Manager shall have no obligation with respect to any fees or with respect to any claims made by or on behalf of other Persons for fees of a type contemplated in this Section that may be due in connection with the transactions contemplated by this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4"/>
        <w:spacing w:after="0" w:line="250" w:lineRule="auto"/>
        <w:tabs>
          <w:tab w:leader="none" w:pos="16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No Other Sales Agency Agreement</w:t>
      </w:r>
      <w:r>
        <w:rPr>
          <w:rFonts w:ascii="Times New Roman" w:cs="Times New Roman" w:eastAsia="Times New Roman" w:hAnsi="Times New Roman"/>
          <w:sz w:val="18"/>
          <w:szCs w:val="18"/>
          <w:color w:val="auto"/>
        </w:rPr>
        <w:t>. The Company has not entered into any other sales agency agreements or other similar arrangements with any agent or any other representative (other than the Manager) in respect of at the market offerings of the Shares.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[RESERVED]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4"/>
        <w:spacing w:after="0" w:line="250" w:lineRule="auto"/>
        <w:tabs>
          <w:tab w:leader="none" w:pos="16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Listing and Maintenance Requirements</w:t>
      </w:r>
      <w:r>
        <w:rPr>
          <w:rFonts w:ascii="Times New Roman" w:cs="Times New Roman" w:eastAsia="Times New Roman" w:hAnsi="Times New Roman"/>
          <w:sz w:val="18"/>
          <w:szCs w:val="18"/>
          <w:color w:val="auto"/>
        </w:rPr>
        <w:t>. The Common Stock is listed on the Trading Market and the issuance of the Shares as contemplated by this Agreement does not contravene the rules and regulations of the Trading Market.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except as set forth in the SEC Reports,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4"/>
        <w:spacing w:after="0" w:line="250" w:lineRule="auto"/>
        <w:tabs>
          <w:tab w:leader="none" w:pos="1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Application of Takeover Protections</w:t>
      </w:r>
      <w:r>
        <w:rPr>
          <w:rFonts w:ascii="Times New Roman" w:cs="Times New Roman" w:eastAsia="Times New Roman" w:hAnsi="Times New Roman"/>
          <w:sz w:val="18"/>
          <w:szCs w:val="18"/>
          <w:color w:val="auto"/>
        </w:rPr>
        <w:t>. The Company and the Board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Shares.</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4"/>
        <w:spacing w:after="0" w:line="250" w:lineRule="auto"/>
        <w:tabs>
          <w:tab w:leader="none" w:pos="16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Based on the consolidated financial condition of the Company as of the date hereof,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within one year from the date hereof. The Company has no knowledge of any facts or circumstances which lead it to believe that it will file for reorganization or liquidation under the bankruptcy or reorganization laws of any jurisdiction within one year from the date hereof. The SEC Reports set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$100,000 (other than trade accounts payable incurred in the ordinary course of business), (y) all guaranties, endorsements and other contingent obligations in respect of indebtedness of others in excess of $100,000,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GAAP. Neither the Company nor any Subsidiary is in default with respect to any Indebtedness.</w:t>
      </w:r>
    </w:p>
    <w:p>
      <w:pPr>
        <w:spacing w:after="0" w:line="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4"/>
        <w:spacing w:after="0" w:line="250" w:lineRule="auto"/>
        <w:tabs>
          <w:tab w:leader="none" w:pos="16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or has received timely extensions thereof,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4"/>
        <w:spacing w:after="0" w:line="250" w:lineRule="auto"/>
        <w:tabs>
          <w:tab w:leader="none" w:pos="16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 as amended.</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4"/>
        <w:spacing w:after="0" w:line="250" w:lineRule="auto"/>
        <w:tabs>
          <w:tab w:leader="none" w:pos="16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Accountants</w:t>
      </w:r>
      <w:r>
        <w:rPr>
          <w:rFonts w:ascii="Times New Roman" w:cs="Times New Roman" w:eastAsia="Times New Roman" w:hAnsi="Times New Roman"/>
          <w:sz w:val="18"/>
          <w:szCs w:val="18"/>
          <w:color w:val="auto"/>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2023.</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Manager in connection with the Shares.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(jj)     [RESERVED]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  Equity Incentive Plans</w:t>
      </w:r>
      <w:r>
        <w:rPr>
          <w:rFonts w:ascii="Times New Roman" w:cs="Times New Roman" w:eastAsia="Times New Roman" w:hAnsi="Times New Roman"/>
          <w:sz w:val="18"/>
          <w:szCs w:val="18"/>
          <w:color w:val="auto"/>
        </w:rPr>
        <w:t>. Each stock option granted by the Company under the Company’s equity incentive plan was granted (i) in accordance with the terms of the Company’s equity incentive plan and (ii) with an exercise price at least equal to the fair market value of the Common Stock on the date such stock option would be considered granted under GAAP and applicable law. No stock option granted under the Company’s equity incentive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  Cybersecurity</w:t>
      </w:r>
      <w:r>
        <w:rPr>
          <w:rFonts w:ascii="Times New Roman" w:cs="Times New Roman" w:eastAsia="Times New Roman" w:hAnsi="Times New Roman"/>
          <w:sz w:val="18"/>
          <w:szCs w:val="18"/>
          <w:color w:val="auto"/>
        </w:rPr>
        <w:t>.  (i)(x) To the Company’s knowledge,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 except, in each case, as would not, individually or in the aggregate, have a Material Adverse Effect.</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  Compliance with Data Privacy Laws</w:t>
      </w:r>
      <w:r>
        <w:rPr>
          <w:rFonts w:ascii="Times New Roman" w:cs="Times New Roman" w:eastAsia="Times New Roman" w:hAnsi="Times New Roman"/>
          <w:sz w:val="18"/>
          <w:szCs w:val="18"/>
          <w:color w:val="auto"/>
        </w:rPr>
        <w:t>. (i) The Company and the Subsidiaries are, and at all times during the past three years were, in compliance with all applicable data privacy and security laws and regulations, including, as applicable,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Privacy Laws; and (iv) applicable Policies provide accurate and sufficient notice of the Company’s then-current privacy practices relating to its subject matter, and do not contain any material omissions of the Company’s then-current privacy practices, as required by Privacy Laws, except, in each case, as would not have a Material Adverse Effect.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this Agreement will not result in a breach of any Privacy Laws or Policies, except, in each case, as would not have a Material Adverse Effect.  Neither the Company nor the Subsidiaries, (i) has, to the knowledge of the Company,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4"/>
        <w:spacing w:after="0" w:line="250" w:lineRule="auto"/>
        <w:tabs>
          <w:tab w:leader="none" w:pos="16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Office of Foreign Assets Control</w:t>
      </w:r>
      <w:r>
        <w:rPr>
          <w:rFonts w:ascii="Times New Roman" w:cs="Times New Roman" w:eastAsia="Times New Roman" w:hAnsi="Times New Roman"/>
          <w:sz w:val="18"/>
          <w:szCs w:val="18"/>
          <w:color w:val="auto"/>
        </w:rPr>
        <w:t>. Neither the Company nor any of its Subsidiaries, nor to the knowledge of the Company, any of the directors, officers or employees of the Company or its Subsidiaries, is an individual or entity that is, or is owned or controlled by an individual or entity that is: (i) the subject of any sanctions administered or enforced by the U.S. Department of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(ii) located, organized or resident in a country or territory that is the subject of Sanctions. Neither the Company nor any of its Subsidiaries will, directly or indirectly, use the proceeds of the transactions contemplated hereby, or lend, contribute or otherwise make available such proceeds to any Subsidiary, joint venture partner or other individual or entity: (i) to fund or facilitate any activities or business of or with any individual or entity or in any country or territory that, at the time of such funding or facilitation, is the subject of Sanctions or (ii) in any other manner that will result in a violation of Sanctions by any individual or entity (including any individual or entity participating in the transactions contemplated hereby, whether as underwriter, advisor, investor or otherwise). For the past three years, neither the Company nor any of its Subsidiaries has knowingly engaged in, and is not now knowingly engaged in, any dealings or transactions with any individual or entity, or in any country or territory, that at the time of the dealing or transaction is or was the subject of Sanctions.</w:t>
      </w:r>
    </w:p>
    <w:p>
      <w:pPr>
        <w:spacing w:after="0" w:line="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  U.S. Real Property Holding Corporation</w:t>
      </w:r>
      <w:r>
        <w:rPr>
          <w:rFonts w:ascii="Times New Roman" w:cs="Times New Roman" w:eastAsia="Times New Roman" w:hAnsi="Times New Roman"/>
          <w:sz w:val="18"/>
          <w:szCs w:val="18"/>
          <w:color w:val="auto"/>
        </w:rPr>
        <w:t>. The Company is not and has not been a U.S. real property holding corporation within the meaning of Section 897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during the applicable period specified in Section 897(c)(1)(A)(ii) of the Code, and the Company shall so certify upon the Manager’s request.</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4"/>
        <w:spacing w:after="0" w:line="250" w:lineRule="auto"/>
        <w:tabs>
          <w:tab w:leader="none" w:pos="1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4"/>
        <w:spacing w:after="0" w:line="250" w:lineRule="auto"/>
        <w:tabs>
          <w:tab w:leader="none" w:pos="165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firstLine="644"/>
        <w:spacing w:after="0" w:line="250" w:lineRule="auto"/>
        <w:tabs>
          <w:tab w:leader="none" w:pos="159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FINRA Member Shareholders</w:t>
      </w:r>
      <w:r>
        <w:rPr>
          <w:rFonts w:ascii="Times New Roman" w:cs="Times New Roman" w:eastAsia="Times New Roman" w:hAnsi="Times New Roman"/>
          <w:sz w:val="18"/>
          <w:szCs w:val="18"/>
          <w:color w:val="auto"/>
        </w:rPr>
        <w:t>. There are no affiliations with any FINRA member firm among the Company’s officers, directors or, to the knowledge of the Company, any five percent (5%) or greater stockholder of the Company, except as set forth in the Registration Statement, the Base Prospectus, any Prospectus Supplement or the Prospectus.</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Agreements</w:t>
      </w:r>
      <w:r>
        <w:rPr>
          <w:rFonts w:ascii="Times New Roman" w:cs="Times New Roman" w:eastAsia="Times New Roman" w:hAnsi="Times New Roman"/>
          <w:sz w:val="18"/>
          <w:szCs w:val="18"/>
          <w:color w:val="auto"/>
        </w:rPr>
        <w:t>. The Company agrees with the Manager that: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Right to Review Amendments and Supplements to Registration Statement and Prospectus</w:t>
      </w:r>
      <w:r>
        <w:rPr>
          <w:rFonts w:ascii="Times New Roman" w:cs="Times New Roman" w:eastAsia="Times New Roman" w:hAnsi="Times New Roman"/>
          <w:sz w:val="18"/>
          <w:szCs w:val="18"/>
          <w:color w:val="auto"/>
        </w:rPr>
        <w:t>. During any period when the delivery of a prospectus relating to the Shares is required (including in circumstances where such requirement may be satisfied pursuant to Rule 172, 173 or any similar rule) to be delivered under the Act in connection with the offering or the sale of Shares, the Company will not file any amendment to the Registration Statement or supplement (including any Prospectus Supplement) to the Base Prospectus unless the Company has furnished to the Manager a copy for its review prior to filing and will not file any such proposed amendment or supplement to which the Manager reasonably objects (provided, however, that (A) the failure of the Manager to make such objection shall not relieve the Company of any obligation or liability hereunder, or affect the Manager’s right to rely on the representations and warranties made by the Company in the Agreement and (B) the Company has no obligation to provide the Manager any advance copy of such filing or to provide the Manager an opportunity to object to such filing if the filing does not name the Manager and does not relate to the transactions under this Agreement). The Company will cause any supplement to the Prospectus filed after the Effective Time to be properly completed, in a form approved by the Manager, and will file such supplement with the Commission pursuant to the applicable paragraph of Rule 424(b) within the time period prescribed thereby and will provide evidence reasonably satisfactory to the Manager of such timely filing. The Company will promptly advise the Manager (i) when the Prospectus, and any supplement thereto, shall have been filed (if required) with the Commission pursuant to Rule 424(b), (ii) when, during any period when the delivery of a prospectus (whether physically or through compliance with Rule 172, 173 or any similar rule) is required under the Act in connection with the offering or sale of the Shares, any amendment to the Registration Statement shall have been filed or become effective (other than any annual report of the Company filed pursuant to Section 13(a) or 15(d) of the Exchange Act),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commercially reasonable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spacing w:after="0" w:line="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Subsequent Events</w:t>
      </w:r>
      <w:r>
        <w:rPr>
          <w:rFonts w:ascii="Times New Roman" w:cs="Times New Roman" w:eastAsia="Times New Roman" w:hAnsi="Times New Roman"/>
          <w:sz w:val="18"/>
          <w:szCs w:val="18"/>
          <w:color w:val="auto"/>
        </w:rPr>
        <w:t>. If, at any time on or after an Applicable Time but prior to the related Settlement Date, any event occurs as a result of which the Registration Statement or Prospectus would include any untrue statement of a material fact or omit to state any material fact necessary to make the statements therein in the light of the circumstances under which they were made or the circumstances then prevailing not misleading, the Company will (i) notify promptly the Manager so that any use of the Registration Statement or Prospectus may cease until such are amended or supplemented; (ii) amend or supplement the Registration Statement or Prospectus to correct such statement or omission; and (iii) supply any such amendment or supplement to the Manager in such quantities as the Manager may reasonably request.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Notification of Subsequent Filings</w:t>
      </w:r>
      <w:r>
        <w:rPr>
          <w:rFonts w:ascii="Times New Roman" w:cs="Times New Roman" w:eastAsia="Times New Roman" w:hAnsi="Times New Roman"/>
          <w:sz w:val="18"/>
          <w:szCs w:val="18"/>
          <w:color w:val="auto"/>
        </w:rPr>
        <w:t>. During any period when the delivery of a prospectus relating to the Shares is required (including in circumstances where such requirement may be satisfied pursuant to Rule 172, 173 or any similar rule) to be delivered under the Act, any event occurs as a result of which the Prospectus as then supplemented would include any untrue statement of a material fact or omit to state any material fact necessary to make the statements therein in the light of the circumstances under which they were made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 (i) notify the Manager of any such event, (ii) subject to Section 4(a), prepare and file with the Commission an amendment or supplement or new registration statement which will correct such statement or omission or effect such compliance, (iii) use its commercially reasonable best efforts to have any amendment to the Registration Statement or new registration statement declared effective as soon as practicable in order to avoid any disruption in use of the Prospectus and (iv) supply any supplemented Prospectus to the Manager in such quantities as the Manager may reasonably request.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Earnings Statements</w:t>
      </w:r>
      <w:r>
        <w:rPr>
          <w:rFonts w:ascii="Times New Roman" w:cs="Times New Roman" w:eastAsia="Times New Roman" w:hAnsi="Times New Roman"/>
          <w:sz w:val="18"/>
          <w:szCs w:val="18"/>
          <w:color w:val="auto"/>
        </w:rPr>
        <w:t>. As soon as practicable, the Company will make generally available to its security holders and to the Manager an earnings statement or statements of the Company and its Subsidiaries which will satisfy the provisions of Section 11(a) of the Act and Rule 158. For the avoidance of doubt, the Company’s compliance with the reporting requirements of the Exchange Act shall be deemed to satisfy the requirements of this Section 4(d).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Delivery of Registration Statement</w:t>
      </w:r>
      <w:r>
        <w:rPr>
          <w:rFonts w:ascii="Times New Roman" w:cs="Times New Roman" w:eastAsia="Times New Roman" w:hAnsi="Times New Roman"/>
          <w:sz w:val="18"/>
          <w:szCs w:val="18"/>
          <w:color w:val="auto"/>
        </w:rPr>
        <w:t>. Upon the request of the Manager, the Company will furnish to the Manager and counsel for the Manager, without charge, signed copies of the Registration Statement (including exhibits thereto) and, so long as delivery of a prospectus by the Manager or dealer may be required by the Act (including in circumstances where such requirement may be satisfied pursuant to Rule 172, 173 or any similar rule), as many copies of the Prospectus and each Issuer Free Writing Prospectus and any supplement thereto as the Manager may reasonably request. The Company will pay the expenses of printing or other production of all documents relating to the offering.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Qualification of Shares</w:t>
      </w:r>
      <w:r>
        <w:rPr>
          <w:rFonts w:ascii="Times New Roman" w:cs="Times New Roman" w:eastAsia="Times New Roman" w:hAnsi="Times New Roman"/>
          <w:sz w:val="18"/>
          <w:szCs w:val="18"/>
          <w:color w:val="auto"/>
        </w:rPr>
        <w:t>. The Company will arrange, if necessary, for the qualification of the Shares for sale under the laws of such jurisdictions as the Manager may designate and will maintain such qualifications in effect so long as required for the distribution of the Shares; provided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Free Writing Prospectus</w:t>
      </w:r>
      <w:r>
        <w:rPr>
          <w:rFonts w:ascii="Times New Roman" w:cs="Times New Roman" w:eastAsia="Times New Roman" w:hAnsi="Times New Roman"/>
          <w:sz w:val="17"/>
          <w:szCs w:val="17"/>
          <w:color w:val="auto"/>
        </w:rPr>
        <w:t>. The Company agrees that, unless it has or shall have obtained the prior written consent of the Manager, and the Manager agrees with the Company that, unless it has or shall have obtained, as the case may be, the prior written consent of the Company, it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 Any such free writing prospectus consented to by the Manager or the Company is hereinafter referred to as a “</w:t>
      </w:r>
      <w:r>
        <w:rPr>
          <w:rFonts w:ascii="Times New Roman" w:cs="Times New Roman" w:eastAsia="Times New Roman" w:hAnsi="Times New Roman"/>
          <w:sz w:val="17"/>
          <w:szCs w:val="17"/>
          <w:u w:val="single" w:color="auto"/>
          <w:color w:val="auto"/>
        </w:rPr>
        <w:t>Permitted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Free Writing Prospectus</w:t>
      </w:r>
      <w:r>
        <w:rPr>
          <w:rFonts w:ascii="Times New Roman" w:cs="Times New Roman" w:eastAsia="Times New Roman" w:hAnsi="Times New Roman"/>
          <w:sz w:val="17"/>
          <w:szCs w:val="17"/>
          <w:color w:val="auto"/>
        </w:rPr>
        <w:t>.” The Company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Subsequent Equity Issuances</w:t>
      </w:r>
      <w:r>
        <w:rPr>
          <w:rFonts w:ascii="Times New Roman" w:cs="Times New Roman" w:eastAsia="Times New Roman" w:hAnsi="Times New Roman"/>
          <w:sz w:val="18"/>
          <w:szCs w:val="18"/>
          <w:color w:val="auto"/>
        </w:rPr>
        <w:t>. The Company shall not deliver any Sales Notice hereunder (and any Sales Notice previously delivered shall not apply during such two Trading Days) for at least two (2) Trading Days prior to any date on which the Company or any Subsidiary offers, sells, issues, contracts to sell, contracts to issue or otherwise disposes of, directly or indirectly, any other shares of Common Stock or any Common Stock Equivalents (other than the Shares), subject to Manager’s right to waive this obligation, provided that, without compliance with the foregoing obligation, the Company may issue and sell Common Stock pursuant to any employee equity plan, stock ownership plan or dividend reinvestment plan of the Company in effect at the Execution Time and the Company may issue Common Stock issuable upon the conversion or exercise of Common Stock Equivalents outstanding at the Execution Time.</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Market Manipulation</w:t>
      </w:r>
      <w:r>
        <w:rPr>
          <w:rFonts w:ascii="Times New Roman" w:cs="Times New Roman" w:eastAsia="Times New Roman" w:hAnsi="Times New Roman"/>
          <w:sz w:val="18"/>
          <w:szCs w:val="18"/>
          <w:color w:val="auto"/>
        </w:rPr>
        <w:t>. Until the termination of this Agreement, the Company will not take, directly or indirectly, any action designed to or that would constitute or that might reasonably be expected to cause or result in, under the Exchange Act or otherwise, stabilization or manipulation in violation of the Act, Exchange Act or the rules and regulations thereunder of the price of any security of the Company to facilitate the sale or resale of the Shares or otherwise violate any provision of Regulation M under the Exchange Act.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Notification of Incorrect Certificate</w:t>
      </w:r>
      <w:r>
        <w:rPr>
          <w:rFonts w:ascii="Times New Roman" w:cs="Times New Roman" w:eastAsia="Times New Roman" w:hAnsi="Times New Roman"/>
          <w:sz w:val="18"/>
          <w:szCs w:val="18"/>
          <w:color w:val="auto"/>
        </w:rPr>
        <w:t>. The Company will, at any time during the term of this Agreement, as supplemented from time to time, advise the Manager immediately after it shall have received notice or obtained knowledge thereof, of any information or fact that would alter or affect any opinion, certificate, letter and other document provided to the Manager pursuant to Section 6 herein.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Certification of Accuracy of Disclosure</w:t>
      </w:r>
      <w:r>
        <w:rPr>
          <w:rFonts w:ascii="Times New Roman" w:cs="Times New Roman" w:eastAsia="Times New Roman" w:hAnsi="Times New Roman"/>
          <w:sz w:val="18"/>
          <w:szCs w:val="18"/>
          <w:color w:val="auto"/>
        </w:rPr>
        <w:t>. Upon commencement of the offering of the Shares under this Agreement (and upon the recommencement of the offering of the Shares under this Agreement following the termination of a suspension of sales hereunder lasting more than 30 Trading Days), and each time that (i) the Registration Statement or Prospectus shall be amended or supplemented, other than by means of Incorporated Documents, (ii) the Company files its Annual Report on Form 10-K under the Exchange Act, (iii) the Company files its quarterly reports on Form 10-Q under the Exchange Act, (iv) the Company files a Current Report on Form 8-K containing amended financial information (other than information that is furnished and not filed), if the Manager reasonably determines that the information in such Form 8-K is material, or (v) the Shares are delivered to the Manager as principal at the Time of Delivery pursuant to a Terms Agreement (such commencement or recommencement date and each such date referred to in (i), (ii), (iii), (iv) and (v) above,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unless waived by the Manager, the Company shall furnish or cause to be furnished to the Manager forthwith a certificate dated and delivered on the Representation Date, in form reasonably satisfactory to the Manager to the effect that the statements contained in the certificate referred to in Section 6 of this Agreement which were last furnished to the Manager are true and correct at the Representation Date, as though made at and as of such date (except that such statements shall be deemed to relate to the Registration Statement and the Prospectus as amended and supplemented to such date) or, in lieu of such certificate, a certificate of the same tenor as the certificate referred to in said Section 6, modified as necessary to relate to the Registration Statement and the Prospectus as amended and supplemented to the date of delivery of such certificate. The requirement to furnish or cause to be furnished a certificate under this Section 4(k) shall be waived for any Representation Date occurring at a time at which no instruction to the Manager to sell Shares pursuant to this Agreement has been delivered by the Company or is pending. Notwithstanding the foregoing, if the Company subsequently decides to sell Shares following any Representation Date when the Company relied on such waiver and did not provide the Manager a certificate pursuant to this Section 4(k), then before the Company instructs the Manager to sell Shares pursuant to this Agreement, the Company shall provide the Manager such certificate.</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Bring Down Opinions; Negative Assurance</w:t>
      </w:r>
      <w:r>
        <w:rPr>
          <w:rFonts w:ascii="Times New Roman" w:cs="Times New Roman" w:eastAsia="Times New Roman" w:hAnsi="Times New Roman"/>
          <w:sz w:val="18"/>
          <w:szCs w:val="18"/>
          <w:color w:val="auto"/>
        </w:rPr>
        <w:t>. Within five (5) Trading Days of each Representation Date, unless waived by the Manager, the Company shall furnish or cause to be furnished forthwith to the Manager and to counsel to the Manager a written opinion of counsel to the Company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addressed to the Manager and dated and delivered within five (5) Trading Days of such Representation Date, in form and substance reasonably satisfactory to the Manager, including a negative assurance representation. The requirement to furnish or cause to be furnished an opinion (but not with respect to a negative assurance representation) under this Section 4(l) shall be waived for any Representation Date other than a Representation Date on which a material amendment to the Registration Statement or Prospectus is made or the Company files its Annual Report on Form 10-K or a material amendment thereto under the Exchange Act, unless the Manager reasonably requests such deliverable required by this Section 4(l) in connection with a Representation Date, upon which request such deliverable shall be deliverable hereunder. The requirement to furnish or cause to be furnished an opinion under this Section 4(l) shall be waived for any Representation Date occurring at a time at which no instruction to the Manager to sell Shares pursuant to this Agreement has been delivered by the Company or is pending. Notwithstanding the foregoing, if the Company subsequently decides to sell Shares following any Representation Date when the Company relied on such waiver and did not provide the Manager an opinion pursuant to this Section 4(l), then before the Company instructs the Manager to sell Shares pursuant to this Agreement, the Company shall provide the Manager such opinion.</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Auditor Bring Down “Comfort” Letter</w:t>
      </w:r>
      <w:r>
        <w:rPr>
          <w:rFonts w:ascii="Times New Roman" w:cs="Times New Roman" w:eastAsia="Times New Roman" w:hAnsi="Times New Roman"/>
          <w:sz w:val="18"/>
          <w:szCs w:val="18"/>
          <w:color w:val="auto"/>
        </w:rPr>
        <w:t>. Within five (5) Trading Days of each Representation Date, unless waived by the Manager, the Company shall cause (1) the Company’s auditors (the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or other independent accountants satisfactory to the Manager forthwith to furnish the Manager a letter, and (2) the Chief Financial Officer of the Company forthwith to furnish the Manager a certificate, in each case dated within five (5) Trading Days of such Representation Date, in form and substance reasonably satisfactory to the Manager, of the same tenor as the letters and certificate referred to in Section 6 of this Agreement but modified to relate to the Registration Statement and the Prospectus, as amended and supplemented to the date of such letters and certificate. The requirement to furnish or cause to be furnished a “comfort” letter under this Section 4(m) shall be waived for any Representation Date other than a Representation Date on which a material amendment to the Registration Statement or Prospectus is made or the Company files its Annual Report on Form 10-K or a material amendment thereto under the Exchange Act, unless the Manager reasonably requests the deliverables required by this Section 4(m) in connection with a Representation Date, upon which request such deliverable shall be deliverable hereunder. The requirement to furnish or cause to be furnished a “comfort” letter under this Section 4(m) shall be waived for any Representation Date occurring at a time at which no instruction to the Manager to sell Shares pursuant to this Agreement has been delivered by the Company or is pending. Notwithstanding the foregoing, if the Company subsequently decides to sell Shares following any Representation Date when the Company relied on such waiver and did not provide the Manager a “comfort” letter pursuant to this Section 4(m), then before the Company instructs the Manager to sell Shares pursuant to this Agreement, the Company shall provide the Manager such letter.</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Due Diligence Session</w:t>
      </w:r>
      <w:r>
        <w:rPr>
          <w:rFonts w:ascii="Times New Roman" w:cs="Times New Roman" w:eastAsia="Times New Roman" w:hAnsi="Times New Roman"/>
          <w:sz w:val="18"/>
          <w:szCs w:val="18"/>
          <w:color w:val="auto"/>
        </w:rPr>
        <w:t>. Upon commencement of the offering of the Shares under this Agreement (and upon the recommencement of the offering of the Shares under this Agreement following the termination of a suspension of sales hereunder lasting more than 30 Trading Days), and at each Representation Date, the Company will conduct a due diligence session, in form and substance, reasonably satisfactory to the Manager, which shall include representatives of management and Accountants. The Company shall cooperate timely with any reasonable due diligence request from or review conducted by the Manager or its agents from time to time in connection with the transactions contemplated by this Agreement, including, without limitation, providing information and available documents and access to appropriate corporate officers and the Company’s agents during regular business hours, and timely furnishing or causing to be furnished such certificates, letters and opinions from the Company, its officers and its agents, as the Manager may reasonably request. The Company shall reimburse the Manager for Manager’s counsel’s fees in each such due diligence update session, up to a maximum of $2,500 per update, plus any incidental expense that is documented and reasonably incurred by the Manager in connection therewith. The requirement to conduct a due diligence session under this Section 4(n) shall be waived for any Representation Date occurring at a time at which no instruction to the Manager to sell Shares pursuant to this Agreement has been delivered by the Company or is pending. Notwithstanding the foregoing, if the Company subsequently decides to sell Shares following any Representation Date when the Company relied on such waiver and did not conduct a due diligence session pursuant to this Section 4(n), then before the Company instructs the Manager to sell Shares pursuant to this Agreement, the Company shall conduct a due diligence session in accordance with this Section 4(n).</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Acknowledgment of Trading</w:t>
      </w:r>
      <w:r>
        <w:rPr>
          <w:rFonts w:ascii="Times New Roman" w:cs="Times New Roman" w:eastAsia="Times New Roman" w:hAnsi="Times New Roman"/>
          <w:sz w:val="18"/>
          <w:szCs w:val="18"/>
          <w:color w:val="auto"/>
        </w:rPr>
        <w:t>. The Company consents to the Manager trading in the Common Stock for the Manager’s own account and for the account of its clients at the same time as sales of the Shares occur pursuant to this Agreement or pursuant to a Terms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Disclosure of Shares Sold</w:t>
      </w:r>
      <w:r>
        <w:rPr>
          <w:rFonts w:ascii="Times New Roman" w:cs="Times New Roman" w:eastAsia="Times New Roman" w:hAnsi="Times New Roman"/>
          <w:sz w:val="18"/>
          <w:szCs w:val="18"/>
          <w:color w:val="auto"/>
        </w:rPr>
        <w:t>. The Company will disclose in its Annual Reports on Form 10-K and Quarterly Reports on Form 10-Q, as applicable, the number of Shares sold through the Manager under this Agreement, the Net Proceeds to the Company and the compensation paid by the Company with respect to sales of Shares pursuant to this Agreement during the relevant quarter; and, if required by any subsequent change in Commission policy or request, more frequently by means of a Current Report on Form 8-K or a further Prospectus Supplement.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Rescission Right</w:t>
      </w:r>
      <w:r>
        <w:rPr>
          <w:rFonts w:ascii="Times New Roman" w:cs="Times New Roman" w:eastAsia="Times New Roman" w:hAnsi="Times New Roman"/>
          <w:sz w:val="18"/>
          <w:szCs w:val="18"/>
          <w:color w:val="auto"/>
        </w:rPr>
        <w:t>. If to the knowledge of the Company, the conditions set forth in Section 6 shall not have been satisfied as of the applicable Settlement Date, the Company will offer to any person who has agreed to purchase Shares from the Company as the result of an offer to purchase solicited by the Manager the right to refuse to purchase and pay for such Shares.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Bring Down of Representations and Warranties</w:t>
      </w:r>
      <w:r>
        <w:rPr>
          <w:rFonts w:ascii="Times New Roman" w:cs="Times New Roman" w:eastAsia="Times New Roman" w:hAnsi="Times New Roman"/>
          <w:sz w:val="18"/>
          <w:szCs w:val="18"/>
          <w:color w:val="auto"/>
        </w:rPr>
        <w:t>. Each acceptance by the Company of an offer to purchase the Shares hereunder, and each execution and delivery by the Company of a Terms Agreement, shall be deemed to be an affirmation to the Manager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to relate to the Registration Statement and the Prospectus as amended and supplemented relating to such Shares).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Reservation of Shares</w:t>
      </w:r>
      <w:r>
        <w:rPr>
          <w:rFonts w:ascii="Times New Roman" w:cs="Times New Roman" w:eastAsia="Times New Roman" w:hAnsi="Times New Roman"/>
          <w:sz w:val="18"/>
          <w:szCs w:val="18"/>
          <w:color w:val="auto"/>
        </w:rPr>
        <w:t>. The Company shall ensure that there are at all times sufficient shares of Common Stock to provide for the issuance, free of any preemptive rights, out of its authorized but unissued shares of Common Stock or shares of Common Stock held in treasury, of the maximum aggregate number of Shares authorized for issuance by the Board pursuant to the terms of this Agreement. The Company will use its commercially reasonable efforts to cause the Shares to be listed for trading on the Trading Market and to maintain such listing.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Obligation Under Exchange Act</w:t>
      </w:r>
      <w:r>
        <w:rPr>
          <w:rFonts w:ascii="Times New Roman" w:cs="Times New Roman" w:eastAsia="Times New Roman" w:hAnsi="Times New Roman"/>
          <w:sz w:val="18"/>
          <w:szCs w:val="18"/>
          <w:color w:val="auto"/>
        </w:rPr>
        <w:t>. During any period when the delivery of a prospectus relating to the Shares is required (including in circumstances where such requirement may be satisfied pursuant to Rule 172, 173 or any similar rule) to be delivered under the Act, the Company will file all documents required to be filed with the Commission pursuant to the Exchange Act within the time periods required by the Exchange Act and the regulations thereunder.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DTC Facility</w:t>
      </w:r>
      <w:r>
        <w:rPr>
          <w:rFonts w:ascii="Times New Roman" w:cs="Times New Roman" w:eastAsia="Times New Roman" w:hAnsi="Times New Roman"/>
          <w:sz w:val="18"/>
          <w:szCs w:val="18"/>
          <w:color w:val="auto"/>
        </w:rPr>
        <w:t>. The Company shall cooperate with the Manager and use its reasonable efforts to permit the Shares to be eligible for clearance and settlement through the facilities of DTC.</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The Company will apply the Net Proceeds from the sale of the Shares in the manner set forth in the Prospectus.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Filing of Prospectus Supplement</w:t>
      </w:r>
      <w:r>
        <w:rPr>
          <w:rFonts w:ascii="Times New Roman" w:cs="Times New Roman" w:eastAsia="Times New Roman" w:hAnsi="Times New Roman"/>
          <w:sz w:val="18"/>
          <w:szCs w:val="18"/>
          <w:color w:val="auto"/>
        </w:rPr>
        <w:t>. If any sales are made pursuant to this Agreement which are not made in “at the market” offerings as defined in Rule 415, including, without limitation, any Placement pursuant to a Terms Agreement, the Company shall file a Prospectus Supplement describing the terms of such transaction, the amount of Shares sold, the price thereof, the Manager’s compensation, and such other information as may be required pursuant to Rule 424 and Rule 430B, as applicable, within the time required by Rule 424.</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Additional Registration Statement</w:t>
      </w:r>
      <w:r>
        <w:rPr>
          <w:rFonts w:ascii="Times New Roman" w:cs="Times New Roman" w:eastAsia="Times New Roman" w:hAnsi="Times New Roman"/>
          <w:sz w:val="18"/>
          <w:szCs w:val="18"/>
          <w:color w:val="auto"/>
        </w:rPr>
        <w:t>. To the extent that the Registration Statement is not available for the sales of the Shares as contemplated by this Agreement,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included in this Agreement shall be deemed to include such new registration statement, including all documents incorporated by reference therein pursuant to Item 12 of Form S-3, and all references to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included in this Agreement shall be deemed to include the final form of prospectus, including all documents incorporated therein by reference, included in any such registration statement at the time such registration statement became effective.</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Payment of Expenses</w:t>
      </w:r>
      <w:r>
        <w:rPr>
          <w:rFonts w:ascii="Times New Roman" w:cs="Times New Roman" w:eastAsia="Times New Roman" w:hAnsi="Times New Roman"/>
          <w:sz w:val="18"/>
          <w:szCs w:val="18"/>
          <w:color w:val="auto"/>
        </w:rPr>
        <w:t>. The Company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the Prospectus and each Issuer Free Writing Prospectus, and each amendment or supplement to any of them; (ii) the printing (or reproduction) and delivery (including postage, air freight charges and charges for counting and packaging) of such copies of the Registration Statement, the Prospectus, and each Issuer Free Writing Prospectus, and all amendments or supplements to any of them,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of the Shares; (iv) the printing (or reproduction) and delivery of this Agreement, any blue sky memorandum and all other agreements or documents printed (or reproduced) and delivered in connection with the offering of the Shares; (v) the registration of the Shares under the Exchange Act, if applicable, and the listing of the Shares on the Trading Market; (vi) any registration or qualification of the Shares for offer and sale under the securities or blue sky laws of the several states (including filing fees and the reasonable fees and expenses of counsel for the Manager relating to such registration and qualification); (vii) the transportation and other expenses incurred by or on behalf of Company representatives in connection with presentations to prospective purchasers of the Shares; (viii) the fees and expenses of the Accountants and the fees and expenses of counsel (including local and special counsel) for the Company; (ix) the filing fee under FINRA Rule 5110; (x) the reasonable fees and expenses of the Manager’s counsel, not to exceed $50,000 (excluding any periodic due diligence fees provided for under Section 4(n)), which shall be paid upon the Effective Time; and (xi) all other costs and expenses incident to the performance by the Company of its obligations hereunder.</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Conditions to the Obligations of the Manager</w:t>
      </w:r>
      <w:r>
        <w:rPr>
          <w:rFonts w:ascii="Times New Roman" w:cs="Times New Roman" w:eastAsia="Times New Roman" w:hAnsi="Times New Roman"/>
          <w:sz w:val="18"/>
          <w:szCs w:val="18"/>
          <w:color w:val="auto"/>
        </w:rPr>
        <w:t>. The obligations of the Manager under this Agreement and any Terms Agreement shall be subject to (i) the accuracy of the representations and warranties on the part of the Company contained herein as of the Execution Time, each Representation Date, and as of each Applicable Time, Settlement Date and Time of Delivery, (ii) the performance by the Company of its obligations hereunder and (iii) the following additional conditions: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Effectiveness of the Registration Statement; Filing of Prospectus Supplement</w:t>
      </w:r>
      <w:r>
        <w:rPr>
          <w:rFonts w:ascii="Times New Roman" w:cs="Times New Roman" w:eastAsia="Times New Roman" w:hAnsi="Times New Roman"/>
          <w:sz w:val="18"/>
          <w:szCs w:val="18"/>
          <w:color w:val="auto"/>
        </w:rPr>
        <w:t>. The Registration Statement shall have been declared effective by the Commission and the Prospectus, and any supplement thereto, required by Rule 424 to be filed with the Commission shall have been filed in the manner and within the time period required by Rule 424(b) with respect to any sale of Shares; each Prospectus Supplement shall have been filed in the manner required by Rule 424(b) within the time period required hereunder and under the Act;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Delivery of Opinion</w:t>
      </w:r>
      <w:r>
        <w:rPr>
          <w:rFonts w:ascii="Times New Roman" w:cs="Times New Roman" w:eastAsia="Times New Roman" w:hAnsi="Times New Roman"/>
          <w:sz w:val="18"/>
          <w:szCs w:val="18"/>
          <w:color w:val="auto"/>
        </w:rPr>
        <w:t>. The Company shall have caused the Company Counsel to furnish to the Manager its opinion and negative assurance statement, dated as of such date and addressed to the Manager in form and substance acceptable to the Manager.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Delivery of Officer’s Certificate</w:t>
      </w:r>
      <w:r>
        <w:rPr>
          <w:rFonts w:ascii="Times New Roman" w:cs="Times New Roman" w:eastAsia="Times New Roman" w:hAnsi="Times New Roman"/>
          <w:sz w:val="18"/>
          <w:szCs w:val="18"/>
          <w:color w:val="auto"/>
        </w:rPr>
        <w:t>. The Company shall have furnished or caused to be furnished to the Manager a certificate of the Company signed by the Chief Executive Officer or the President and the principal financial or accounting officer of the Company, dated as of such date, to the effect that the signers of such certificate have carefully examined the Registration Statement, the Prospectus, any Prospectus Supplement and any documents incorporated by reference therein and any supplements or amendments thereto and this Agreement and that: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the representations and warranties of the Company in this Agreement are true and correct on and as of such date with the same effect as if made on such date and the Company has complied with all the agreements and satisfied all the conditions on its part to be performed or satisfied at or prior to such date;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(ii)            no stop order suspending the effectiveness of the Registration Statement or any notice objecting to its use has been issued and no proceedings for that purpose have been instituted or, to the Company’s knowledge, threatened; and</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since the date of the most recent financial statements included in the Registration Statement, the Prospectus and the Incorporated Documents, there has been no Material Adverse Effect on the condition (financial or otherwise), earnings, business or properties of the Company and its subsidiaries, taken as a whole, whether or not arising from transactions in the ordinary course of business, except as set forth in or contemplated in the Registration Statement and the Prospectus.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Delivery of Accountants’ “Comfort” Letter</w:t>
      </w:r>
      <w:r>
        <w:rPr>
          <w:rFonts w:ascii="Times New Roman" w:cs="Times New Roman" w:eastAsia="Times New Roman" w:hAnsi="Times New Roman"/>
          <w:sz w:val="18"/>
          <w:szCs w:val="18"/>
          <w:color w:val="auto"/>
        </w:rPr>
        <w:t>. The Company shall have requested and caused the Accountants to have furnished to the Manager letters (which may refer to letters previously delivered to the Manager), dated as of such date, in form and substance satisfactory to the Manager, confirming that they are independent accountants within the meaning of the Act and the Exchange Act and the respective applicable rules and regulations adopted by the Commission thereunder and that they have performed a review of any unaudited interim financial information of the Company included or incorporated by reference in the Registration Statement and the Prospectus and provide customary “comfort” as to such review in form and substance satisfactory to the Manager.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 Material Adverse Event</w:t>
      </w:r>
      <w:r>
        <w:rPr>
          <w:rFonts w:ascii="Times New Roman" w:cs="Times New Roman" w:eastAsia="Times New Roman" w:hAnsi="Times New Roman"/>
          <w:sz w:val="18"/>
          <w:szCs w:val="18"/>
          <w:color w:val="auto"/>
        </w:rPr>
        <w:t>. Since the respective dates as of which information is disclosed in the Registration Statement, the Prospectus and the Incorporated Documents, except as otherwise stated therein, there shall not have been (i) any change or decrease in previously reported results specified in the letter or letters referred to in paragraph (d)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Registration Statement, the Prospectus and the Incorporated Documents (exclusive of any amendment or supplement thereto) the effect of which, in any case referred to in clause (i) or (ii) above, is, in the sole judgment of the Manager, so material and adverse as to make it impractical or inadvisable to proceed with the offering or delivery of the Shares as contemplated by the Registration Statement (exclusive of any amendment thereof), the Incorporated Documents and the Prospectus (exclusive of any amendment or supplement thereto).</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Payment of All Fees</w:t>
      </w:r>
      <w:r>
        <w:rPr>
          <w:rFonts w:ascii="Times New Roman" w:cs="Times New Roman" w:eastAsia="Times New Roman" w:hAnsi="Times New Roman"/>
          <w:sz w:val="18"/>
          <w:szCs w:val="18"/>
          <w:color w:val="auto"/>
        </w:rPr>
        <w:t>. The Company shall have paid the required Commission filing fees relating to the Shares within the time period required by Rule 456(b)(1)(i) of the Act without regard to the proviso therein and otherwise in accordance with Rules 456(b) and 457(r) of the Act and shall have filed the “Calculation of Filing Fee Table” as an exhibit to the Registration Statement.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No FINRA Objections</w:t>
      </w:r>
      <w:r>
        <w:rPr>
          <w:rFonts w:ascii="Times New Roman" w:cs="Times New Roman" w:eastAsia="Times New Roman" w:hAnsi="Times New Roman"/>
          <w:sz w:val="18"/>
          <w:szCs w:val="18"/>
          <w:color w:val="auto"/>
        </w:rPr>
        <w:t>. FINRA shall not have raised any objection with respect to the fairness and reasonableness of the terms and arrangements under this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Shares Listed on Trading Market</w:t>
      </w:r>
      <w:r>
        <w:rPr>
          <w:rFonts w:ascii="Times New Roman" w:cs="Times New Roman" w:eastAsia="Times New Roman" w:hAnsi="Times New Roman"/>
          <w:sz w:val="18"/>
          <w:szCs w:val="18"/>
          <w:color w:val="auto"/>
        </w:rPr>
        <w:t>. The Shares shall have been listed and admitted and authorized for trading on the Trading Market, subject to official notice of issuance, and satisfactory evidence of such actions shall have been provided to the Manager.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Other Assurances</w:t>
      </w:r>
      <w:r>
        <w:rPr>
          <w:rFonts w:ascii="Times New Roman" w:cs="Times New Roman" w:eastAsia="Times New Roman" w:hAnsi="Times New Roman"/>
          <w:sz w:val="18"/>
          <w:szCs w:val="18"/>
          <w:color w:val="auto"/>
        </w:rPr>
        <w:t>. Prior to each Settlement Date and Time of Delivery, as applicable, the Company shall have furnished to the Manager such further information, certificates and documents as the Manager may reasonably request.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 and counsel for the Manager, this Agreement and all obligations of the Manager hereunder may be canceled at, or at any time prior to, any Settlement Date or Time of Delivery, as applicable, by the Manager. Notice of such cancellation shall be given to the Company in writing or by telephone and confirmed in writing by electronic mail.</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documents required to be delivered by this Section 6 shall be delivered to the office of Ellenoff Grossman &amp; Schole LLP, counsel for the Manager, at 1345 Avenue of the Americas, New York, New York 10105, email: capmkts@egsllp.com, on each such date as provided in this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Indemnification and Contribution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Indemnification by Company</w:t>
      </w:r>
      <w:r>
        <w:rPr>
          <w:rFonts w:ascii="Times New Roman" w:cs="Times New Roman" w:eastAsia="Times New Roman" w:hAnsi="Times New Roman"/>
          <w:sz w:val="17"/>
          <w:szCs w:val="17"/>
          <w:color w:val="auto"/>
        </w:rPr>
        <w:t xml:space="preserve">. The Company agrees to indemnify and hold harmless the Manager, the directors, officers, employees and agents of the Manager and each person who controls the Manager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 any Prospectus Supplement, the Prospectus, any Issuer Free Writing Prospectus, or in any amendment thereof or supplement thereto, or arise out of or are based upon the omission or alleged omission to state therein a material fact required to be stated therein or necessary to make the statements therein not misleading or result from or relate to any breach of any of the representations, warranties, covenants or agreements made by the Company in this Agreement, and agrees to reimburse each such indemnified party for any legal or other expenses reasonably incurred by them in connection with investigating or defending any such loss, claim, damage, liability or 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the Manager specifically for inclusion therein. This indemnity agreement will be in addition to any liability that the Company may otherwise have.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Indemnification by Manager</w:t>
      </w:r>
      <w:r>
        <w:rPr>
          <w:rFonts w:ascii="Times New Roman" w:cs="Times New Roman" w:eastAsia="Times New Roman" w:hAnsi="Times New Roman"/>
          <w:sz w:val="18"/>
          <w:szCs w:val="18"/>
          <w:color w:val="auto"/>
        </w:rPr>
        <w:t xml:space="preserve">. The Manager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the Manager, but only with reference to written information relating to the Manager furnished to the Company by the Manager specifically for inclusion in the documents referred to in the foregoing indemnity;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case shall the Manager be responsible for any amount in excess of the Broker Fee applicable to the Shares and paid hereunder. This indemnity agreement will be in addition to any liability which the Manager may otherwise have.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Indemnification Procedures</w:t>
      </w:r>
      <w:r>
        <w:rPr>
          <w:rFonts w:ascii="Times New Roman" w:cs="Times New Roman" w:eastAsia="Times New Roman" w:hAnsi="Times New Roman"/>
          <w:sz w:val="18"/>
          <w:szCs w:val="18"/>
          <w:color w:val="auto"/>
        </w:rPr>
        <w:t xml:space="preserve">.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Contribution</w:t>
      </w:r>
      <w:r>
        <w:rPr>
          <w:rFonts w:ascii="Times New Roman" w:cs="Times New Roman" w:eastAsia="Times New Roman" w:hAnsi="Times New Roman"/>
          <w:sz w:val="18"/>
          <w:szCs w:val="18"/>
          <w:color w:val="auto"/>
        </w:rPr>
        <w:t>. In the event that the indemnity provided in paragraph (a), (b) or (c) of this Section 7 is unavailable to or insufficient to hold harmless an indemnified party for any reason, the Company and the Manager agree to contribute to the aggregate losses, claims, damages and liabilities (including legal or other expenses reasonably incurred in connection with investigating or defending the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which the Company and the Manager may be subject in such proportion as is appropriate to reflect the relative benefits received by the Company on the one hand and by the Manager on the other from the offering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case shall the Manager be responsible for any amount in excess of the Broker Fee applicable to the Shares and paid hereunder. If the allocation provided by the immediately preceding sentence is unavailable for any reason, the Company and the Manager severally shall contribute in such proportion as is appropriate to reflect not only such relative benefits but also the relative fault of the Company on the one hand and of the Manager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Manager shall be deemed to be equal to the Broker Fee applicable to the Shares and paid hereunder as determined by this Agreement. Relative fault shall be determined by reference to, among other things, whether any untrue or any alleged untrue statement of a material fact or the omission or alleged omission to state a material fact relates to information provided by the Company on the one hand or the Manager on the other, the intent of the parties and their relative knowledge, access to information and opportunity to correct or prevent such untrue statement or omission. The Company and the Manager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7, each person who controls the Manager within the meaning of either the Act or the Exchange Act and each director, officer, employee and agent of the Manager shall have the same rights to contribution as the Manager,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Company shall have the right, by giving written notice as hereinafter specified, to terminate the provisions of this Agreement relating to the solicitation of offers to purchase the Shares in its sole discretion at any time upon five (5) Business Days’ prior written notice. Any such termination shall be without liability of any party to any other party except that (i) with respect to any pending sale, through the Manager for the Company, the obligations of the Company, including in respect of compensation of the Manager, shall remain in full force and effect notwithstanding the termination and (ii) the provisions of Sections 5, 6, 7, 8, 9, 10, 12, the second sentence of 13, 14 and 15 of this Agreement shall remain in full force and effect notwithstanding such termination.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The Manager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Sections 5, 6, 7, 8, 9, 10, 12, the second sentence of 13, 14 and 15 of this Agreement shall remain in full force and effect notwithstanding such termination.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(c)            This Agreement shall remain in full force and effect until such date that this Agreement is terminated pursuant to Sections 8(a) or (b) above or otherwise by mutual agreement of the parties, provided that any such termination by mutual agreement shall in all cases be deemed to provide that Sections 5, 6, 7, 8, 9, 10, 12, the second sentence of 13, 14 and 15 of this Agreement shall remain in full force and effect.</w:t>
      </w: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Any termination of this Agreement shall be effective on the date specified in such notice of termination, provided that such termination shall not be effective until the close of business on the date of receipt of such notice by the Manager or the Company, as the case may be. If such termination shall occur prior to the Settlement Date or Time of Delivery for any sale of the Shares, such sale of the Shares shall settle in accordance with the provisions of Section 2(b) of this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In the case of any purchase of Shares by the Manager pursuant to a Terms Agreement, the obligations of the Manager pursuant to such Terms Agreement shall be subject to termination, in the absolute discretion of the Manager, by prompt oral notice given to the Company prior to the Time of Delivery relating to such Shares, if any, and confirmed promptly by electronic mail, if since the time of execution of the Terms Agreement and prior to such delivery and payment, (i) trading in the Common Stock shall have been suspended by the Commission or the Trading Market or trading in securities generally on the Trading Market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Manager, impractical or inadvisable to proceed with the offering or delivery of the Shares as contemplated by the Prospectus (exclusive of any amendment or supplement thereto).</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or its officers and of the Manager set forth in or made pursuant to this Agreement will remain in full force and effect, regardless of any investigation made by the Manager or the Company or any of the officers, directors, employees, agents or controlling persons referred to in Section 7, and will survive delivery of and payment for the Shares.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communications hereunder will be in writing and effective only on receipt, and will be mailed, delivered, or e-mailed to the addresses of the Company and the Manager, respectively, set forth on the signature page hereto.</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7, and no other person will have any right or obligation hereunder.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No Fiduciary Duty</w:t>
      </w:r>
      <w:r>
        <w:rPr>
          <w:rFonts w:ascii="Times New Roman" w:cs="Times New Roman" w:eastAsia="Times New Roman" w:hAnsi="Times New Roman"/>
          <w:sz w:val="18"/>
          <w:szCs w:val="18"/>
          <w:color w:val="auto"/>
        </w:rPr>
        <w:t>. The Company hereby acknowledges that (a) the purchase and sale of the Shares pursuant to this Agreement is an arm’s-length commercial transaction between the Company, on the one hand, and the Manager and any affiliate through which it may be acting, on the other, (b) the Manager is acting solely as sales agent and/or principal in connection with the purchase and sale of the Company’s securities and not as a fiduciary of the Company and (c) the Company’s engagement of the Manager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the Manager has advised or is currently advising the Company on related or other matters). The Company agrees that it will not claim that the Manager has rendered advisory services of any nature or respect, or owe an agency, fiduciary or similar duty to the Company, in connection with such transaction or the process leading thereto.</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Integration</w:t>
      </w:r>
      <w:r>
        <w:rPr>
          <w:rFonts w:ascii="Times New Roman" w:cs="Times New Roman" w:eastAsia="Times New Roman" w:hAnsi="Times New Roman"/>
          <w:sz w:val="18"/>
          <w:szCs w:val="18"/>
          <w:color w:val="auto"/>
        </w:rPr>
        <w:t>. This Agreement and any Terms Agreement supersede all prior agreements and understandings (whether written or oral) between the Company and the Manager with respect to the subject matter hereof. Notwithstanding anything herein to the contrary, (i) the letter agreement, dated June 3, 2022, by and between the Company and the Manager, (ii) the letter agreement, dated May 30, 2023, by and between the Company and the Manager and (iii) the letter agreement, dated January 16, 2024, by and between the Company and the Manager shall continue to be effective and the terms therein shall continue to survive and be enforceable by the Manager in accordance with its terms.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Manager.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Applicable Law</w:t>
      </w:r>
      <w:r>
        <w:rPr>
          <w:rFonts w:ascii="Times New Roman" w:cs="Times New Roman" w:eastAsia="Times New Roman" w:hAnsi="Times New Roman"/>
          <w:sz w:val="18"/>
          <w:szCs w:val="18"/>
          <w:color w:val="auto"/>
        </w:rPr>
        <w:t>. This Agreement and any Terms Agreement will be governed by and construed in accordance with the laws of the State of New York applicable to contracts made and to be performed within the State of New York. Each of the Company and the Manager: (i) agrees that any legal suit, action or proceeding arising out of or relating to this Agreement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exclusive jurisdiction of the New York Supreme Court, County of New York, and the United States District Court for the Southern District of New York in any such suit, action or proceeding. Each of the Company and the Manager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Manager mailed by certified mail to the Manager’s address shall be deemed in every respect effective service process upon the Manager, in any such suit, action or proceeding.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b w:val="1"/>
          <w:bCs w:val="1"/>
          <w:color w:val="auto"/>
        </w:rPr>
        <w:t>16.          </w:t>
      </w:r>
      <w:r>
        <w:rPr>
          <w:rFonts w:ascii="Times New Roman" w:cs="Times New Roman" w:eastAsia="Times New Roman" w:hAnsi="Times New Roman"/>
          <w:sz w:val="17"/>
          <w:szCs w:val="17"/>
          <w:b w:val="1"/>
          <w:bCs w:val="1"/>
          <w:u w:val="single" w:color="auto"/>
          <w:color w:val="auto"/>
        </w:rPr>
        <w:t>  WAIVER OF JURY TRIAL</w:t>
      </w:r>
      <w:r>
        <w:rPr>
          <w:rFonts w:ascii="Times New Roman" w:cs="Times New Roman" w:eastAsia="Times New Roman" w:hAnsi="Times New Roman"/>
          <w:sz w:val="17"/>
          <w:szCs w:val="17"/>
          <w:b w:val="1"/>
          <w:bCs w:val="1"/>
          <w:color w:val="auto"/>
        </w:rPr>
        <w:t>. THE COMPANY HEREBY IRREVOCABLY WAIVES, TO THE FULLEST EXTENT PERMITTED BY APPLICABLE LAW, ANY AND ALL RIGHT TO TRIAL BY JURY IN ANY LEGAL PROCEEDING ARISING OUT OF OR RELATING TO THIS AGREEMENT, ANY TERMS AGREEMENT OR THE TRANSACTIONS CONTEMPLATED HEREBY OR THEREBY.</w:t>
      </w: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and any Terms Agreement may be signed in one or more counterparts, each of which shall constitute an original and all of which together shall constitute one and the same agreement, which may be delivered in .pdf file via e-mail.</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section headings used in this Agreement and any Terms Agreement are for convenience only and shall not affect the construction hereof.</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Manager.</w:t>
      </w:r>
    </w:p>
    <w:tbl>
      <w:tblPr>
        <w:tblLayout w:type="fixed"/>
        <w:tblInd w:w="0" w:type="dxa"/>
        <w:tblCellMar>
          <w:top w:w="0" w:type="dxa"/>
          <w:left w:w="0" w:type="dxa"/>
          <w:bottom w:w="0" w:type="dxa"/>
          <w:right w:w="0" w:type="dxa"/>
        </w:tblCellMar>
      </w:tblPr>
      <w:tr>
        <w:trPr>
          <w:trHeight w:val="198"/>
        </w:trPr>
        <w:tc>
          <w:tcPr>
            <w:tcW w:w="580" w:type="dxa"/>
            <w:vAlign w:val="bottom"/>
          </w:tcPr>
          <w:p>
            <w:pPr>
              <w:spacing w:after="0"/>
              <w:rPr>
                <w:sz w:val="17"/>
                <w:szCs w:val="17"/>
                <w:color w:val="auto"/>
              </w:rPr>
            </w:pPr>
          </w:p>
        </w:tc>
        <w:tc>
          <w:tcPr>
            <w:tcW w:w="5040" w:type="dxa"/>
            <w:vAlign w:val="bottom"/>
          </w:tcPr>
          <w:p>
            <w:pPr>
              <w:ind w:left="80"/>
              <w:spacing w:after="0" w:line="199"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7"/>
                <w:szCs w:val="17"/>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Very truly yours,</w:t>
            </w:r>
          </w:p>
        </w:tc>
        <w:tc>
          <w:tcPr>
            <w:tcW w:w="40" w:type="dxa"/>
            <w:vAlign w:val="bottom"/>
          </w:tcPr>
          <w:p>
            <w:pPr>
              <w:spacing w:after="0"/>
              <w:rPr>
                <w:sz w:val="18"/>
                <w:szCs w:val="18"/>
                <w:color w:val="auto"/>
              </w:rPr>
            </w:pPr>
          </w:p>
        </w:tc>
      </w:tr>
      <w:tr>
        <w:trPr>
          <w:trHeight w:val="21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GEVO, INC.</w:t>
            </w:r>
          </w:p>
        </w:tc>
        <w:tc>
          <w:tcPr>
            <w:tcW w:w="40" w:type="dxa"/>
            <w:vAlign w:val="bottom"/>
          </w:tcPr>
          <w:p>
            <w:pPr>
              <w:spacing w:after="0"/>
              <w:rPr>
                <w:sz w:val="19"/>
                <w:szCs w:val="19"/>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Gruber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Patrick Gruber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Inverness Drive South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C, Suite 310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Englewood, Colorado 80112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legal@gevo.com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as of the date first written above.</w:t>
      </w:r>
    </w:p>
    <w:tbl>
      <w:tblPr>
        <w:tblLayout w:type="fixed"/>
        <w:tblInd w:w="0" w:type="dxa"/>
        <w:tblCellMar>
          <w:top w:w="0" w:type="dxa"/>
          <w:left w:w="0" w:type="dxa"/>
          <w:bottom w:w="0" w:type="dxa"/>
          <w:right w:w="0" w:type="dxa"/>
        </w:tblCellMar>
      </w:tblPr>
      <w:tr>
        <w:trPr>
          <w:trHeight w:val="203"/>
        </w:trPr>
        <w:tc>
          <w:tcPr>
            <w:tcW w:w="410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H.C. WAINWRIGHT &amp; CO., LLC</w:t>
            </w:r>
          </w:p>
        </w:tc>
        <w:tc>
          <w:tcPr>
            <w:tcW w:w="16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Mark W. Viklund</w:t>
            </w:r>
          </w:p>
        </w:tc>
        <w:tc>
          <w:tcPr>
            <w:tcW w:w="16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line="20" w:lineRule="exact"/>
              <w:rPr>
                <w:sz w:val="1"/>
                <w:szCs w:val="1"/>
                <w:color w:val="auto"/>
              </w:rPr>
            </w:pPr>
          </w:p>
        </w:tc>
      </w:tr>
      <w:tr>
        <w:trPr>
          <w:trHeight w:val="191"/>
        </w:trPr>
        <w:tc>
          <w:tcPr>
            <w:tcW w:w="41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 Mark W. Viklund</w:t>
            </w:r>
          </w:p>
        </w:tc>
        <w:tc>
          <w:tcPr>
            <w:tcW w:w="1600" w:type="dxa"/>
            <w:vAlign w:val="bottom"/>
          </w:tcPr>
          <w:p>
            <w:pPr>
              <w:spacing w:after="0"/>
              <w:rPr>
                <w:sz w:val="16"/>
                <w:szCs w:val="16"/>
                <w:color w:val="auto"/>
              </w:rPr>
            </w:pPr>
          </w:p>
        </w:tc>
        <w:tc>
          <w:tcPr>
            <w:tcW w:w="5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6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1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Address for Notice:</w:t>
            </w:r>
          </w:p>
        </w:tc>
        <w:tc>
          <w:tcPr>
            <w:tcW w:w="160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430 Park Avenue</w:t>
            </w:r>
          </w:p>
        </w:tc>
        <w:tc>
          <w:tcPr>
            <w:tcW w:w="2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160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Attention: Chief Executive Officer</w:t>
            </w:r>
          </w:p>
        </w:tc>
        <w:tc>
          <w:tcPr>
            <w:tcW w:w="160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notices@hcwco.com</w:t>
            </w:r>
          </w:p>
        </w:tc>
        <w:tc>
          <w:tcPr>
            <w:tcW w:w="160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Form of Terms Agreement</w:t>
      </w:r>
    </w:p>
    <w:p>
      <w:pPr>
        <w:spacing w:after="0" w:line="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10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10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TERMS AGREEMENT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Dear Sirs: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Gevo,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subject to the terms and conditions stated herein and in the At The Market Offering Agreement, dated January 16, 2024 (the “</w:t>
      </w:r>
      <w:r>
        <w:rPr>
          <w:rFonts w:ascii="Times New Roman" w:cs="Times New Roman" w:eastAsia="Times New Roman" w:hAnsi="Times New Roman"/>
          <w:sz w:val="18"/>
          <w:szCs w:val="18"/>
          <w:u w:val="single" w:color="auto"/>
          <w:color w:val="auto"/>
        </w:rPr>
        <w:t>At The Market Offering Agreement</w:t>
      </w:r>
      <w:r>
        <w:rPr>
          <w:rFonts w:ascii="Times New Roman" w:cs="Times New Roman" w:eastAsia="Times New Roman" w:hAnsi="Times New Roman"/>
          <w:sz w:val="18"/>
          <w:szCs w:val="18"/>
          <w:color w:val="auto"/>
        </w:rPr>
        <w:t>”), between the Company and H.C. Wainwright &amp; Co., LLC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xml:space="preserve">”), to issue and sell to Manager the securities specified in the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Purchased Shares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Each of the provisions of the At The Market Offering Agreement not specifically related to the solicitation by the Manager,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Time of Delivery, except that each representation and warranty in Section 3 of the At The Market Offering Agreement which makes reference to the Prospectus (as therein defined) shall be deemed to be a representation and warranty as of the date of the At The Market Offering Agreement in relation to the Prospectus, and also a representation and warranty as of the date of this Terms Agreement and the Time of Delivery in relation to the Prospectus as amended and supplemented to relate to the Purchased Shares.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An amendment to the Registration Statement (as defined in the At The Market Offering Agreement), or a supplement to the Prospectus, as the case may be, relating to the Purchased Shares, in the form heretofore delivered to the Manager is now proposed to be filed with the Securities and Exchange Commission.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Subject to the terms and conditions set forth herein and in the At The Market Offering Agreement which are incorporated herein by reference, the Company agrees to issue and sell to the Manager and the latter agrees to purchase from the Company the number of shares of the Purchased Shares at the time and place and at the purchase price set forth in the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the foregoing is in accordance with your understanding, please sign and return to us a counterpart hereof, whereupon this Terms Agreement, including those provisions of the At The Market Offering Agreement incorporated herein by reference, shall constitute a binding agreement between the Manager and the Company.</w:t>
      </w:r>
    </w:p>
    <w:tbl>
      <w:tblPr>
        <w:tblLayout w:type="fixed"/>
        <w:tblInd w:w="0" w:type="dxa"/>
        <w:tblCellMar>
          <w:top w:w="0" w:type="dxa"/>
          <w:left w:w="0" w:type="dxa"/>
          <w:bottom w:w="0" w:type="dxa"/>
          <w:right w:w="0" w:type="dxa"/>
        </w:tblCellMar>
      </w:tblPr>
      <w:tr>
        <w:trPr>
          <w:trHeight w:val="195"/>
        </w:trPr>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80" w:type="dxa"/>
            <w:vAlign w:val="bottom"/>
          </w:tcPr>
          <w:p>
            <w:pPr>
              <w:ind w:left="32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6"/>
                <w:szCs w:val="16"/>
                <w:color w:val="auto"/>
              </w:rPr>
            </w:pPr>
          </w:p>
        </w:tc>
      </w:tr>
      <w:tr>
        <w:trPr>
          <w:trHeight w:val="22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GEVO, INC.</w:t>
            </w:r>
          </w:p>
        </w:tc>
        <w:tc>
          <w:tcPr>
            <w:tcW w:w="40" w:type="dxa"/>
            <w:vAlign w:val="bottom"/>
          </w:tcPr>
          <w:p>
            <w:pPr>
              <w:spacing w:after="0"/>
              <w:rPr>
                <w:sz w:val="19"/>
                <w:szCs w:val="19"/>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tc>
        <w:tc>
          <w:tcPr>
            <w:tcW w:w="40" w:type="dxa"/>
            <w:vAlign w:val="bottom"/>
          </w:tcPr>
          <w:p>
            <w:pPr>
              <w:spacing w:after="0"/>
              <w:rPr>
                <w:sz w:val="18"/>
                <w:szCs w:val="18"/>
                <w:color w:val="auto"/>
              </w:rPr>
            </w:pPr>
          </w:p>
        </w:tc>
      </w:tr>
      <w:tr>
        <w:trPr>
          <w:trHeight w:val="21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H.C. WAINWRIGHT &amp; CO., LLC</w:t>
            </w:r>
          </w:p>
        </w:tc>
        <w:tc>
          <w:tcPr>
            <w:tcW w:w="40" w:type="dxa"/>
            <w:vAlign w:val="bottom"/>
          </w:tcPr>
          <w:p>
            <w:pPr>
              <w:spacing w:after="0"/>
              <w:rPr>
                <w:sz w:val="19"/>
                <w:szCs w:val="19"/>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200" w:type="dxa"/>
            <w:vAlign w:val="bottom"/>
          </w:tcPr>
          <w:p>
            <w:pPr>
              <w:spacing w:after="0"/>
              <w:rPr>
                <w:sz w:val="20"/>
                <w:szCs w:val="20"/>
                <w:color w:val="auto"/>
              </w:rPr>
            </w:pP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911350" cy="4286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1911350" cy="42862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156845</wp:posOffset>
            </wp:positionV>
            <wp:extent cx="2588895" cy="5575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25888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Gevo,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Inverness Drive South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C, Suite 310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Englewood, Colorado 80112</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 Registration Statement on Form S-3 filed by Gevo,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acted as counsel to Gevo,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rules and regulations promulgated thereunder, of a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of the sale from time to time of one or more series of the following securities by the Company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Company’s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Company’s preferred stock, par value $0.01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which may be issued as part of a series established pursuant to a certificate of designation filed in the office of the Secretary of State of the State of Delaware in accordance with the applicable provisions of the General Corporation Law of the State of Delaware (a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of the Company, which may be either senior debt securities or subordinated debt securities (“</w:t>
      </w: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 each representing a fraction of a share of a particular series of Preferred Stock (“</w:t>
      </w:r>
      <w:r>
        <w:rPr>
          <w:rFonts w:ascii="Times New Roman" w:cs="Times New Roman" w:eastAsia="Times New Roman" w:hAnsi="Times New Roman"/>
          <w:sz w:val="18"/>
          <w:szCs w:val="18"/>
          <w:u w:val="single" w:color="auto"/>
          <w:color w:val="auto"/>
        </w:rPr>
        <w:t>Depositary Shares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representing rights to purchase Common Stock, Preferred Stock or Debt Securities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 for the purchase of Common Stock, Preferred Stock, Debt Securities or any of the other Securities (“</w:t>
      </w:r>
      <w:r>
        <w:rPr>
          <w:rFonts w:ascii="Times New Roman" w:cs="Times New Roman" w:eastAsia="Times New Roman" w:hAnsi="Times New Roman"/>
          <w:sz w:val="18"/>
          <w:szCs w:val="18"/>
          <w:u w:val="single" w:color="auto"/>
          <w:color w:val="auto"/>
        </w:rPr>
        <w:t>Purchase Contracts</w:t>
      </w:r>
      <w:r>
        <w:rPr>
          <w:rFonts w:ascii="Times New Roman" w:cs="Times New Roman" w:eastAsia="Times New Roman" w:hAnsi="Times New Roman"/>
          <w:sz w:val="18"/>
          <w:szCs w:val="18"/>
          <w:color w:val="auto"/>
        </w:rPr>
        <w: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combination of the Securities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our capacity as counsel to the Company, we have examined the Registration Statement and such documents, records and instruments as we have deemed necessary for the purposes of this opinion. As to matters of fact material to the opinions expressed herein, we have relied on (a) information in public authority documents (and all opinions based on public authority documents are as of the date of such public authority documents and not as of the date of this opinion letter), and (b) information provided in certificates of officers of the Company. We have not independently verified the facts so relied 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examination, we have assumed the following without investigation: (a) the authenticity of original documents and the genuineness of all signatures;</w:t>
      </w:r>
    </w:p>
    <w:p>
      <w:pPr>
        <w:spacing w:after="0" w:line="27" w:lineRule="exact"/>
        <w:rPr>
          <w:sz w:val="20"/>
          <w:szCs w:val="20"/>
          <w:color w:val="auto"/>
        </w:rPr>
      </w:pPr>
    </w:p>
    <w:p>
      <w:pPr>
        <w:ind w:firstLine="8"/>
        <w:spacing w:after="0" w:line="260" w:lineRule="auto"/>
        <w:tabs>
          <w:tab w:leader="none" w:pos="29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conformity to the originals of all documents submitted to us as copies; and (c) the truth, accuracy and completeness of the information, representations and warranties contained in the records, documents, instruments and certificates we have reviewed.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7" w:name="page108"/>
    <w:bookmarkEnd w:id="107"/>
    <w:p>
      <w:pPr>
        <w:jc w:val="both"/>
        <w:spacing w:after="0" w:line="261" w:lineRule="auto"/>
        <w:rPr>
          <w:sz w:val="20"/>
          <w:szCs w:val="20"/>
          <w:color w:val="auto"/>
        </w:rPr>
      </w:pPr>
      <w:r>
        <w:rPr>
          <w:rFonts w:ascii="Times New Roman" w:cs="Times New Roman" w:eastAsia="Times New Roman" w:hAnsi="Times New Roman"/>
          <w:sz w:val="18"/>
          <w:szCs w:val="18"/>
          <w:color w:val="auto"/>
        </w:rPr>
        <w:t>Based upon the foregoing examination and in reliance thereon, and subject to (a) the assumptions stated and in reliance on statements of fact contained in the documents that we have examined and (b) completion of all corporate action required to be taken by the Company to duly authorize each proposed issuance of Securities (including the due reservation of any shares of Common Stock or Preferred Stock for issuance upon conversion or exchange of any other Securities), we are of the opinion that:</w:t>
      </w:r>
    </w:p>
    <w:p>
      <w:pPr>
        <w:spacing w:after="0" w:line="180" w:lineRule="exact"/>
        <w:rPr>
          <w:sz w:val="20"/>
          <w:szCs w:val="20"/>
          <w:color w:val="auto"/>
        </w:rPr>
      </w:pPr>
    </w:p>
    <w:p>
      <w:pPr>
        <w:jc w:val="both"/>
        <w:ind w:left="660" w:hanging="328"/>
        <w:spacing w:after="0" w:line="257"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Common Stock, when the shares of Common Stock have been issued and delivered in accordance with the applicable purchase, underwriting or similar agreement against the receipt of requisite consideration therefor provided for therein, such shares of Common Stock will be validly issued, fully paid and non-assessable.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Preferred Stock, when (a) the applicable Certificate of Designation for the Preferred Stock to be issued has been duly filed with the Office of the Secretary of State of the State of Delaware and (b) the shares of Preferred Stock have been issued and delivered in accordance with the applicable purchase, underwriting or similar agreement against the receipt of requisite consideration therefor provided for therein, such shares of Preferred Stock will be validly issued, fully paid and non-assessable.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to be issued under one or more indentures (each, an “Indenture”), when (a) the terms of the Debt Securities have been established in accordance with the Indenture, (b) the Indenture has been qualified under the Trust Indenture Act of 1939, as amended, (c) the Indenture and the applicable supplement thereto, if any, have been duly authorized and validly executed and delivered by the Company and the trustee thereunder and (d) the Debt Securities have been executed, issued, delivered and authenticated in accordance with the terms of the Indenture and the applicable purchase, underwriting or similar agreement against the receipt of requisite consideration therefor provided for therein, the Debt Securities will be legal, valid and binding obligations of the Company.</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Depositary Shares, when (a) a deposit agreement relating to the Depositary Shares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has been duly authorized and validly executed and delivered by the Company and each party thereto, (b) the terms of the Depositary Shares have been established in accordance with the Deposit Agreement, (c) the applicable Certificate of Designation for the Depositary Shares has been duly filed with the Office of the Secretary of State of the State of Delaware, and (d) the Depositary Shares have been issued and delivered in accordance with the Deposit Agreement and the applicable purchase, underwriting or similar agreement against the receipt of requisite consideration therefor provided for therein, the Depositary Shares will be validly issued, fully paid and non-assessable.</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when (a) a warrant agreement relating to the Warrants (the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has been duly authorized and validly executed and delivered by the Company and each party thereto, (b) the terms of the Warrants have been established in accordance with the Warrant Agreement and (c) the Warrants have been executed and delivered in accordance with the related Warrant Agreement and the applicable purchase, underwriting or similar agreement against the receipt of requisite consideration therefor provided for therein, the Warrants will be legal, valid and binding obligations of the Company.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Common Stock or Preferred Stock to be issued upon conversion or exercise, as applicable, of the Debt Securities, Preferred Stock or Warrants, when (a) if applicable, the Certificate of Designation for the Preferred Stock to be issued has been duly filed with the Office of the Secretary of State of the State of Delaware and (b) such Common Stock or Preferred Stock, as the case may be, has been issued and delivered in accordance with the terms of the applicable Debt Securities, Preferred Stock or Warrants, as the case may be, such shares of Common Stock or Preferred Stock will be validly issued, fully paid and non-assessable.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Purchase Contracts, when (a) a purchase contract agreement relating to the Purchase Contracts (the “</w:t>
      </w:r>
      <w:r>
        <w:rPr>
          <w:rFonts w:ascii="Times New Roman" w:cs="Times New Roman" w:eastAsia="Times New Roman" w:hAnsi="Times New Roman"/>
          <w:sz w:val="18"/>
          <w:szCs w:val="18"/>
          <w:u w:val="single" w:color="auto"/>
          <w:color w:val="auto"/>
        </w:rPr>
        <w:t>Purchase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been duly authorized and validly executed and delivered by the Company and each party thereto, (b) the terms of the Purchase Contracts have been established in accordance with the terms of the Purchase Contract Agreement, (c) the terms of any collateral or security arrangements relating to such Purchase Contracts have been established and the agreements related thereto have been validly executed and delivered by each of the parties thereto and any collateral has been deposited with the collateral agent, if applicable, in accordance with such arrangements and (d) such Purchase Contracts have been executed and delivered in accordance with the Purchase Contract Agreement and the applicable purchase, underwriting or similar agreement against the receipt of requisite consideration therefor provided for therein, the Purchase Contracts will be legal, valid and binding obligations of the Company.</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Units, when (a) a unit agreement relating to the Units (the “</w:t>
      </w:r>
      <w:r>
        <w:rPr>
          <w:rFonts w:ascii="Times New Roman" w:cs="Times New Roman" w:eastAsia="Times New Roman" w:hAnsi="Times New Roman"/>
          <w:sz w:val="18"/>
          <w:szCs w:val="18"/>
          <w:u w:val="single" w:color="auto"/>
          <w:color w:val="auto"/>
        </w:rPr>
        <w:t>Unit Agreement</w:t>
      </w:r>
      <w:r>
        <w:rPr>
          <w:rFonts w:ascii="Times New Roman" w:cs="Times New Roman" w:eastAsia="Times New Roman" w:hAnsi="Times New Roman"/>
          <w:sz w:val="18"/>
          <w:szCs w:val="18"/>
          <w:color w:val="auto"/>
        </w:rPr>
        <w:t>”) has been duly authorized and validly executed and delivered by the Company and each party thereto, (b) the terms of the Units have been established in accordance with the Unit Agreement and</w:t>
      </w: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Units have been executed and delivered in accordance with the related Unit Agreement and the applicable purchase, underwriting or similar agreement against the receipt of requisite consideration therefor provided for therein, the Units will be legal, valid and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ind w:left="340"/>
        <w:spacing w:after="0"/>
        <w:rPr>
          <w:sz w:val="20"/>
          <w:szCs w:val="20"/>
          <w:color w:val="auto"/>
        </w:rPr>
      </w:pPr>
      <w:r>
        <w:rPr>
          <w:rFonts w:ascii="Times New Roman" w:cs="Times New Roman" w:eastAsia="Times New Roman" w:hAnsi="Times New Roman"/>
          <w:sz w:val="18"/>
          <w:szCs w:val="18"/>
          <w:color w:val="auto"/>
        </w:rPr>
        <w:t>The foregoing opinions are subject to the following exclusions and qualifications:</w:t>
      </w:r>
    </w:p>
    <w:p>
      <w:pPr>
        <w:spacing w:after="0" w:line="225" w:lineRule="exact"/>
        <w:rPr>
          <w:sz w:val="20"/>
          <w:szCs w:val="20"/>
          <w:color w:val="auto"/>
        </w:rPr>
      </w:pPr>
    </w:p>
    <w:p>
      <w:pPr>
        <w:jc w:val="both"/>
        <w:ind w:left="660" w:hanging="328"/>
        <w:spacing w:after="0" w:line="257"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opinions are as of the date hereof, and we have no responsibility to update this opinion for events and circumstances occurring after the date hereof or as to facts relating to prior events that are subsequently brought to our attention. This opinion is limited to the laws, including the rules and regulations, as in effect on the date hereof, and we disavow any undertaking to advise you of any changes in law.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enforceability of any right or obligation to the extent such right or obligation is subject to and limited by (i) the effect of bankruptcy, insolvency, reorganization, receivership, conservatorship, arrangement, moratorium, fraudulent transfer or other laws affecting or relating to the rights of creditors generally; (ii) rules governing the availability of specific performance, injunctive relief or other equitable remedies and general principles of equity, regardless of whether arising prior to or after the date hereof or considered in a proceeding in equity or at law; or (iii) the effect of federal and state securities laws and principles of public policy on the rights of indemnity and contribution.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express any opinions herein concerning any laws other than the laws in their current forms of the States of Delaware and New York and the federal securities laws of the United States of America, and we express no opinion with respect to the laws of any other jurisdiction and expressly disclaim responsibility for advising you as to the effect, if any, that the laws of any other jurisdiction may have on the opinions set forth herein.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any amendments thereto, including any and all post-effective amendments, and to the reference to our firm in the prospectus and any prospectus supplements relating thereto under the heading “Legal Matters.” In giving such consent, we do not thereby admit that we are in the category of persons whose consent is required under Section 7 of the Securities Act or related rules and regulations of the Commission issued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PERKINS COIE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894205" cy="4286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1894205" cy="42862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167640</wp:posOffset>
            </wp:positionV>
            <wp:extent cx="2606040" cy="6172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26060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Gevo,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Inverness Drive South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C, Suite 310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Englewood, Colorado 80112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Registration Statement on Form S-3 filed by Gevo,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acted as counsel to Gevo,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issuance and sale from time to time of up to</w:t>
      </w:r>
    </w:p>
    <w:p>
      <w:pPr>
        <w:spacing w:after="0" w:line="27"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$500,000,000 of shares of common stock of the Company, par value $0.01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pursuant to the At The Market Offering Agreement, dated January 16, 2024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between the Company and H.C. Wainwright &amp; Co., LLC. The Shares will be issued pursuant to the Company’s Registration Statement on Form S-3,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January 16, 2024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including the base prospectus and the “at the market offering” prospectus filed as part of the Registration Statement (collectively,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We have examined the Registration Statement, the Prospectus, the Sales Agreement and such documents and records of the Company and other documents as we have deemed necessary for the purposes of this opinion. In such examination, we have assumed the following: (i) the authenticity of original documents and the genuineness of all signatures; (ii) the conformity to the originals of all documents submitted to us as copies; and (iii) the truth, accuracy and completeness of the information, representations and warranties contained in the records, documents, instruments and certificates we have reviewed.</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upon the foregoing, it is our opinion that the Shares have been duly authorized by all necessary corporate action of the Company and, upon (i) the due execution by the Company and registration by its registrar of the Shares, (ii) the offering and sale of the Shares in accordance with the Sales Agreement and the Prospectus, and (iii) receipt by the Company of the consideration therefor in accordance with the terms of the Sales Agreement, the Shares will be validly issued, fully paid and non-assessable.</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5.2 to the Registration Statement and any amendments thereto, including any and all post-effective amendments, and to the reference to us under the headings “Legal Matters” in the Prospectus. In giving such consent, we do not thereby admit that we are in the category of persons whose consent is required under Section 7 of the Securities Act or related rules and regulations of the Commission issued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PERKINS COIE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b w:val="1"/>
          <w:bCs w:val="1"/>
          <w:color w:val="auto"/>
        </w:rPr>
        <w:t>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issued our report dated March 9, 2023 with respect to the consolidated financial statements of Gevo, Inc. included in the Annual Report on Form 10-K for the year ended December 31, 2022, which is incorporated by reference in this Registration Statement. We consent to the incorporation by reference of the aforementioned report in this Registration Statement, and to the use of our name as it appears under the caption “Experts”.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1" w:name="page112"/>
    <w:bookmarkEnd w:id="111"/>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Fees Table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880" w:type="dxa"/>
            <w:vAlign w:val="bottom"/>
            <w:tcBorders>
              <w:top w:val="single" w:sz="8" w:color="auto"/>
              <w:left w:val="single" w:sz="8" w:color="auto"/>
              <w:righ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40" w:type="dxa"/>
            <w:vAlign w:val="bottom"/>
            <w:tcBorders>
              <w:top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Carry</w:t>
            </w:r>
          </w:p>
        </w:tc>
        <w:tc>
          <w:tcPr>
            <w:tcW w:w="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Carry</w:t>
            </w:r>
          </w:p>
        </w:tc>
        <w:tc>
          <w:tcPr>
            <w:tcW w:w="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Carry</w:t>
            </w: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Fee</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Calculation</w:t>
            </w:r>
          </w:p>
        </w:tc>
        <w:tc>
          <w:tcPr>
            <w:tcW w:w="8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8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Forward</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Previously</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Carry</w:t>
            </w:r>
          </w:p>
        </w:tc>
        <w:tc>
          <w:tcPr>
            <w:tcW w:w="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8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Connection</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Unsold</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 be</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Carried</w:t>
            </w:r>
          </w:p>
        </w:tc>
        <w:tc>
          <w:tcPr>
            <w:tcW w:w="0" w:type="dxa"/>
            <w:vAlign w:val="bottom"/>
          </w:tcPr>
          <w:p>
            <w:pPr>
              <w:spacing w:after="0"/>
              <w:rPr>
                <w:sz w:val="1"/>
                <w:szCs w:val="1"/>
                <w:color w:val="auto"/>
              </w:rPr>
            </w:pPr>
          </w:p>
        </w:tc>
      </w:tr>
      <w:tr>
        <w:trPr>
          <w:trHeight w:val="249"/>
        </w:trPr>
        <w:tc>
          <w:tcPr>
            <w:tcW w:w="880" w:type="dxa"/>
            <w:vAlign w:val="bottom"/>
            <w:tcBorders>
              <w:left w:val="single" w:sz="8" w:color="auto"/>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0" w:type="dxa"/>
            <w:vAlign w:val="bottom"/>
          </w:tcPr>
          <w:p>
            <w:pPr>
              <w:spacing w:after="0"/>
              <w:rPr>
                <w:sz w:val="1"/>
                <w:szCs w:val="1"/>
                <w:color w:val="auto"/>
              </w:rPr>
            </w:pPr>
          </w:p>
        </w:tc>
      </w:tr>
      <w:tr>
        <w:trPr>
          <w:trHeight w:val="213"/>
        </w:trPr>
        <w:tc>
          <w:tcPr>
            <w:tcW w:w="880" w:type="dxa"/>
            <w:vAlign w:val="bottom"/>
            <w:tcBorders>
              <w:left w:val="single" w:sz="8" w:color="auto"/>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Newly</w:t>
            </w: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Registered Securities</w:t>
            </w: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8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Common</w:t>
            </w:r>
          </w:p>
        </w:tc>
        <w:tc>
          <w:tcPr>
            <w:tcW w:w="9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par</w:t>
            </w:r>
          </w:p>
        </w:tc>
        <w:tc>
          <w:tcPr>
            <w:tcW w:w="9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value</w:t>
            </w:r>
          </w:p>
        </w:tc>
        <w:tc>
          <w:tcPr>
            <w:tcW w:w="9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5"/>
              </w:rPr>
              <w:t>(1)</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 per</w:t>
            </w:r>
          </w:p>
        </w:tc>
        <w:tc>
          <w:tcPr>
            <w:tcW w:w="9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Borders>
              <w:left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9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8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Preferred</w:t>
            </w:r>
          </w:p>
        </w:tc>
        <w:tc>
          <w:tcPr>
            <w:tcW w:w="9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par</w:t>
            </w:r>
          </w:p>
        </w:tc>
        <w:tc>
          <w:tcPr>
            <w:tcW w:w="9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value</w:t>
            </w:r>
          </w:p>
        </w:tc>
        <w:tc>
          <w:tcPr>
            <w:tcW w:w="9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5"/>
              </w:rPr>
              <w:t>(1)</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 per</w:t>
            </w:r>
          </w:p>
        </w:tc>
        <w:tc>
          <w:tcPr>
            <w:tcW w:w="9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Fees to Be</w:t>
            </w:r>
          </w:p>
        </w:tc>
        <w:tc>
          <w:tcPr>
            <w:tcW w:w="9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9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880" w:type="dxa"/>
            <w:vAlign w:val="bottom"/>
            <w:tcBorders>
              <w:left w:val="single" w:sz="8" w:color="auto"/>
              <w:right w:val="single" w:sz="8" w:color="auto"/>
            </w:tcBorders>
            <w:vMerge w:val="continue"/>
          </w:tcPr>
          <w:p>
            <w:pPr>
              <w:spacing w:after="0"/>
              <w:rPr>
                <w:sz w:val="8"/>
                <w:szCs w:val="8"/>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82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Debt</w:t>
            </w:r>
          </w:p>
        </w:tc>
        <w:tc>
          <w:tcPr>
            <w:tcW w:w="9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5"/>
              </w:rPr>
              <w:t>(1)</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99"/>
        </w:trPr>
        <w:tc>
          <w:tcPr>
            <w:tcW w:w="8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Paid</w:t>
            </w:r>
          </w:p>
        </w:tc>
        <w:tc>
          <w:tcPr>
            <w:tcW w:w="90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880" w:type="dxa"/>
            <w:vAlign w:val="bottom"/>
            <w:tcBorders>
              <w:left w:val="single" w:sz="8" w:color="auto"/>
              <w:right w:val="single" w:sz="8" w:color="auto"/>
            </w:tcBorders>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9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880" w:type="dxa"/>
            <w:vAlign w:val="bottom"/>
            <w:tcBorders>
              <w:left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820" w:type="dxa"/>
            <w:vAlign w:val="bottom"/>
            <w:tcBorders>
              <w:bottom w:val="single" w:sz="8" w:color="auto"/>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8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8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Depositary</w:t>
            </w:r>
          </w:p>
        </w:tc>
        <w:tc>
          <w:tcPr>
            <w:tcW w:w="9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5"/>
              </w:rPr>
              <w:t>(1)</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6"/>
        </w:trPr>
        <w:tc>
          <w:tcPr>
            <w:tcW w:w="88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9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tcBorders>
              <w:left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vMerge w:val="continue"/>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90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5"/>
              </w:rPr>
              <w:t>(1)</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8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Purchase</w:t>
            </w:r>
          </w:p>
        </w:tc>
        <w:tc>
          <w:tcPr>
            <w:tcW w:w="9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5"/>
              </w:rPr>
              <w:t>(1)</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6"/>
        </w:trPr>
        <w:tc>
          <w:tcPr>
            <w:tcW w:w="88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Contracts</w:t>
            </w:r>
          </w:p>
        </w:tc>
        <w:tc>
          <w:tcPr>
            <w:tcW w:w="9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tcBorders>
              <w:left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vMerge w:val="continue"/>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Units</w:t>
            </w:r>
          </w:p>
        </w:tc>
        <w:tc>
          <w:tcPr>
            <w:tcW w:w="90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5"/>
              </w:rPr>
              <w:t>(1)</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1"/>
        </w:trPr>
        <w:tc>
          <w:tcPr>
            <w:tcW w:w="880" w:type="dxa"/>
            <w:vAlign w:val="bottom"/>
            <w:tcBorders>
              <w:left w:val="single" w:sz="8" w:color="auto"/>
              <w:right w:val="single" w:sz="8" w:color="auto"/>
            </w:tcBorders>
          </w:tcPr>
          <w:p>
            <w:pPr>
              <w:spacing w:after="0"/>
              <w:rPr>
                <w:sz w:val="16"/>
                <w:szCs w:val="16"/>
                <w:color w:val="auto"/>
              </w:rPr>
            </w:pPr>
          </w:p>
        </w:tc>
        <w:tc>
          <w:tcPr>
            <w:tcW w:w="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Unallocated</w:t>
            </w:r>
          </w:p>
        </w:tc>
        <w:tc>
          <w:tcPr>
            <w:tcW w:w="82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40" w:type="dxa"/>
            <w:vAlign w:val="bottom"/>
          </w:tcPr>
          <w:p>
            <w:pPr>
              <w:spacing w:after="0"/>
              <w:rPr>
                <w:sz w:val="18"/>
                <w:szCs w:val="18"/>
                <w:color w:val="auto"/>
              </w:rPr>
            </w:pPr>
          </w:p>
        </w:tc>
        <w:tc>
          <w:tcPr>
            <w:tcW w:w="8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5"/>
              </w:rPr>
              <w:t>(1)</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$250,000,000</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0.0001476</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$36,900 (3)</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880" w:type="dxa"/>
            <w:vAlign w:val="bottom"/>
            <w:tcBorders>
              <w:left w:val="single" w:sz="8" w:color="auto"/>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8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80" w:type="dxa"/>
            <w:vAlign w:val="bottom"/>
            <w:tcBorders>
              <w:left w:val="single" w:sz="8" w:color="auto"/>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Fees</w:t>
            </w:r>
          </w:p>
        </w:tc>
        <w:tc>
          <w:tcPr>
            <w:tcW w:w="90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Previously</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8"/>
        </w:trPr>
        <w:tc>
          <w:tcPr>
            <w:tcW w:w="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Paid</w:t>
            </w:r>
          </w:p>
        </w:tc>
        <w:tc>
          <w:tcPr>
            <w:tcW w:w="9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Carry Forward Securities</w:t>
            </w: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80" w:type="dxa"/>
            <w:vAlign w:val="bottom"/>
            <w:tcBorders>
              <w:left w:val="single" w:sz="8" w:color="auto"/>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Carry</w:t>
            </w:r>
          </w:p>
        </w:tc>
        <w:tc>
          <w:tcPr>
            <w:tcW w:w="9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Unallocated</w:t>
            </w:r>
          </w:p>
        </w:tc>
        <w:tc>
          <w:tcPr>
            <w:tcW w:w="82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March 9,</w:t>
            </w: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80" w:type="dxa"/>
            <w:vAlign w:val="bottom"/>
            <w:tcBorders>
              <w:left w:val="single" w:sz="8" w:color="auto"/>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Forward</w:t>
            </w:r>
          </w:p>
        </w:tc>
        <w:tc>
          <w:tcPr>
            <w:tcW w:w="9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(Universal)</w:t>
            </w:r>
          </w:p>
        </w:tc>
        <w:tc>
          <w:tcPr>
            <w:tcW w:w="8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$500,000,000</w:t>
            </w:r>
          </w:p>
        </w:tc>
        <w:tc>
          <w:tcPr>
            <w:tcW w:w="84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$55,100 (4)</w:t>
            </w:r>
          </w:p>
        </w:tc>
        <w:tc>
          <w:tcPr>
            <w:tcW w:w="72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S-3</w:t>
            </w:r>
          </w:p>
        </w:tc>
        <w:tc>
          <w:tcPr>
            <w:tcW w:w="680" w:type="dxa"/>
            <w:vAlign w:val="bottom"/>
            <w:tcBorders>
              <w:right w:val="single" w:sz="8" w:color="auto"/>
            </w:tcBorders>
            <w:vMerge w:val="continue"/>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8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$55,100</w:t>
            </w:r>
          </w:p>
        </w:tc>
        <w:tc>
          <w:tcPr>
            <w:tcW w:w="0" w:type="dxa"/>
            <w:vAlign w:val="bottom"/>
          </w:tcPr>
          <w:p>
            <w:pPr>
              <w:spacing w:after="0"/>
              <w:rPr>
                <w:sz w:val="1"/>
                <w:szCs w:val="1"/>
                <w:color w:val="auto"/>
              </w:rPr>
            </w:pPr>
          </w:p>
        </w:tc>
      </w:tr>
      <w:tr>
        <w:trPr>
          <w:trHeight w:val="216"/>
        </w:trPr>
        <w:tc>
          <w:tcPr>
            <w:tcW w:w="88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Shelf</w:t>
            </w:r>
          </w:p>
        </w:tc>
        <w:tc>
          <w:tcPr>
            <w:tcW w:w="8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415(a)(6)</w:t>
            </w:r>
          </w:p>
        </w:tc>
        <w:tc>
          <w:tcPr>
            <w:tcW w:w="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252229</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8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900" w:type="dxa"/>
            <w:vAlign w:val="bottom"/>
            <w:tcBorders>
              <w:bottom w:val="single" w:sz="8" w:color="auto"/>
              <w:right w:val="single" w:sz="8" w:color="auto"/>
            </w:tcBorders>
            <w:vMerge w:val="continue"/>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bottom w:val="single" w:sz="8" w:color="auto"/>
              <w:right w:val="single" w:sz="8" w:color="auto"/>
            </w:tcBorders>
          </w:tcPr>
          <w:p>
            <w:pPr>
              <w:spacing w:after="0"/>
              <w:rPr>
                <w:sz w:val="18"/>
                <w:szCs w:val="18"/>
                <w:color w:val="auto"/>
              </w:rPr>
            </w:pPr>
          </w:p>
        </w:tc>
        <w:tc>
          <w:tcPr>
            <w:tcW w:w="2660" w:type="dxa"/>
            <w:vAlign w:val="bottom"/>
            <w:tcBorders>
              <w:bottom w:val="single" w:sz="8" w:color="auto"/>
            </w:tcBorders>
            <w:gridSpan w:val="4"/>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8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$750,000,000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$92,000</w:t>
            </w:r>
          </w:p>
        </w:tc>
        <w:tc>
          <w:tcPr>
            <w:tcW w:w="72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bottom w:val="single" w:sz="8" w:color="auto"/>
              <w:right w:val="single" w:sz="8" w:color="auto"/>
            </w:tcBorders>
          </w:tcPr>
          <w:p>
            <w:pPr>
              <w:spacing w:after="0"/>
              <w:rPr>
                <w:sz w:val="18"/>
                <w:szCs w:val="18"/>
                <w:color w:val="auto"/>
              </w:rPr>
            </w:pPr>
          </w:p>
        </w:tc>
        <w:tc>
          <w:tcPr>
            <w:tcW w:w="3480" w:type="dxa"/>
            <w:vAlign w:val="bottom"/>
            <w:tcBorders>
              <w:bottom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8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Borders>
              <w:left w:val="single" w:sz="8" w:color="auto"/>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8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Borders>
              <w:left w:val="single" w:sz="8" w:color="auto"/>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82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$36,900 (4)</w:t>
            </w:r>
          </w:p>
        </w:tc>
        <w:tc>
          <w:tcPr>
            <w:tcW w:w="72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ind w:right="80" w:firstLine="8"/>
        <w:spacing w:after="0" w:line="255"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being registered hereunder such indeterminate number of shares of common stock, preferred stock, debt securities, depositary shares, warrants, purchase contracts, and units comprised of one or more of the other securities that may be offered pursuant hereto to be sold by the registrant from time to time at unspecified prices which shall have an aggregate initial offering price not to exceed $750,000,000. There are also being registered hereunder an indeterminate number of shares of common stock and preferred stock as shall be issuable upon conversion, exchange or exercise of any securities that provide for such issuance. In addition, Pursuant to Rule 416 under the Securities Act of 1933, as amended, or the Securities Act, this registration statement shall also cover any additional shares of the registrant’s securities that become issuable by reason of any share splits, share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2" w:name="page113"/>
    <w:bookmarkEnd w:id="112"/>
    <w:p>
      <w:pPr>
        <w:ind w:firstLine="8"/>
        <w:spacing w:after="0" w:line="258"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 Separate consideration may or may not be received for securities that are issuable on exercise, conversion or exchange of other securities, or that are issued in units. In no event will the aggregate offering price of all securities sold by the registrant from time to time pursuant to this registration statement exceed $750,000,000.</w:t>
      </w:r>
    </w:p>
    <w:p>
      <w:pPr>
        <w:spacing w:after="0" w:line="18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457(o) under the Securities Act.</w:t>
      </w:r>
    </w:p>
    <w:p>
      <w:pPr>
        <w:spacing w:after="0" w:line="225" w:lineRule="exact"/>
        <w:rPr>
          <w:rFonts w:ascii="Times New Roman" w:cs="Times New Roman" w:eastAsia="Times New Roman" w:hAnsi="Times New Roman"/>
          <w:sz w:val="18"/>
          <w:szCs w:val="18"/>
          <w:color w:val="auto"/>
        </w:rPr>
      </w:pPr>
    </w:p>
    <w:p>
      <w:pPr>
        <w:ind w:right="20" w:firstLine="8"/>
        <w:spacing w:after="0" w:line="253"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19, 2021, the registrant filed a Registration Statement on Form S-3ASR (File No. 333-252229) as a “well-known seasoned issuer” (as such term is defined in Rule 405 of the Securities Act of 1933, as amended). On September 9, 2021, the registrant filed a prospectus supplement pursuant to Rule 424(b)(5) (the “ATM Prospectus Supplement”) to register shares of common stock having an aggregate offering price of up to $500,000,000 and paid the associated filing fee. In connection with the filing of its Annual Report on Form 10-K for the fiscal year ended December 31, 2022, the registrant determined it no longer qualified as a “well-known seasoned issuer”. Accordingly, the registrant filed Post-Effective Amendment No. 1 to the Registration Statement on Form S-3ASR with the SEC on March 9, 2023 for the purpose of including disclosure required for a registrant other than a well-known seasoned issuer, registering $500,000,000 of securities and paying the associated filing fee (which fee was reduced by the fee previously paid in connection with the ATM Prospectus Supplement), and Post-Effective Amendment No. 2 to the Registration Statement on Form S-3 with the SEC on March 9, 2023 in order to convert the Registration Statement on Form S-3ASR to the proper EDGAR submission type for a non-automatic shelf registration statement. The Registration Statement (File No. 333-252229), as amended by Post-Effective Amendment No. 1 and Post-Effective Amendment No. 2, is referred to as the “Prior Registration Statement”.</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the date hereof, the registrant has not sold any of the $500,000,000 of common stock registered for sale pursuant to the Prior Registration Statement. The registrant is registering the offer and sale of the remaining $500,000,000 that has not been sold pursuant to the Prior Registration Statement (the “Unsold Securities”) in addition to $250,000,000 of new securities. Pursuant to Rule 415(a)(6) under the Securities Act, as amended, the Unsold Securities are being carried forward and the filing fee previously paid in connection with the Unsold Securities will continue to be applied to the Unsold Securities under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lowerRoman"/>
      <w:start w:val="3"/>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lvl w:ilvl="1">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lowerRoman"/>
      <w:start w:val="3"/>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3">
    <w:nsid w:val="6A2342EC"/>
    <w:multiLevelType w:val="hybridMultilevel"/>
    <w:lvl w:ilvl="0">
      <w:lvlJc w:val="left"/>
      <w:lvlText w:val="(%1)"/>
      <w:numFmt w:val="decimal"/>
      <w:start w:val="2"/>
    </w:lvl>
    <w:lvl w:ilvl="1">
      <w:lvlJc w:val="left"/>
      <w:lvlText w:val="(%2)"/>
      <w:numFmt w:val="lowerRoman"/>
      <w:start w:val="1"/>
    </w:lvl>
  </w:abstractNum>
  <w:abstractNum w:abstractNumId="34">
    <w:nsid w:val="2A487CB0"/>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5">
    <w:nsid w:val="1D4ED43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6">
    <w:nsid w:val="725A06FB"/>
    <w:multiLevelType w:val="hybridMultilevel"/>
    <w:lvl w:ilvl="0">
      <w:lvlJc w:val="left"/>
      <w:lvlText w:val="(%1)"/>
      <w:numFmt w:val="lowerLetter"/>
      <w:start w:val="8"/>
    </w:lvl>
    <w:lvl w:ilvl="1">
      <w:lvlJc w:val="left"/>
      <w:lvlText w:val="(%2)"/>
      <w:numFmt w:val="decimal"/>
      <w:start w:val="1"/>
    </w:lvl>
  </w:abstractNum>
  <w:abstractNum w:abstractNumId="37">
    <w:nsid w:val="2CD89A32"/>
    <w:multiLevelType w:val="hybridMultilevel"/>
    <w:lvl w:ilvl="0">
      <w:lvlJc w:val="left"/>
      <w:lvlText w:val="%1"/>
      <w:numFmt w:val="lowerLetter"/>
      <w:start w:val="1"/>
    </w:lvl>
    <w:lvl w:ilvl="1">
      <w:lvlJc w:val="left"/>
      <w:lvlText w:val="(%2)"/>
      <w:numFmt w:val="decimal"/>
      <w:start w:val="2"/>
    </w:lvl>
  </w:abstractNum>
  <w:abstractNum w:abstractNumId="38">
    <w:nsid w:val="57E4CCAF"/>
    <w:multiLevelType w:val="hybridMultilevel"/>
    <w:lvl w:ilvl="0">
      <w:lvlJc w:val="left"/>
      <w:lvlText w:val="(%1)"/>
      <w:numFmt w:val="lowerLetter"/>
      <w:start w:val="10"/>
    </w:lvl>
    <w:lvl w:ilvl="1">
      <w:lvlJc w:val="left"/>
      <w:lvlText w:val="%2"/>
      <w:numFmt w:val="decimal"/>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lowerLetter"/>
      <w:start w:val="27"/>
    </w:lvl>
  </w:abstractNum>
  <w:abstractNum w:abstractNumId="41">
    <w:nsid w:val="542289EC"/>
    <w:multiLevelType w:val="hybridMultilevel"/>
    <w:lvl w:ilvl="0">
      <w:lvlJc w:val="left"/>
      <w:lvlText w:val="(%1)"/>
      <w:numFmt w:val="lowerLetter"/>
      <w:start w:val="29"/>
    </w:lvl>
  </w:abstractNum>
  <w:abstractNum w:abstractNumId="42">
    <w:nsid w:val="6DE91B18"/>
    <w:multiLevelType w:val="hybridMultilevel"/>
    <w:lvl w:ilvl="0">
      <w:lvlJc w:val="left"/>
      <w:lvlText w:val="(%1)"/>
      <w:numFmt w:val="lowerLetter"/>
      <w:start w:val="32"/>
    </w:lvl>
  </w:abstractNum>
  <w:abstractNum w:abstractNumId="43">
    <w:nsid w:val="38437FDB"/>
    <w:multiLevelType w:val="hybridMultilevel"/>
    <w:lvl w:ilvl="0">
      <w:lvlJc w:val="left"/>
      <w:lvlText w:val="(%1)"/>
      <w:numFmt w:val="lowerLetter"/>
      <w:start w:val="40"/>
    </w:lvl>
  </w:abstractNum>
  <w:abstractNum w:abstractNumId="44">
    <w:nsid w:val="7644A45C"/>
    <w:multiLevelType w:val="hybridMultilevel"/>
    <w:lvl w:ilvl="0">
      <w:lvlJc w:val="left"/>
      <w:lvlText w:val="(%1)"/>
      <w:numFmt w:val="lowerLetter"/>
      <w:start w:val="42"/>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1)"/>
      <w:numFmt w:val="lowerLetter"/>
      <w:start w:val="2"/>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jpe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jpe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jpeg"/><Relationship Id="rId176" Type="http://schemas.openxmlformats.org/officeDocument/2006/relationships/image" Target="media/image153.jpe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jpeg"/><Relationship Id="rId181" Type="http://schemas.openxmlformats.org/officeDocument/2006/relationships/image" Target="media/image158.jpe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56" Type="http://schemas.openxmlformats.org/officeDocument/2006/relationships/hyperlink" Target="http://www.sec.gov/ix?doc=/Archives/edgar/data/1392380/000139238023000013/gevo-20221231.htm" TargetMode="External"/><Relationship Id="rId57" Type="http://schemas.openxmlformats.org/officeDocument/2006/relationships/hyperlink" Target="https://www.sec.gov/ix?doc=/Archives/edgar/data/0001392380/000139238023000099/gevo-20230930x10q.htm" TargetMode="External"/><Relationship Id="rId58" Type="http://schemas.openxmlformats.org/officeDocument/2006/relationships/hyperlink" Target="https://www.sec.gov/ix?doc=/Archives/edgar/data/0001392380/000139238023000022/noticker-20230419.htm" TargetMode="External"/><Relationship Id="rId59" Type="http://schemas.openxmlformats.org/officeDocument/2006/relationships/hyperlink" Target="https://www.sec.gov/ix?doc=/Archives/edgar/data/0001392380/000139238023000029/noticker-20230505.htm" TargetMode="External"/><Relationship Id="rId60" Type="http://schemas.openxmlformats.org/officeDocument/2006/relationships/hyperlink" Target="https://www.sec.gov/ix?doc=/Archives/edgar/data/0001392380/000139238023000034/noticker-20230522.htm" TargetMode="External"/><Relationship Id="rId61" Type="http://schemas.openxmlformats.org/officeDocument/2006/relationships/hyperlink" Target="https://www.sec.gov/ix?doc=/Archives/edgar/data/0001392380/000110465923099833/tm2325867d1_8k.htm" TargetMode="External"/><Relationship Id="rId62" Type="http://schemas.openxmlformats.org/officeDocument/2006/relationships/hyperlink" Target="https://www.sec.gov/ix?doc=/Archives/edgar/data/0001392380/000110465923109508/tm2328187d1_8k.htm" TargetMode="External"/><Relationship Id="rId63" Type="http://schemas.openxmlformats.org/officeDocument/2006/relationships/hyperlink" Target="https://www.sec.gov/ix?doc=/Archives/edgar/data/0001392380/000110465923125725/tm2332735d1_8k.htm" TargetMode="External"/><Relationship Id="rId64" Type="http://schemas.openxmlformats.org/officeDocument/2006/relationships/hyperlink" Target="https://www.sec.gov/ix?doc=/Archives/edgar/data/0001392380/000110465924000824/tm2333985d1_8k.htm" TargetMode="External"/><Relationship Id="rId65" Type="http://schemas.openxmlformats.org/officeDocument/2006/relationships/hyperlink" Target="http://www.sec.gov/Archives/edgar/data/1392380/000119312511024122/d8a12b.htm" TargetMode="External"/><Relationship Id="rId66" Type="http://schemas.openxmlformats.org/officeDocument/2006/relationships/hyperlink" Target="http://www.sec.gov/Archives/edgar/data/1392380/000143774922004346/ex_337696.htm" TargetMode="External"/><Relationship Id="rId111" Type="http://schemas.openxmlformats.org/officeDocument/2006/relationships/hyperlink" Target="https://www.sec.gov/Archives/edgar/data/1392380/000143774922004346/ex_337695.htm" TargetMode="External"/><Relationship Id="rId112" Type="http://schemas.openxmlformats.org/officeDocument/2006/relationships/hyperlink" Target="https://www.sec.gov/Archives/edgar/data/0001392380/000143774921027382/ex_310252.htm" TargetMode="External"/><Relationship Id="rId113" Type="http://schemas.openxmlformats.org/officeDocument/2006/relationships/hyperlink" Target="http://www.sec.gov/Archives/edgar/data/1392380/000119312511009935/dex41.htm" TargetMode="External"/><Relationship Id="rId114" Type="http://schemas.openxmlformats.org/officeDocument/2006/relationships/hyperlink" Target="http://www.sec.gov/Archives/edgar/data/1392380/000143774918014949/ex_120869.htm" TargetMode="External"/><Relationship Id="rId115" Type="http://schemas.openxmlformats.org/officeDocument/2006/relationships/hyperlink" Target="http://www.sec.gov/Archives/edgar/data/1392380/000143774918014949/ex_12087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2024-01-16T08:18:27Z</dcterms:created>
  <dcterms:modified xsi:type="dcterms:W3CDTF">2024-01-16T08:18:27Z</dcterms:modified>
</cp:coreProperties>
</file>