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Gevo,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3000" w:type="dxa"/>
            <w:vAlign w:val="bottom"/>
          </w:tcPr>
          <w:p>
            <w:pPr>
              <w:jc w:val="center"/>
              <w:ind w:right="1242"/>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ind w:left="1320"/>
              <w:spacing w:after="0"/>
              <w:rPr>
                <w:sz w:val="20"/>
                <w:szCs w:val="20"/>
                <w:color w:val="auto"/>
              </w:rPr>
            </w:pPr>
            <w:r>
              <w:rPr>
                <w:rFonts w:ascii="Arial" w:cs="Arial" w:eastAsia="Arial" w:hAnsi="Arial"/>
                <w:sz w:val="18"/>
                <w:szCs w:val="18"/>
                <w:b w:val="1"/>
                <w:bCs w:val="1"/>
                <w:color w:val="auto"/>
              </w:rPr>
              <w:t>001-35073</w:t>
            </w:r>
          </w:p>
        </w:tc>
        <w:tc>
          <w:tcPr>
            <w:tcW w:w="2760" w:type="dxa"/>
            <w:vAlign w:val="bottom"/>
          </w:tcPr>
          <w:p>
            <w:pPr>
              <w:jc w:val="center"/>
              <w:ind w:left="1242"/>
              <w:spacing w:after="0"/>
              <w:rPr>
                <w:sz w:val="20"/>
                <w:szCs w:val="20"/>
                <w:color w:val="auto"/>
              </w:rPr>
            </w:pPr>
            <w:r>
              <w:rPr>
                <w:rFonts w:ascii="Arial" w:cs="Arial" w:eastAsia="Arial" w:hAnsi="Arial"/>
                <w:sz w:val="18"/>
                <w:szCs w:val="18"/>
                <w:b w:val="1"/>
                <w:bCs w:val="1"/>
                <w:color w:val="auto"/>
                <w:w w:val="91"/>
              </w:rPr>
              <w:t>87-0747704</w:t>
            </w:r>
          </w:p>
        </w:tc>
      </w:tr>
      <w:tr>
        <w:trPr>
          <w:trHeight w:val="149"/>
        </w:trPr>
        <w:tc>
          <w:tcPr>
            <w:tcW w:w="3000" w:type="dxa"/>
            <w:vAlign w:val="bottom"/>
          </w:tcPr>
          <w:p>
            <w:pPr>
              <w:jc w:val="center"/>
              <w:ind w:right="12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40" w:type="dxa"/>
            <w:vAlign w:val="bottom"/>
          </w:tcPr>
          <w:p>
            <w:pPr>
              <w:ind w:left="1320"/>
              <w:spacing w:after="0" w:line="149" w:lineRule="exact"/>
              <w:rPr>
                <w:sz w:val="20"/>
                <w:szCs w:val="20"/>
                <w:color w:val="auto"/>
              </w:rPr>
            </w:pPr>
            <w:r>
              <w:rPr>
                <w:rFonts w:ascii="Arial" w:cs="Arial" w:eastAsia="Arial" w:hAnsi="Arial"/>
                <w:sz w:val="14"/>
                <w:szCs w:val="14"/>
                <w:b w:val="1"/>
                <w:bCs w:val="1"/>
                <w:color w:val="auto"/>
              </w:rPr>
              <w:t>(Commission</w:t>
            </w:r>
          </w:p>
        </w:tc>
        <w:tc>
          <w:tcPr>
            <w:tcW w:w="27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00" w:type="dxa"/>
            <w:vAlign w:val="bottom"/>
          </w:tcPr>
          <w:p>
            <w:pPr>
              <w:jc w:val="center"/>
              <w:ind w:right="1222"/>
              <w:spacing w:after="0"/>
              <w:rPr>
                <w:sz w:val="20"/>
                <w:szCs w:val="20"/>
                <w:color w:val="auto"/>
              </w:rPr>
            </w:pPr>
            <w:r>
              <w:rPr>
                <w:rFonts w:ascii="Arial" w:cs="Arial" w:eastAsia="Arial" w:hAnsi="Arial"/>
                <w:sz w:val="14"/>
                <w:szCs w:val="14"/>
                <w:b w:val="1"/>
                <w:bCs w:val="1"/>
                <w:color w:val="auto"/>
                <w:w w:val="94"/>
              </w:rPr>
              <w:t>of Incorporation)</w:t>
            </w:r>
          </w:p>
        </w:tc>
        <w:tc>
          <w:tcPr>
            <w:tcW w:w="3440" w:type="dxa"/>
            <w:vAlign w:val="bottom"/>
          </w:tcPr>
          <w:p>
            <w:pPr>
              <w:ind w:left="1300"/>
              <w:spacing w:after="0"/>
              <w:rPr>
                <w:sz w:val="20"/>
                <w:szCs w:val="20"/>
                <w:color w:val="auto"/>
              </w:rPr>
            </w:pPr>
            <w:r>
              <w:rPr>
                <w:rFonts w:ascii="Arial" w:cs="Arial" w:eastAsia="Arial" w:hAnsi="Arial"/>
                <w:sz w:val="14"/>
                <w:szCs w:val="14"/>
                <w:b w:val="1"/>
                <w:bCs w:val="1"/>
                <w:color w:val="auto"/>
              </w:rPr>
              <w:t>File Number)</w:t>
            </w:r>
          </w:p>
        </w:tc>
        <w:tc>
          <w:tcPr>
            <w:tcW w:w="27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345 Inverness Drive South, Building C, Suite 310, Englewood, CO 80112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(303) 858-8358</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159385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791210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35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On July 26, 2016, The NASDAQ Stock Market (“NASDAQ”) granted Gevo, Inc. (the “Company”) an additional 180 calendar days, or until January 23, 2017, to regain compliance with the $1.00 per share minimum required for continued listing on The NASDAQ Capital Market pursuant to NASDAQ Marketplace Rule 5550(a)(2) (the “Minimum Bid Price Rule”).</w:t>
      </w:r>
    </w:p>
    <w:p>
      <w:pPr>
        <w:spacing w:after="0" w:line="18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As previously reported, on January 25, 2016, the Company received a notification letter (the “Notice”) from NASDAQ advising the Company that for 30 consecutive trading days preceding the date of the Notice, the bid price of the Company’s common stock had closed below the $1.00 per share minimum required for continued listing on The NASDAQ Capital Market pursuant to the Minimum Bid Price Rule. The Company was provided 180 calendar days, or until July 25, 2016, to regain compliance with the Minimum Bid Price Rule. The Company was unable to regain compliance with the Minimum Bid Price Rule by July 25, 2016. The NASDAQ determination to grant the second compliance period was based on the Company meeting the continued listing requirement for market value of publicly held shares and all other applicable requirements for initial listing on The NASDAQ Capital Market, with the exception of the bid price requirement, and the Company’s written notice of its intention to cure the deficiency during the second compliance period by effecting a reverse stock split, if necessary.</w:t>
      </w:r>
    </w:p>
    <w:p>
      <w:pPr>
        <w:spacing w:after="0" w:line="19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To regain compliance, the bid price of the Company’s common stock must close at or above $1.00 per share for a minimum of ten consecutive business days at any time during the second 180-day compliance period. The Company intends to monitor the closing bid price of its common stock and may, if appropriate, consider implementing available options, including submitting a reverse stock split for approval by the Company’s stockholders. If a reverse stock split is approved by the stockholders of the Company, the Company’s Board of Directors will consider whether a reverse stock split is necessary and would facilitate the Company regaining compliance with the Minimum Bid Price Rule by January 23, 2017. There can be no assurance that the Company will be able to regain compliance with the Minimum Bid Price Rule or maintain compliance with the other listing requirements necessary for the Company to maintain the listing of its common stock on The NASDAQ Capital Market.</w:t>
      </w:r>
    </w:p>
    <w:p>
      <w:pPr>
        <w:spacing w:after="0" w:line="17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Notice has no effect on the listing of the Company’s common stock at this time and the Company’s common stock will continue to trade on The NASDAQ Capital Market under the symbol “GEVO.”</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Except for the factual statements made herein, information contained in this report consists of forward-looking statements within the meaning of the Private Securities Litigation Reform Act of 1995 that involve risks, uncertainties and assumptions that are difficult to predict. Words such as “will,” “believes,” “intends,” “expects,” “plans,” and similar expressions, or the use of future tense, identify forward-looking statements, but their absence does not mean that a statement is not forward-looking. Such forward-looking statements are not guarantees of performance and actual actions or events could differ materially from those contained in such statements. For example, there can be no assurance that the Company will meet the bid price requirement during any compliance period or in the future, or otherwise meet Nasdaq compliance standards, or that Nasdaq will grant the Company any relief from delisting as necessary or that the Company can ultimately meet applicable Nasdaq requirements for any such relief. The forward-looking statements contained in this report speak only as of the date of this report and the Company undertakes no obligation to publicly update any forward-looking statements to reflect changes in information, events or circumstances after the date of this report, unless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80" w:firstLine="76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200" w:type="dxa"/>
            <w:vAlign w:val="bottom"/>
            <w:gridSpan w:val="2"/>
          </w:tcPr>
          <w:p>
            <w:pPr>
              <w:ind w:left="1720"/>
              <w:spacing w:after="0"/>
              <w:rPr>
                <w:sz w:val="20"/>
                <w:szCs w:val="20"/>
                <w:color w:val="auto"/>
              </w:rPr>
            </w:pPr>
            <w:r>
              <w:rPr>
                <w:rFonts w:ascii="Arial" w:cs="Arial" w:eastAsia="Arial" w:hAnsi="Arial"/>
                <w:sz w:val="18"/>
                <w:szCs w:val="18"/>
                <w:b w:val="1"/>
                <w:bCs w:val="1"/>
                <w:color w:val="auto"/>
              </w:rPr>
              <w:t>GEVO, INC.</w:t>
            </w:r>
          </w:p>
        </w:tc>
      </w:tr>
      <w:tr>
        <w:trPr>
          <w:trHeight w:val="446"/>
        </w:trPr>
        <w:tc>
          <w:tcPr>
            <w:tcW w:w="3220" w:type="dxa"/>
            <w:vAlign w:val="bottom"/>
          </w:tcPr>
          <w:p>
            <w:pPr>
              <w:spacing w:after="0"/>
              <w:rPr>
                <w:sz w:val="20"/>
                <w:szCs w:val="20"/>
                <w:color w:val="auto"/>
              </w:rPr>
            </w:pPr>
            <w:r>
              <w:rPr>
                <w:rFonts w:ascii="Arial" w:cs="Arial" w:eastAsia="Arial" w:hAnsi="Arial"/>
                <w:sz w:val="18"/>
                <w:szCs w:val="18"/>
                <w:color w:val="auto"/>
              </w:rPr>
              <w:t>Dated: July 26, 2016</w:t>
            </w:r>
          </w:p>
        </w:tc>
        <w:tc>
          <w:tcPr>
            <w:tcW w:w="8200" w:type="dxa"/>
            <w:vAlign w:val="bottom"/>
            <w:gridSpan w:val="2"/>
          </w:tcPr>
          <w:p>
            <w:pPr>
              <w:ind w:left="1720"/>
              <w:spacing w:after="0"/>
              <w:rPr>
                <w:sz w:val="20"/>
                <w:szCs w:val="20"/>
                <w:color w:val="auto"/>
              </w:rPr>
            </w:pPr>
            <w:r>
              <w:rPr>
                <w:rFonts w:ascii="Arial" w:cs="Arial" w:eastAsia="Arial" w:hAnsi="Arial"/>
                <w:sz w:val="18"/>
                <w:szCs w:val="18"/>
                <w:color w:val="auto"/>
              </w:rPr>
              <w:t>By:  /s/ Geoffrey T. Williams, Jr.</w:t>
            </w:r>
          </w:p>
        </w:tc>
      </w:tr>
      <w:tr>
        <w:trPr>
          <w:trHeight w:val="195"/>
        </w:trPr>
        <w:tc>
          <w:tcPr>
            <w:tcW w:w="3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Geoffrey T. Williams, Jr.</w:t>
            </w:r>
          </w:p>
        </w:tc>
      </w:tr>
      <w:tr>
        <w:trPr>
          <w:trHeight w:val="230"/>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i w:val="1"/>
                <w:iCs w:val="1"/>
                <w:color w:val="auto"/>
              </w:rPr>
              <w:t>General Counsel and Secretary</w:t>
            </w:r>
          </w:p>
        </w:tc>
      </w:tr>
      <w:tr>
        <w:trPr>
          <w:trHeight w:val="662"/>
        </w:trPr>
        <w:tc>
          <w:tcPr>
            <w:tcW w:w="3220" w:type="dxa"/>
            <w:vAlign w:val="bottom"/>
          </w:tcPr>
          <w:p>
            <w:pPr>
              <w:spacing w:after="0"/>
              <w:rPr>
                <w:sz w:val="24"/>
                <w:szCs w:val="24"/>
                <w:color w:val="auto"/>
              </w:rPr>
            </w:pPr>
          </w:p>
        </w:tc>
        <w:tc>
          <w:tcPr>
            <w:tcW w:w="8200" w:type="dxa"/>
            <w:vAlign w:val="bottom"/>
            <w:gridSpan w:val="2"/>
          </w:tcPr>
          <w:p>
            <w:pPr>
              <w:jc w:val="right"/>
              <w:ind w:right="557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2019-12-08T14:13:13Z</dcterms:created>
  <dcterms:modified xsi:type="dcterms:W3CDTF">2019-12-08T14:13:13Z</dcterms:modified>
</cp:coreProperties>
</file>