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7754.xml.htm"/>
      <w:bookmarkStart w:id="1" w:name="kswkform4_17861377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Gruber Patrick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880"/>
        <w:gridCol w:w="1250"/>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247,642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1.5095</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3,323,788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25,737.7</w:t>
            </w:r>
            <w:r>
              <w:rPr>
                <w:rFonts w:ascii="Times;serif" w:hAnsi="Times;serif"/>
                <w:color w:val="008000"/>
                <w:position w:val="7"/>
                <w:sz w:val="16"/>
                <w:sz w:val="20"/>
                <w:shd w:fill="FFFFFF" w:val="clear"/>
              </w:rPr>
              <w:t>(3)</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sales were effected pursuant to a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$1.41 to $1.57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June 12, 2026 and August 6, 2026, the reporting person disposed of 20.24 shares of the issuer's common stock under the issuer's 401(k) plan to cover administrative fees. The information in this report is based on a plan statement dated August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1369"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3834</Characters>
  <CharactersWithSpaces>4476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