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196850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ind w:left="3900" w:right="1720" w:hanging="3893"/>
        <w:spacing w:after="0" w:line="495" w:lineRule="auto"/>
        <w:tabs>
          <w:tab w:leader="none" w:pos="48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jc w:val="center"/>
        <w:spacing w:after="0"/>
        <w:rPr>
          <w:sz w:val="20"/>
          <w:szCs w:val="20"/>
          <w:color w:val="auto"/>
        </w:rPr>
      </w:pPr>
      <w:r>
        <w:rPr>
          <w:rFonts w:ascii="Arial" w:cs="Arial" w:eastAsia="Arial" w:hAnsi="Arial"/>
          <w:sz w:val="18"/>
          <w:szCs w:val="18"/>
          <w:b w:val="1"/>
          <w:bCs w:val="1"/>
          <w:color w:val="auto"/>
        </w:rPr>
        <w:t>or</w:t>
      </w:r>
    </w:p>
    <w:p>
      <w:pPr>
        <w:spacing w:after="0" w:line="20" w:lineRule="exact"/>
        <w:rPr>
          <w:sz w:val="24"/>
          <w:szCs w:val="24"/>
          <w:color w:val="auto"/>
        </w:rPr>
      </w:pPr>
    </w:p>
    <w:p>
      <w:pPr>
        <w:ind w:left="2920" w:right="1280" w:hanging="2913"/>
        <w:spacing w:after="0" w:line="487" w:lineRule="auto"/>
        <w:tabs>
          <w:tab w:leader="none" w:pos="49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AND EXCHANGE ACT OF 1934 For the transition period from ________________ to ________________</w:t>
      </w: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GEVO,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40" w:type="dxa"/>
            <w:vAlign w:val="bottom"/>
            <w:gridSpan w:val="2"/>
          </w:tcPr>
          <w:p>
            <w:pPr>
              <w:jc w:val="center"/>
              <w:ind w:right="831"/>
              <w:spacing w:after="0"/>
              <w:rPr>
                <w:sz w:val="20"/>
                <w:szCs w:val="20"/>
                <w:color w:val="auto"/>
              </w:rPr>
            </w:pPr>
            <w:r>
              <w:rPr>
                <w:rFonts w:ascii="Arial" w:cs="Arial" w:eastAsia="Arial" w:hAnsi="Arial"/>
                <w:sz w:val="18"/>
                <w:szCs w:val="18"/>
                <w:b w:val="1"/>
                <w:bCs w:val="1"/>
                <w:color w:val="auto"/>
                <w:w w:val="91"/>
              </w:rPr>
              <w:t>Delaware</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gridSpan w:val="2"/>
          </w:tcPr>
          <w:p>
            <w:pPr>
              <w:jc w:val="right"/>
              <w:ind w:right="1851"/>
              <w:spacing w:after="0"/>
              <w:rPr>
                <w:sz w:val="20"/>
                <w:szCs w:val="20"/>
                <w:color w:val="auto"/>
              </w:rPr>
            </w:pPr>
            <w:r>
              <w:rPr>
                <w:rFonts w:ascii="Arial" w:cs="Arial" w:eastAsia="Arial" w:hAnsi="Arial"/>
                <w:sz w:val="18"/>
                <w:szCs w:val="18"/>
                <w:b w:val="1"/>
                <w:bCs w:val="1"/>
                <w:color w:val="auto"/>
              </w:rPr>
              <w:t>87-0747704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440" w:type="dxa"/>
            <w:vAlign w:val="bottom"/>
            <w:gridSpan w:val="3"/>
          </w:tcPr>
          <w:p>
            <w:pPr>
              <w:jc w:val="center"/>
              <w:ind w:left="411"/>
              <w:spacing w:after="0"/>
              <w:rPr>
                <w:sz w:val="20"/>
                <w:szCs w:val="20"/>
                <w:color w:val="auto"/>
              </w:rPr>
            </w:pPr>
            <w:r>
              <w:rPr>
                <w:rFonts w:ascii="Arial" w:cs="Arial" w:eastAsia="Arial" w:hAnsi="Arial"/>
                <w:sz w:val="18"/>
                <w:szCs w:val="18"/>
                <w:b w:val="1"/>
                <w:bCs w:val="1"/>
                <w:color w:val="auto"/>
                <w:w w:val="89"/>
              </w:rPr>
              <w:t>(State or other jurisdiction of</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92"/>
              </w:rPr>
              <w:t>(I.R.S. Employer</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440" w:type="dxa"/>
            <w:vAlign w:val="bottom"/>
            <w:gridSpan w:val="3"/>
          </w:tcPr>
          <w:p>
            <w:pPr>
              <w:jc w:val="center"/>
              <w:ind w:left="391"/>
              <w:spacing w:after="0"/>
              <w:rPr>
                <w:sz w:val="20"/>
                <w:szCs w:val="20"/>
                <w:color w:val="auto"/>
              </w:rPr>
            </w:pPr>
            <w:r>
              <w:rPr>
                <w:rFonts w:ascii="Arial" w:cs="Arial" w:eastAsia="Arial" w:hAnsi="Arial"/>
                <w:sz w:val="18"/>
                <w:szCs w:val="18"/>
                <w:b w:val="1"/>
                <w:bCs w:val="1"/>
                <w:color w:val="auto"/>
                <w:w w:val="90"/>
              </w:rPr>
              <w:t>incorporation or organization)</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6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90"/>
              </w:rPr>
              <w:t>Identification No.)</w:t>
            </w:r>
          </w:p>
        </w:tc>
        <w:tc>
          <w:tcPr>
            <w:tcW w:w="0" w:type="dxa"/>
            <w:vAlign w:val="bottom"/>
          </w:tcPr>
          <w:p>
            <w:pPr>
              <w:spacing w:after="0"/>
              <w:rPr>
                <w:sz w:val="1"/>
                <w:szCs w:val="1"/>
                <w:color w:val="auto"/>
              </w:rPr>
            </w:pPr>
          </w:p>
        </w:tc>
      </w:tr>
      <w:tr>
        <w:trPr>
          <w:trHeight w:val="837"/>
        </w:trPr>
        <w:tc>
          <w:tcPr>
            <w:tcW w:w="300" w:type="dxa"/>
            <w:vAlign w:val="bottom"/>
          </w:tcPr>
          <w:p>
            <w:pPr>
              <w:spacing w:after="0"/>
              <w:rPr>
                <w:sz w:val="24"/>
                <w:szCs w:val="24"/>
                <w:color w:val="auto"/>
              </w:rPr>
            </w:pPr>
          </w:p>
        </w:tc>
        <w:tc>
          <w:tcPr>
            <w:tcW w:w="4440" w:type="dxa"/>
            <w:vAlign w:val="bottom"/>
            <w:gridSpan w:val="3"/>
          </w:tcPr>
          <w:p>
            <w:pPr>
              <w:jc w:val="center"/>
              <w:ind w:left="411"/>
              <w:spacing w:after="0"/>
              <w:rPr>
                <w:sz w:val="20"/>
                <w:szCs w:val="20"/>
                <w:color w:val="auto"/>
              </w:rPr>
            </w:pPr>
            <w:r>
              <w:rPr>
                <w:rFonts w:ascii="Arial" w:cs="Arial" w:eastAsia="Arial" w:hAnsi="Arial"/>
                <w:sz w:val="18"/>
                <w:szCs w:val="18"/>
                <w:b w:val="1"/>
                <w:bCs w:val="1"/>
                <w:color w:val="auto"/>
                <w:w w:val="89"/>
              </w:rPr>
              <w:t>345 Inverness Drive South, Building C, Suite 310</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40" w:type="dxa"/>
            <w:vAlign w:val="bottom"/>
            <w:gridSpan w:val="2"/>
          </w:tcPr>
          <w:p>
            <w:pPr>
              <w:jc w:val="center"/>
              <w:ind w:right="831"/>
              <w:spacing w:after="0"/>
              <w:rPr>
                <w:sz w:val="20"/>
                <w:szCs w:val="20"/>
                <w:color w:val="auto"/>
              </w:rPr>
            </w:pPr>
            <w:r>
              <w:rPr>
                <w:rFonts w:ascii="Arial" w:cs="Arial" w:eastAsia="Arial" w:hAnsi="Arial"/>
                <w:sz w:val="18"/>
                <w:szCs w:val="18"/>
                <w:b w:val="1"/>
                <w:bCs w:val="1"/>
                <w:color w:val="auto"/>
                <w:w w:val="90"/>
              </w:rPr>
              <w:t>Englewood, CO</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gridSpan w:val="2"/>
          </w:tcPr>
          <w:p>
            <w:pPr>
              <w:jc w:val="right"/>
              <w:ind w:right="2051"/>
              <w:spacing w:after="0"/>
              <w:rPr>
                <w:sz w:val="20"/>
                <w:szCs w:val="20"/>
                <w:color w:val="auto"/>
              </w:rPr>
            </w:pPr>
            <w:r>
              <w:rPr>
                <w:rFonts w:ascii="Arial" w:cs="Arial" w:eastAsia="Arial" w:hAnsi="Arial"/>
                <w:sz w:val="18"/>
                <w:szCs w:val="18"/>
                <w:b w:val="1"/>
                <w:bCs w:val="1"/>
                <w:color w:val="auto"/>
              </w:rPr>
              <w:t>80112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440" w:type="dxa"/>
            <w:vAlign w:val="bottom"/>
            <w:gridSpan w:val="3"/>
          </w:tcPr>
          <w:p>
            <w:pPr>
              <w:jc w:val="center"/>
              <w:ind w:left="411"/>
              <w:spacing w:after="0"/>
              <w:rPr>
                <w:sz w:val="20"/>
                <w:szCs w:val="20"/>
                <w:color w:val="auto"/>
              </w:rPr>
            </w:pPr>
            <w:r>
              <w:rPr>
                <w:rFonts w:ascii="Arial" w:cs="Arial" w:eastAsia="Arial" w:hAnsi="Arial"/>
                <w:sz w:val="18"/>
                <w:szCs w:val="18"/>
                <w:b w:val="1"/>
                <w:bCs w:val="1"/>
                <w:color w:val="auto"/>
                <w:w w:val="87"/>
              </w:rPr>
              <w:t>(Address of principal executive offices)</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60" w:type="dxa"/>
            <w:vAlign w:val="bottom"/>
            <w:gridSpan w:val="3"/>
          </w:tcPr>
          <w:p>
            <w:pPr>
              <w:jc w:val="center"/>
              <w:ind w:right="1640"/>
              <w:spacing w:after="0"/>
              <w:rPr>
                <w:sz w:val="20"/>
                <w:szCs w:val="20"/>
                <w:color w:val="auto"/>
              </w:rPr>
            </w:pPr>
            <w:r>
              <w:rPr>
                <w:rFonts w:ascii="Arial" w:cs="Arial" w:eastAsia="Arial" w:hAnsi="Arial"/>
                <w:sz w:val="18"/>
                <w:szCs w:val="18"/>
                <w:b w:val="1"/>
                <w:bCs w:val="1"/>
                <w:color w:val="auto"/>
                <w:w w:val="92"/>
              </w:rPr>
              <w:t>(Zip Code)</w:t>
            </w:r>
          </w:p>
        </w:tc>
        <w:tc>
          <w:tcPr>
            <w:tcW w:w="0" w:type="dxa"/>
            <w:vAlign w:val="bottom"/>
          </w:tcPr>
          <w:p>
            <w:pPr>
              <w:spacing w:after="0"/>
              <w:rPr>
                <w:sz w:val="1"/>
                <w:szCs w:val="1"/>
                <w:color w:val="auto"/>
              </w:rPr>
            </w:pPr>
          </w:p>
        </w:tc>
      </w:tr>
      <w:tr>
        <w:trPr>
          <w:trHeight w:val="410"/>
        </w:trPr>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gridSpan w:val="2"/>
          </w:tcPr>
          <w:p>
            <w:pPr>
              <w:jc w:val="center"/>
              <w:ind w:left="31"/>
              <w:spacing w:after="0"/>
              <w:rPr>
                <w:sz w:val="20"/>
                <w:szCs w:val="20"/>
                <w:color w:val="auto"/>
              </w:rPr>
            </w:pPr>
            <w:r>
              <w:rPr>
                <w:rFonts w:ascii="Arial" w:cs="Arial" w:eastAsia="Arial" w:hAnsi="Arial"/>
                <w:sz w:val="18"/>
                <w:szCs w:val="18"/>
                <w:b w:val="1"/>
                <w:bCs w:val="1"/>
                <w:color w:val="auto"/>
                <w:w w:val="90"/>
              </w:rPr>
              <w:t>(303) 858-8358</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80" w:type="dxa"/>
            <w:vAlign w:val="bottom"/>
            <w:gridSpan w:val="4"/>
          </w:tcPr>
          <w:p>
            <w:pPr>
              <w:jc w:val="center"/>
              <w:ind w:left="931"/>
              <w:spacing w:after="0"/>
              <w:rPr>
                <w:sz w:val="20"/>
                <w:szCs w:val="20"/>
                <w:color w:val="auto"/>
              </w:rPr>
            </w:pPr>
            <w:r>
              <w:rPr>
                <w:rFonts w:ascii="Arial" w:cs="Arial" w:eastAsia="Arial" w:hAnsi="Arial"/>
                <w:sz w:val="18"/>
                <w:szCs w:val="18"/>
                <w:b w:val="1"/>
                <w:bCs w:val="1"/>
                <w:color w:val="auto"/>
                <w:w w:val="88"/>
              </w:rPr>
              <w:t>(Registrant's telephone number,</w:t>
            </w:r>
          </w:p>
        </w:tc>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6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including area code)</w:t>
            </w:r>
          </w:p>
        </w:tc>
        <w:tc>
          <w:tcPr>
            <w:tcW w:w="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300" w:type="dxa"/>
            <w:vAlign w:val="bottom"/>
          </w:tcPr>
          <w:p>
            <w:pPr>
              <w:spacing w:after="0"/>
              <w:rPr>
                <w:sz w:val="24"/>
                <w:szCs w:val="24"/>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4440" w:type="dxa"/>
            <w:vAlign w:val="bottom"/>
            <w:gridSpan w:val="3"/>
          </w:tcPr>
          <w:p>
            <w:pPr>
              <w:jc w:val="center"/>
              <w:ind w:right="131"/>
              <w:spacing w:after="0" w:line="192" w:lineRule="exact"/>
              <w:rPr>
                <w:sz w:val="20"/>
                <w:szCs w:val="20"/>
                <w:color w:val="auto"/>
              </w:rPr>
            </w:pPr>
            <w:r>
              <w:rPr>
                <w:rFonts w:ascii="Arial" w:cs="Arial" w:eastAsia="Arial" w:hAnsi="Arial"/>
                <w:sz w:val="18"/>
                <w:szCs w:val="18"/>
                <w:b w:val="1"/>
                <w:bCs w:val="1"/>
                <w:color w:val="auto"/>
                <w:w w:val="88"/>
              </w:rPr>
              <w:t>Title of Each Class</w:t>
            </w:r>
          </w:p>
        </w:tc>
        <w:tc>
          <w:tcPr>
            <w:tcW w:w="420" w:type="dxa"/>
            <w:vAlign w:val="bottom"/>
          </w:tcPr>
          <w:p>
            <w:pPr>
              <w:spacing w:after="0"/>
              <w:rPr>
                <w:sz w:val="16"/>
                <w:szCs w:val="16"/>
                <w:color w:val="auto"/>
              </w:rPr>
            </w:pPr>
          </w:p>
        </w:tc>
        <w:tc>
          <w:tcPr>
            <w:tcW w:w="1940" w:type="dxa"/>
            <w:vAlign w:val="bottom"/>
            <w:gridSpan w:val="2"/>
          </w:tcPr>
          <w:p>
            <w:pPr>
              <w:jc w:val="center"/>
              <w:ind w:right="720"/>
              <w:spacing w:after="0" w:line="192" w:lineRule="exact"/>
              <w:rPr>
                <w:sz w:val="20"/>
                <w:szCs w:val="20"/>
                <w:color w:val="auto"/>
              </w:rPr>
            </w:pPr>
            <w:r>
              <w:rPr>
                <w:rFonts w:ascii="Arial" w:cs="Arial" w:eastAsia="Arial" w:hAnsi="Arial"/>
                <w:sz w:val="18"/>
                <w:szCs w:val="18"/>
                <w:b w:val="1"/>
                <w:bCs w:val="1"/>
                <w:color w:val="auto"/>
                <w:w w:val="89"/>
              </w:rPr>
              <w:t>Trading Symbol</w:t>
            </w:r>
          </w:p>
        </w:tc>
        <w:tc>
          <w:tcPr>
            <w:tcW w:w="4140" w:type="dxa"/>
            <w:vAlign w:val="bottom"/>
            <w:gridSpan w:val="4"/>
          </w:tcPr>
          <w:p>
            <w:pPr>
              <w:jc w:val="center"/>
              <w:ind w:right="100"/>
              <w:spacing w:after="0" w:line="192" w:lineRule="exact"/>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17"/>
                <w:szCs w:val="17"/>
                <w:color w:val="auto"/>
              </w:rPr>
            </w:pPr>
          </w:p>
        </w:tc>
        <w:tc>
          <w:tcPr>
            <w:tcW w:w="4440" w:type="dxa"/>
            <w:vAlign w:val="bottom"/>
            <w:tcBorders>
              <w:bottom w:val="single" w:sz="8" w:color="auto"/>
            </w:tcBorders>
            <w:gridSpan w:val="3"/>
          </w:tcPr>
          <w:p>
            <w:pPr>
              <w:jc w:val="center"/>
              <w:ind w:right="111"/>
              <w:spacing w:after="0"/>
              <w:rPr>
                <w:sz w:val="20"/>
                <w:szCs w:val="20"/>
                <w:color w:val="auto"/>
              </w:rPr>
            </w:pPr>
            <w:r>
              <w:rPr>
                <w:rFonts w:ascii="Arial" w:cs="Arial" w:eastAsia="Arial" w:hAnsi="Arial"/>
                <w:sz w:val="18"/>
                <w:szCs w:val="18"/>
                <w:color w:val="auto"/>
                <w:w w:val="88"/>
              </w:rPr>
              <w:t>Common Stock, par value $0.01 per share</w:t>
            </w:r>
          </w:p>
        </w:tc>
        <w:tc>
          <w:tcPr>
            <w:tcW w:w="4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center"/>
              <w:ind w:right="720"/>
              <w:spacing w:after="0"/>
              <w:rPr>
                <w:sz w:val="20"/>
                <w:szCs w:val="20"/>
                <w:color w:val="auto"/>
              </w:rPr>
            </w:pPr>
            <w:r>
              <w:rPr>
                <w:rFonts w:ascii="Arial" w:cs="Arial" w:eastAsia="Arial" w:hAnsi="Arial"/>
                <w:sz w:val="18"/>
                <w:szCs w:val="18"/>
                <w:color w:val="auto"/>
                <w:w w:val="96"/>
              </w:rPr>
              <w:t>GEVO</w:t>
            </w:r>
          </w:p>
        </w:tc>
        <w:tc>
          <w:tcPr>
            <w:tcW w:w="28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9"/>
              </w:rPr>
              <w:t>Nasdaq Capital Market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ind w:right="200" w:firstLine="4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ind w:left="140" w:right="220" w:firstLine="3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1" w:lineRule="exact"/>
        <w:rPr>
          <w:sz w:val="24"/>
          <w:szCs w:val="24"/>
          <w:color w:val="auto"/>
        </w:rPr>
      </w:pPr>
    </w:p>
    <w:p>
      <w:pPr>
        <w:ind w:right="80" w:firstLine="48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79"/>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20"/>
              <w:spacing w:after="0"/>
              <w:rPr>
                <w:sz w:val="20"/>
                <w:szCs w:val="20"/>
                <w:color w:val="auto"/>
              </w:rPr>
            </w:pPr>
            <w:r>
              <w:rPr>
                <w:rFonts w:ascii="Arial" w:cs="Arial" w:eastAsia="Arial" w:hAnsi="Arial"/>
                <w:sz w:val="18"/>
                <w:szCs w:val="18"/>
                <w:color w:val="auto"/>
              </w:rPr>
              <w:t>Accelerated filer</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5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20"/>
              <w:spacing w:after="0"/>
              <w:rPr>
                <w:sz w:val="20"/>
                <w:szCs w:val="20"/>
                <w:color w:val="auto"/>
              </w:rPr>
            </w:pPr>
            <w:r>
              <w:rPr>
                <w:rFonts w:ascii="Arial" w:cs="Arial" w:eastAsia="Arial" w:hAnsi="Arial"/>
                <w:sz w:val="18"/>
                <w:szCs w:val="18"/>
                <w:color w:val="auto"/>
              </w:rPr>
              <w:t>Smaller reporting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2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600" w:type="dxa"/>
            <w:vAlign w:val="bottom"/>
          </w:tcPr>
          <w:p>
            <w:pPr>
              <w:ind w:left="1520"/>
              <w:spacing w:after="0"/>
              <w:rPr>
                <w:sz w:val="20"/>
                <w:szCs w:val="20"/>
                <w:color w:val="auto"/>
              </w:rPr>
            </w:pPr>
            <w:r>
              <w:rPr>
                <w:rFonts w:ascii="Arial" w:cs="Arial" w:eastAsia="Arial" w:hAnsi="Arial"/>
                <w:sz w:val="18"/>
                <w:szCs w:val="18"/>
                <w:color w:val="auto"/>
              </w:rPr>
              <w:t>Emerging growth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0" w:lineRule="exact"/>
        <w:rPr>
          <w:sz w:val="24"/>
          <w:szCs w:val="24"/>
          <w:color w:val="auto"/>
        </w:rPr>
      </w:pPr>
    </w:p>
    <w:p>
      <w:pPr>
        <w:ind w:right="160" w:firstLine="48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ind w:left="4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3" w:lineRule="exact"/>
        <w:rPr>
          <w:sz w:val="24"/>
          <w:szCs w:val="24"/>
          <w:color w:val="auto"/>
        </w:rPr>
      </w:pPr>
    </w:p>
    <w:p>
      <w:pPr>
        <w:ind w:left="480"/>
        <w:spacing w:after="0"/>
        <w:rPr>
          <w:sz w:val="20"/>
          <w:szCs w:val="20"/>
          <w:color w:val="auto"/>
        </w:rPr>
      </w:pPr>
      <w:r>
        <w:rPr>
          <w:rFonts w:ascii="Arial" w:cs="Arial" w:eastAsia="Arial" w:hAnsi="Arial"/>
          <w:sz w:val="18"/>
          <w:szCs w:val="18"/>
          <w:color w:val="auto"/>
        </w:rPr>
        <w:t>As of July 31, 2020, 53,836,258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199390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241935</wp:posOffset>
            </wp:positionV>
            <wp:extent cx="713422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25400"/>
                    </a:xfrm>
                    <a:prstGeom prst="rect">
                      <a:avLst/>
                    </a:prstGeom>
                    <a:noFill/>
                  </pic:spPr>
                </pic:pic>
              </a:graphicData>
            </a:graphic>
          </wp:anchor>
        </w:drawing>
      </w:r>
    </w:p>
    <w:p>
      <w:pPr>
        <w:sectPr>
          <w:pgSz w:w="11900" w:h="16838" w:orient="portrait"/>
          <w:cols w:equalWidth="0" w:num="1">
            <w:col w:w="11240"/>
          </w:cols>
          <w:pgMar w:left="320" w:top="686" w:right="339" w:bottom="104"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9380" w:type="dxa"/>
            <w:vAlign w:val="bottom"/>
          </w:tcPr>
          <w:p>
            <w:pPr>
              <w:jc w:val="center"/>
              <w:ind w:left="31"/>
              <w:spacing w:after="0"/>
              <w:rPr>
                <w:sz w:val="20"/>
                <w:szCs w:val="20"/>
                <w:color w:val="auto"/>
              </w:rPr>
            </w:pPr>
            <w:r>
              <w:rPr>
                <w:rFonts w:ascii="Arial" w:cs="Arial" w:eastAsia="Arial" w:hAnsi="Arial"/>
                <w:sz w:val="18"/>
                <w:szCs w:val="18"/>
                <w:b w:val="1"/>
                <w:bCs w:val="1"/>
                <w:color w:val="auto"/>
                <w:w w:val="99"/>
              </w:rPr>
              <w:t>GEVO, INC.</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80" w:type="dxa"/>
            <w:vAlign w:val="bottom"/>
          </w:tcPr>
          <w:p>
            <w:pPr>
              <w:spacing w:after="0"/>
              <w:rPr>
                <w:sz w:val="24"/>
                <w:szCs w:val="24"/>
                <w:color w:val="auto"/>
              </w:rPr>
            </w:pPr>
          </w:p>
        </w:tc>
        <w:tc>
          <w:tcPr>
            <w:tcW w:w="9380" w:type="dxa"/>
            <w:vAlign w:val="bottom"/>
          </w:tcPr>
          <w:p>
            <w:pPr>
              <w:jc w:val="center"/>
              <w:ind w:left="11"/>
              <w:spacing w:after="0"/>
              <w:rPr>
                <w:sz w:val="20"/>
                <w:szCs w:val="20"/>
                <w:color w:val="auto"/>
              </w:rPr>
            </w:pPr>
            <w:r>
              <w:rPr>
                <w:rFonts w:ascii="Arial" w:cs="Arial" w:eastAsia="Arial" w:hAnsi="Arial"/>
                <w:sz w:val="18"/>
                <w:szCs w:val="18"/>
                <w:b w:val="1"/>
                <w:bCs w:val="1"/>
                <w:color w:val="auto"/>
                <w:w w:val="97"/>
              </w:rPr>
              <w:t>FORM 10-Q</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380" w:type="dxa"/>
            <w:vAlign w:val="bottom"/>
          </w:tcPr>
          <w:p>
            <w:pPr>
              <w:jc w:val="center"/>
              <w:ind w:left="31"/>
              <w:spacing w:after="0"/>
              <w:rPr>
                <w:sz w:val="20"/>
                <w:szCs w:val="20"/>
                <w:color w:val="auto"/>
              </w:rPr>
            </w:pPr>
            <w:r>
              <w:rPr>
                <w:rFonts w:ascii="Arial" w:cs="Arial" w:eastAsia="Arial" w:hAnsi="Arial"/>
                <w:sz w:val="18"/>
                <w:szCs w:val="18"/>
                <w:b w:val="1"/>
                <w:bCs w:val="1"/>
                <w:color w:val="auto"/>
                <w:w w:val="97"/>
              </w:rPr>
              <w:t>FOR THE QUARTERLY PERIOD ENDED JUNE 30, 2020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380" w:type="dxa"/>
            <w:vAlign w:val="bottom"/>
          </w:tcPr>
          <w:p>
            <w:pPr>
              <w:jc w:val="center"/>
              <w:ind w:left="31"/>
              <w:spacing w:after="0"/>
              <w:rPr>
                <w:sz w:val="20"/>
                <w:szCs w:val="20"/>
                <w:color w:val="auto"/>
              </w:rPr>
            </w:pPr>
            <w:r>
              <w:rPr>
                <w:rFonts w:ascii="Arial" w:cs="Arial" w:eastAsia="Arial" w:hAnsi="Arial"/>
                <w:sz w:val="18"/>
                <w:szCs w:val="18"/>
                <w:b w:val="1"/>
                <w:bCs w:val="1"/>
                <w:color w:val="auto"/>
                <w:w w:val="97"/>
              </w:rPr>
              <w:t>TABLE OF CONTENTS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9380" w:type="dxa"/>
            <w:vAlign w:val="bottom"/>
            <w:vMerge w:val="restart"/>
          </w:tcPr>
          <w:p>
            <w:pPr>
              <w:jc w:val="center"/>
              <w:ind w:left="11"/>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FINANCIAL INFORMATION</w:t>
              </w:r>
            </w:hyperlink>
          </w:p>
        </w:tc>
        <w:tc>
          <w:tcPr>
            <w:tcW w:w="980" w:type="dxa"/>
            <w:vAlign w:val="bottom"/>
          </w:tcPr>
          <w:p>
            <w:pPr>
              <w:ind w:left="5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3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tcPr>
          <w:p>
            <w:pPr>
              <w:ind w:left="2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380" w:type="dxa"/>
            <w:vAlign w:val="bottom"/>
          </w:tcPr>
          <w:p>
            <w:pPr>
              <w:ind w:left="2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as of June 30, 2020 (unaudited) and December 31, 2019</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380" w:type="dxa"/>
            <w:vAlign w:val="bottom"/>
          </w:tcPr>
          <w:p>
            <w:pPr>
              <w:ind w:left="2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for the three and six months ended June 30, 2020 and 2019 (unaudited)</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380" w:type="dxa"/>
            <w:vAlign w:val="bottom"/>
          </w:tcPr>
          <w:p>
            <w:pPr>
              <w:ind w:left="260"/>
              <w:spacing w:after="0"/>
              <w:rPr>
                <w:rFonts w:ascii="Arial" w:cs="Arial" w:eastAsia="Arial" w:hAnsi="Arial"/>
                <w:sz w:val="18"/>
                <w:szCs w:val="18"/>
                <w:u w:val="single" w:color="auto"/>
                <w:color w:val="0000EE"/>
                <w:w w:val="94"/>
              </w:rPr>
            </w:pPr>
            <w:hyperlink w:anchor="page6">
              <w:r>
                <w:rPr>
                  <w:rFonts w:ascii="Arial" w:cs="Arial" w:eastAsia="Arial" w:hAnsi="Arial"/>
                  <w:sz w:val="18"/>
                  <w:szCs w:val="18"/>
                  <w:u w:val="single" w:color="auto"/>
                  <w:color w:val="0000EE"/>
                  <w:w w:val="94"/>
                </w:rPr>
                <w:t>Consolidated Statements of Stockholders' Equity for the three and six months ended June 30, 2020 and 2019 (unaudited)</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380" w:type="dxa"/>
            <w:vAlign w:val="bottom"/>
          </w:tcPr>
          <w:p>
            <w:pPr>
              <w:ind w:left="2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 for the six months ended June 30, 2020 and 2019 (unaudited)</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26"/>
        </w:trPr>
        <w:tc>
          <w:tcPr>
            <w:tcW w:w="880" w:type="dxa"/>
            <w:vAlign w:val="bottom"/>
          </w:tcPr>
          <w:p>
            <w:pPr>
              <w:spacing w:after="0"/>
              <w:rPr>
                <w:sz w:val="19"/>
                <w:szCs w:val="19"/>
                <w:color w:val="auto"/>
              </w:rPr>
            </w:pPr>
          </w:p>
        </w:tc>
        <w:tc>
          <w:tcPr>
            <w:tcW w:w="9380" w:type="dxa"/>
            <w:vAlign w:val="bottom"/>
          </w:tcPr>
          <w:p>
            <w:pPr>
              <w:ind w:left="2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Consolidated Financial Statements (unaudited)</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tcPr>
          <w:p>
            <w:pPr>
              <w:ind w:left="2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Management’s Discussion and Analysis of Financial Condition and Results of Operations</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31</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tcPr>
          <w:p>
            <w:pPr>
              <w:ind w:left="26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Quantitative and Qualitative Disclosures About Market Risk</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40</w:t>
            </w:r>
          </w:p>
        </w:tc>
        <w:tc>
          <w:tcPr>
            <w:tcW w:w="0" w:type="dxa"/>
            <w:vAlign w:val="bottom"/>
          </w:tcPr>
          <w:p>
            <w:pPr>
              <w:spacing w:after="0"/>
              <w:rPr>
                <w:sz w:val="1"/>
                <w:szCs w:val="1"/>
                <w:color w:val="auto"/>
              </w:rPr>
            </w:pPr>
          </w:p>
        </w:tc>
      </w:tr>
      <w:tr>
        <w:trPr>
          <w:trHeight w:val="226"/>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tcPr>
          <w:p>
            <w:pPr>
              <w:ind w:left="260"/>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Controls and Procedures</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40</w:t>
            </w: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9380" w:type="dxa"/>
            <w:vAlign w:val="bottom"/>
          </w:tcPr>
          <w:p>
            <w:pPr>
              <w:jc w:val="center"/>
              <w:ind w:left="31"/>
              <w:spacing w:after="0"/>
              <w:rPr>
                <w:rFonts w:ascii="Arial" w:cs="Arial" w:eastAsia="Arial" w:hAnsi="Arial"/>
                <w:sz w:val="18"/>
                <w:szCs w:val="18"/>
                <w:b w:val="1"/>
                <w:bCs w:val="1"/>
                <w:u w:val="single" w:color="auto"/>
                <w:color w:val="0000EE"/>
              </w:rPr>
            </w:pPr>
            <w:hyperlink w:anchor="page47">
              <w:r>
                <w:rPr>
                  <w:rFonts w:ascii="Arial" w:cs="Arial" w:eastAsia="Arial" w:hAnsi="Arial"/>
                  <w:sz w:val="18"/>
                  <w:szCs w:val="18"/>
                  <w:b w:val="1"/>
                  <w:bCs w:val="1"/>
                  <w:u w:val="single" w:color="auto"/>
                  <w:color w:val="0000EE"/>
                </w:rPr>
                <w:t>PART II. OTHER INFORMATION</w:t>
              </w:r>
            </w:hyperlink>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380" w:type="dxa"/>
            <w:vAlign w:val="bottom"/>
          </w:tcPr>
          <w:p>
            <w:pPr>
              <w:ind w:left="26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Legal Proceedings</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41</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380" w:type="dxa"/>
            <w:vAlign w:val="bottom"/>
          </w:tcPr>
          <w:p>
            <w:pPr>
              <w:ind w:left="26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Risk Factors</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41</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380" w:type="dxa"/>
            <w:vAlign w:val="bottom"/>
          </w:tcPr>
          <w:p>
            <w:pPr>
              <w:ind w:left="26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Unregistered Sales of Equity Securities and Use of Proceeds</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42</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9380" w:type="dxa"/>
            <w:vAlign w:val="bottom"/>
          </w:tcPr>
          <w:p>
            <w:pPr>
              <w:ind w:left="26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Defaults Upon Senior Securities</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42</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380" w:type="dxa"/>
            <w:vAlign w:val="bottom"/>
          </w:tcPr>
          <w:p>
            <w:pPr>
              <w:ind w:left="26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Mine Safety Disclosures</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42</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9380" w:type="dxa"/>
            <w:vAlign w:val="bottom"/>
          </w:tcPr>
          <w:p>
            <w:pPr>
              <w:ind w:left="26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Other Information</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42</w:t>
            </w:r>
          </w:p>
        </w:tc>
        <w:tc>
          <w:tcPr>
            <w:tcW w:w="0" w:type="dxa"/>
            <w:vAlign w:val="bottom"/>
          </w:tcPr>
          <w:p>
            <w:pPr>
              <w:spacing w:after="0"/>
              <w:rPr>
                <w:sz w:val="1"/>
                <w:szCs w:val="1"/>
                <w:color w:val="auto"/>
              </w:rPr>
            </w:pPr>
          </w:p>
        </w:tc>
      </w:tr>
      <w:tr>
        <w:trPr>
          <w:trHeight w:val="226"/>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9380" w:type="dxa"/>
            <w:vAlign w:val="bottom"/>
          </w:tcPr>
          <w:p>
            <w:pPr>
              <w:ind w:left="26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Exhibits</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43</w:t>
            </w: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9380" w:type="dxa"/>
            <w:vAlign w:val="bottom"/>
          </w:tcPr>
          <w:p>
            <w:pPr>
              <w:ind w:left="26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Signatures</w:t>
              </w:r>
            </w:hyperlink>
          </w:p>
        </w:tc>
        <w:tc>
          <w:tcPr>
            <w:tcW w:w="980" w:type="dxa"/>
            <w:vAlign w:val="bottom"/>
          </w:tcPr>
          <w:p>
            <w:pPr>
              <w:jc w:val="center"/>
              <w:ind w:left="331"/>
              <w:spacing w:after="0"/>
              <w:rPr>
                <w:sz w:val="20"/>
                <w:szCs w:val="20"/>
                <w:color w:val="auto"/>
              </w:rPr>
            </w:pPr>
            <w:r>
              <w:rPr>
                <w:rFonts w:ascii="Arial" w:cs="Arial" w:eastAsia="Arial" w:hAnsi="Arial"/>
                <w:sz w:val="18"/>
                <w:szCs w:val="18"/>
                <w:color w:val="auto"/>
                <w:w w:val="79"/>
              </w:rPr>
              <w:t>46</w:t>
            </w: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9380" w:type="dxa"/>
            <w:vAlign w:val="bottom"/>
          </w:tcPr>
          <w:p>
            <w:pPr>
              <w:jc w:val="center"/>
              <w:ind w:left="11"/>
              <w:spacing w:after="0"/>
              <w:rPr>
                <w:sz w:val="20"/>
                <w:szCs w:val="20"/>
                <w:color w:val="auto"/>
              </w:rPr>
            </w:pPr>
            <w:r>
              <w:rPr>
                <w:rFonts w:ascii="Arial" w:cs="Arial" w:eastAsia="Arial" w:hAnsi="Arial"/>
                <w:sz w:val="18"/>
                <w:szCs w:val="18"/>
                <w:color w:val="auto"/>
                <w:w w:val="79"/>
              </w:rPr>
              <w:t>2</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 w:type="dxa"/>
            <w:vAlign w:val="bottom"/>
            <w:tcBorders>
              <w:bottom w:val="single" w:sz="8" w:color="auto"/>
            </w:tcBorders>
          </w:tcPr>
          <w:p>
            <w:pPr>
              <w:spacing w:after="0"/>
              <w:rPr>
                <w:sz w:val="9"/>
                <w:szCs w:val="9"/>
                <w:color w:val="auto"/>
              </w:rPr>
            </w:pPr>
          </w:p>
        </w:tc>
        <w:tc>
          <w:tcPr>
            <w:tcW w:w="93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67"/>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0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99"/>
              </w:rPr>
              <w:t>GEVO, INC.</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86"/>
              </w:rPr>
              <w:t>Consolidated Balance Sheets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87"/>
              </w:rPr>
              <w:t>(in thousands, except share and per share amounts)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7"/>
        </w:trPr>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20"/>
                <w:szCs w:val="20"/>
                <w:color w:val="auto"/>
              </w:rPr>
            </w:pPr>
          </w:p>
        </w:tc>
        <w:tc>
          <w:tcPr>
            <w:tcW w:w="13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8"/>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16,302</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746</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3,793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3,590</w:t>
            </w: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13,356</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24,228</w:t>
            </w:r>
          </w:p>
        </w:tc>
      </w:tr>
      <w:tr>
        <w:trPr>
          <w:trHeight w:val="213"/>
        </w:trPr>
        <w:tc>
          <w:tcPr>
            <w:tcW w:w="8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64,689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66,696</w:t>
            </w:r>
          </w:p>
        </w:tc>
      </w:tr>
      <w:tr>
        <w:trPr>
          <w:trHeight w:val="227"/>
        </w:trPr>
        <w:tc>
          <w:tcPr>
            <w:tcW w:w="8000" w:type="dxa"/>
            <w:vAlign w:val="bottom"/>
          </w:tcPr>
          <w:p>
            <w:pPr>
              <w:spacing w:after="0"/>
              <w:rPr>
                <w:sz w:val="20"/>
                <w:szCs w:val="20"/>
                <w:color w:val="auto"/>
              </w:rPr>
            </w:pPr>
            <w:r>
              <w:rPr>
                <w:rFonts w:ascii="Arial" w:cs="Arial" w:eastAsia="Arial" w:hAnsi="Arial"/>
                <w:sz w:val="18"/>
                <w:szCs w:val="18"/>
                <w:color w:val="auto"/>
              </w:rPr>
              <w:t>Investment in Juhl</w:t>
            </w:r>
          </w:p>
        </w:tc>
        <w:tc>
          <w:tcPr>
            <w:tcW w:w="1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r>
        <w:trPr>
          <w:trHeight w:val="214"/>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r>
      <w:tr>
        <w:trPr>
          <w:trHeight w:val="247"/>
        </w:trPr>
        <w:tc>
          <w:tcPr>
            <w:tcW w:w="800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80,101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93,359</w:t>
            </w:r>
          </w:p>
        </w:tc>
      </w:tr>
      <w:tr>
        <w:trPr>
          <w:trHeight w:val="194"/>
        </w:trPr>
        <w:tc>
          <w:tcPr>
            <w:tcW w:w="80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5,678</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2020/21 Notes (current), net</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14,293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Notes (current), net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13,900</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2020/21 Notes embedded derivative liability</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payable - other (current)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19,171</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20,094</w:t>
            </w:r>
          </w:p>
        </w:tc>
      </w:tr>
      <w:tr>
        <w:trPr>
          <w:trHeight w:val="213"/>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Loans payable - other (long-term)</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20,214</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20,855</w:t>
            </w:r>
          </w:p>
        </w:tc>
      </w:tr>
      <w:tr>
        <w:trPr>
          <w:trHeight w:val="207"/>
        </w:trPr>
        <w:tc>
          <w:tcPr>
            <w:tcW w:w="80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Commitments and Contingencies (see Note 11)</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800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w w:val="94"/>
              </w:rPr>
              <w:t>Common stock, $0.01 par value per share; 250,000,000 authorized; 15,514,098 and 14,083,232 shares</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 and outstanding at June 30, 2020 and December 31, 2019, respectively.</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533,015</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530,349</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(473,282)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(457,986)</w:t>
            </w:r>
          </w:p>
        </w:tc>
      </w:tr>
      <w:tr>
        <w:trPr>
          <w:trHeight w:val="20"/>
        </w:trPr>
        <w:tc>
          <w:tcPr>
            <w:tcW w:w="80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59,887</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72,504</w:t>
            </w:r>
          </w:p>
        </w:tc>
      </w:tr>
      <w:tr>
        <w:trPr>
          <w:trHeight w:val="247"/>
        </w:trPr>
        <w:tc>
          <w:tcPr>
            <w:tcW w:w="800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80,101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93,359</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1"/>
        </w:trPr>
        <w:tc>
          <w:tcPr>
            <w:tcW w:w="9680" w:type="dxa"/>
            <w:vAlign w:val="bottom"/>
            <w:gridSpan w:val="4"/>
          </w:tcPr>
          <w:p>
            <w:pPr>
              <w:jc w:val="center"/>
              <w:ind w:left="1491"/>
              <w:spacing w:after="0"/>
              <w:rPr>
                <w:sz w:val="20"/>
                <w:szCs w:val="20"/>
                <w:color w:val="auto"/>
              </w:rPr>
            </w:pPr>
            <w:r>
              <w:rPr>
                <w:rFonts w:ascii="Arial" w:cs="Arial" w:eastAsia="Arial" w:hAnsi="Arial"/>
                <w:sz w:val="21"/>
                <w:szCs w:val="21"/>
                <w:color w:val="auto"/>
                <w:w w:val="91"/>
              </w:rPr>
              <w:t>See the accompanying Notes to the unaudited Consolidated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8000" w:type="dxa"/>
            <w:vAlign w:val="bottom"/>
          </w:tcPr>
          <w:p>
            <w:pPr>
              <w:jc w:val="center"/>
              <w:ind w:left="3151"/>
              <w:spacing w:after="0"/>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50"/>
        </w:trPr>
        <w:tc>
          <w:tcPr>
            <w:tcW w:w="3460" w:type="dxa"/>
            <w:vAlign w:val="bottom"/>
          </w:tcPr>
          <w:p>
            <w:pPr>
              <w:spacing w:after="0"/>
              <w:rPr>
                <w:sz w:val="24"/>
                <w:szCs w:val="24"/>
                <w:color w:val="auto"/>
              </w:rPr>
            </w:pPr>
          </w:p>
        </w:tc>
        <w:tc>
          <w:tcPr>
            <w:tcW w:w="2740" w:type="dxa"/>
            <w:vAlign w:val="bottom"/>
            <w:gridSpan w:val="2"/>
          </w:tcPr>
          <w:p>
            <w:pPr>
              <w:jc w:val="center"/>
              <w:ind w:left="1511"/>
              <w:spacing w:after="0"/>
              <w:rPr>
                <w:sz w:val="20"/>
                <w:szCs w:val="20"/>
                <w:color w:val="auto"/>
              </w:rPr>
            </w:pPr>
            <w:r>
              <w:rPr>
                <w:rFonts w:ascii="Arial" w:cs="Arial" w:eastAsia="Arial" w:hAnsi="Arial"/>
                <w:sz w:val="18"/>
                <w:szCs w:val="18"/>
                <w:b w:val="1"/>
                <w:bCs w:val="1"/>
                <w:color w:val="auto"/>
                <w:w w:val="99"/>
              </w:rPr>
              <w:t>GEVO, INC.</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3460" w:type="dxa"/>
            <w:vAlign w:val="bottom"/>
          </w:tcPr>
          <w:p>
            <w:pPr>
              <w:spacing w:after="0"/>
              <w:rPr>
                <w:sz w:val="18"/>
                <w:szCs w:val="18"/>
                <w:color w:val="auto"/>
              </w:rPr>
            </w:pPr>
          </w:p>
        </w:tc>
        <w:tc>
          <w:tcPr>
            <w:tcW w:w="3800" w:type="dxa"/>
            <w:vAlign w:val="bottom"/>
            <w:gridSpan w:val="4"/>
          </w:tcPr>
          <w:p>
            <w:pPr>
              <w:jc w:val="center"/>
              <w:ind w:left="431"/>
              <w:spacing w:after="0"/>
              <w:rPr>
                <w:sz w:val="20"/>
                <w:szCs w:val="20"/>
                <w:color w:val="auto"/>
              </w:rPr>
            </w:pPr>
            <w:r>
              <w:rPr>
                <w:rFonts w:ascii="Arial" w:cs="Arial" w:eastAsia="Arial" w:hAnsi="Arial"/>
                <w:sz w:val="18"/>
                <w:szCs w:val="18"/>
                <w:b w:val="1"/>
                <w:bCs w:val="1"/>
                <w:color w:val="auto"/>
                <w:w w:val="87"/>
              </w:rPr>
              <w:t>Consolidated Statements of Operations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460" w:type="dxa"/>
            <w:vAlign w:val="bottom"/>
          </w:tcPr>
          <w:p>
            <w:pPr>
              <w:spacing w:after="0"/>
              <w:rPr>
                <w:sz w:val="18"/>
                <w:szCs w:val="18"/>
                <w:color w:val="auto"/>
              </w:rPr>
            </w:pPr>
          </w:p>
        </w:tc>
        <w:tc>
          <w:tcPr>
            <w:tcW w:w="4160" w:type="dxa"/>
            <w:vAlign w:val="bottom"/>
            <w:gridSpan w:val="6"/>
          </w:tcPr>
          <w:p>
            <w:pPr>
              <w:jc w:val="center"/>
              <w:ind w:left="91"/>
              <w:spacing w:after="0"/>
              <w:rPr>
                <w:sz w:val="20"/>
                <w:szCs w:val="20"/>
                <w:color w:val="auto"/>
              </w:rPr>
            </w:pPr>
            <w:r>
              <w:rPr>
                <w:rFonts w:ascii="Arial" w:cs="Arial" w:eastAsia="Arial" w:hAnsi="Arial"/>
                <w:sz w:val="18"/>
                <w:szCs w:val="18"/>
                <w:b w:val="1"/>
                <w:bCs w:val="1"/>
                <w:color w:val="auto"/>
                <w:w w:val="87"/>
              </w:rPr>
              <w:t>(in thousands, except share and per share amounts)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60" w:type="dxa"/>
            <w:vAlign w:val="bottom"/>
          </w:tcPr>
          <w:p>
            <w:pPr>
              <w:spacing w:after="0"/>
              <w:rPr>
                <w:sz w:val="20"/>
                <w:szCs w:val="20"/>
                <w:color w:val="auto"/>
              </w:rPr>
            </w:pPr>
          </w:p>
        </w:tc>
        <w:tc>
          <w:tcPr>
            <w:tcW w:w="2740" w:type="dxa"/>
            <w:vAlign w:val="bottom"/>
            <w:gridSpan w:val="2"/>
          </w:tcPr>
          <w:p>
            <w:pPr>
              <w:jc w:val="center"/>
              <w:ind w:left="1491"/>
              <w:spacing w:after="0"/>
              <w:rPr>
                <w:sz w:val="20"/>
                <w:szCs w:val="20"/>
                <w:color w:val="auto"/>
              </w:rPr>
            </w:pPr>
            <w:r>
              <w:rPr>
                <w:rFonts w:ascii="Arial" w:cs="Arial" w:eastAsia="Arial" w:hAnsi="Arial"/>
                <w:sz w:val="18"/>
                <w:szCs w:val="18"/>
                <w:b w:val="1"/>
                <w:bCs w:val="1"/>
                <w:color w:val="auto"/>
                <w:w w:val="89"/>
              </w:rPr>
              <w:t>(unaudited)</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3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2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4"/>
                <w:szCs w:val="24"/>
                <w:color w:val="auto"/>
              </w:rPr>
            </w:pPr>
          </w:p>
        </w:tc>
        <w:tc>
          <w:tcPr>
            <w:tcW w:w="24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08"/>
        </w:trPr>
        <w:tc>
          <w:tcPr>
            <w:tcW w:w="3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2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3460" w:type="dxa"/>
            <w:vAlign w:val="bottom"/>
          </w:tcPr>
          <w:p>
            <w:pPr>
              <w:ind w:left="160"/>
              <w:spacing w:after="0"/>
              <w:rPr>
                <w:sz w:val="20"/>
                <w:szCs w:val="20"/>
                <w:color w:val="auto"/>
              </w:rPr>
            </w:pPr>
            <w:r>
              <w:rPr>
                <w:rFonts w:ascii="Arial" w:cs="Arial" w:eastAsia="Arial" w:hAnsi="Arial"/>
                <w:sz w:val="18"/>
                <w:szCs w:val="18"/>
                <w:color w:val="auto"/>
              </w:rPr>
              <w:t>Ethanol sales and related products, net</w:t>
            </w:r>
          </w:p>
        </w:tc>
        <w:tc>
          <w:tcPr>
            <w:tcW w:w="27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4,966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3,783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10,630</w:t>
            </w:r>
          </w:p>
        </w:tc>
      </w:tr>
      <w:tr>
        <w:trPr>
          <w:trHeight w:val="213"/>
        </w:trPr>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Hydrocarbon revenue</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r>
      <w:tr>
        <w:trPr>
          <w:trHeight w:val="213"/>
        </w:trPr>
        <w:tc>
          <w:tcPr>
            <w:tcW w:w="346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2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r>
      <w:tr>
        <w:trPr>
          <w:trHeight w:val="207"/>
        </w:trPr>
        <w:tc>
          <w:tcPr>
            <w:tcW w:w="3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5,086</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11,489</w:t>
            </w:r>
          </w:p>
        </w:tc>
      </w:tr>
      <w:tr>
        <w:trPr>
          <w:trHeight w:val="213"/>
        </w:trPr>
        <w:tc>
          <w:tcPr>
            <w:tcW w:w="3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17,413</w:t>
            </w:r>
          </w:p>
        </w:tc>
      </w:tr>
      <w:tr>
        <w:trPr>
          <w:trHeight w:val="207"/>
        </w:trPr>
        <w:tc>
          <w:tcPr>
            <w:tcW w:w="3460" w:type="dxa"/>
            <w:vAlign w:val="bottom"/>
            <w:tcBorders>
              <w:top w:val="single" w:sz="8" w:color="CCEEFF"/>
            </w:tcBorders>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(5,924)</w:t>
            </w:r>
          </w:p>
        </w:tc>
      </w:tr>
      <w:tr>
        <w:trPr>
          <w:trHeight w:val="207"/>
        </w:trPr>
        <w:tc>
          <w:tcPr>
            <w:tcW w:w="3460" w:type="dxa"/>
            <w:vAlign w:val="bottom"/>
            <w:tcBorders>
              <w:top w:val="single" w:sz="8" w:color="CCEEFF"/>
            </w:tcBorders>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460" w:type="dxa"/>
            <w:vAlign w:val="bottom"/>
          </w:tcPr>
          <w:p>
            <w:pPr>
              <w:ind w:left="160"/>
              <w:spacing w:after="0"/>
              <w:rPr>
                <w:sz w:val="20"/>
                <w:szCs w:val="20"/>
                <w:color w:val="auto"/>
              </w:rPr>
            </w:pPr>
            <w:r>
              <w:rPr>
                <w:rFonts w:ascii="Arial" w:cs="Arial" w:eastAsia="Arial" w:hAnsi="Arial"/>
                <w:sz w:val="18"/>
                <w:szCs w:val="18"/>
                <w:color w:val="auto"/>
              </w:rPr>
              <w:t>Research and development expense</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677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1,923</w:t>
            </w:r>
          </w:p>
        </w:tc>
      </w:tr>
      <w:tr>
        <w:trPr>
          <w:trHeight w:val="213"/>
        </w:trPr>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Selling, general and administrative expense</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4,274</w:t>
            </w:r>
          </w:p>
        </w:tc>
      </w:tr>
      <w:tr>
        <w:trPr>
          <w:trHeight w:val="213"/>
        </w:trPr>
        <w:tc>
          <w:tcPr>
            <w:tcW w:w="3460" w:type="dxa"/>
            <w:vAlign w:val="bottom"/>
          </w:tcPr>
          <w:p>
            <w:pPr>
              <w:ind w:left="160"/>
              <w:spacing w:after="0"/>
              <w:rPr>
                <w:sz w:val="20"/>
                <w:szCs w:val="20"/>
                <w:color w:val="auto"/>
              </w:rPr>
            </w:pPr>
            <w:r>
              <w:rPr>
                <w:rFonts w:ascii="Arial" w:cs="Arial" w:eastAsia="Arial" w:hAnsi="Arial"/>
                <w:sz w:val="18"/>
                <w:szCs w:val="18"/>
                <w:color w:val="auto"/>
              </w:rPr>
              <w:t>Restructuring expenses</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34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34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(12,121)</w:t>
            </w:r>
          </w:p>
        </w:tc>
      </w:tr>
      <w:tr>
        <w:trPr>
          <w:trHeight w:val="207"/>
        </w:trPr>
        <w:tc>
          <w:tcPr>
            <w:tcW w:w="3460" w:type="dxa"/>
            <w:vAlign w:val="bottom"/>
            <w:tcBorders>
              <w:top w:val="single" w:sz="8" w:color="CCEEFF"/>
            </w:tcBorders>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4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(1,522)</w:t>
            </w:r>
          </w:p>
        </w:tc>
      </w:tr>
      <w:tr>
        <w:trPr>
          <w:trHeight w:val="213"/>
        </w:trPr>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modification of 2020 Notes</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6200" w:type="dxa"/>
            <w:vAlign w:val="bottom"/>
            <w:gridSpan w:val="3"/>
          </w:tcPr>
          <w:p>
            <w:pPr>
              <w:ind w:left="160"/>
              <w:spacing w:after="0"/>
              <w:rPr>
                <w:sz w:val="20"/>
                <w:szCs w:val="20"/>
                <w:color w:val="auto"/>
              </w:rPr>
            </w:pPr>
            <w:r>
              <w:rPr>
                <w:rFonts w:ascii="Arial" w:cs="Arial" w:eastAsia="Arial" w:hAnsi="Arial"/>
                <w:sz w:val="18"/>
                <w:szCs w:val="18"/>
                <w:color w:val="auto"/>
              </w:rPr>
              <w:t>Gain from change in fair value of derivative warrant liability</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199"/>
        </w:trPr>
        <w:tc>
          <w:tcPr>
            <w:tcW w:w="6200" w:type="dxa"/>
            <w:vAlign w:val="bottom"/>
            <w:gridSpan w:val="3"/>
            <w:shd w:val="clear" w:color="auto" w:fill="CCEEFF"/>
          </w:tcPr>
          <w:p>
            <w:pPr>
              <w:ind w:left="160"/>
              <w:spacing w:after="0" w:line="199" w:lineRule="exact"/>
              <w:rPr>
                <w:sz w:val="20"/>
                <w:szCs w:val="20"/>
                <w:color w:val="auto"/>
              </w:rPr>
            </w:pPr>
            <w:r>
              <w:rPr>
                <w:rFonts w:ascii="Arial" w:cs="Arial" w:eastAsia="Arial" w:hAnsi="Arial"/>
                <w:sz w:val="18"/>
                <w:szCs w:val="18"/>
                <w:color w:val="auto"/>
              </w:rPr>
              <w:t>(Loss) gain from change in fair value of 2020/21 Notes and 2020 Notes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3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embedded derivative liability</w:t>
            </w:r>
          </w:p>
        </w:tc>
        <w:tc>
          <w:tcPr>
            <w:tcW w:w="2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r>
      <w:tr>
        <w:trPr>
          <w:trHeight w:val="213"/>
        </w:trPr>
        <w:tc>
          <w:tcPr>
            <w:tcW w:w="346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0"/>
        </w:trPr>
        <w:tc>
          <w:tcPr>
            <w:tcW w:w="3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3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income (expense), net</w:t>
            </w:r>
          </w:p>
        </w:tc>
        <w:tc>
          <w:tcPr>
            <w:tcW w:w="2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(1,105)</w:t>
            </w:r>
          </w:p>
        </w:tc>
      </w:tr>
      <w:tr>
        <w:trPr>
          <w:trHeight w:val="207"/>
        </w:trPr>
        <w:tc>
          <w:tcPr>
            <w:tcW w:w="3460" w:type="dxa"/>
            <w:vAlign w:val="bottom"/>
            <w:tcBorders>
              <w:top w:val="single" w:sz="8" w:color="CCEEFF"/>
            </w:tcBorders>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7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(15,296)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(13,226)</w:t>
            </w:r>
          </w:p>
        </w:tc>
      </w:tr>
      <w:tr>
        <w:trPr>
          <w:trHeight w:val="194"/>
        </w:trPr>
        <w:tc>
          <w:tcPr>
            <w:tcW w:w="3460" w:type="dxa"/>
            <w:vAlign w:val="bottom"/>
            <w:tcBorders>
              <w:top w:val="single" w:sz="8" w:color="CCEEFF"/>
            </w:tcBorders>
          </w:tcPr>
          <w:p>
            <w:pPr>
              <w:spacing w:after="0"/>
              <w:rPr>
                <w:sz w:val="16"/>
                <w:szCs w:val="16"/>
                <w:color w:val="auto"/>
              </w:rPr>
            </w:pPr>
          </w:p>
        </w:tc>
        <w:tc>
          <w:tcPr>
            <w:tcW w:w="25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53"/>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74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r>
      <w:tr>
        <w:trPr>
          <w:trHeight w:val="194"/>
        </w:trPr>
        <w:tc>
          <w:tcPr>
            <w:tcW w:w="5980" w:type="dxa"/>
            <w:vAlign w:val="bottom"/>
            <w:tcBorders>
              <w:top w:val="single" w:sz="8" w:color="CCEEFF"/>
            </w:tcBorders>
            <w:gridSpan w:val="2"/>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3"/>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Weighted-average number of common shares outstanding - basic and diluted</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15,071,105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11,885,524</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14,771,952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11,024,482</w:t>
            </w:r>
          </w:p>
        </w:tc>
      </w:tr>
      <w:tr>
        <w:trPr>
          <w:trHeight w:val="20"/>
        </w:trPr>
        <w:tc>
          <w:tcPr>
            <w:tcW w:w="346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the accompanying Notes to the unaudited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6"/>
        </w:trPr>
        <w:tc>
          <w:tcPr>
            <w:tcW w:w="46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50"/>
        </w:trPr>
        <w:tc>
          <w:tcPr>
            <w:tcW w:w="4620" w:type="dxa"/>
            <w:vAlign w:val="bottom"/>
          </w:tcPr>
          <w:p>
            <w:pPr>
              <w:spacing w:after="0"/>
              <w:rPr>
                <w:sz w:val="24"/>
                <w:szCs w:val="24"/>
                <w:color w:val="auto"/>
              </w:rPr>
            </w:pPr>
          </w:p>
        </w:tc>
        <w:tc>
          <w:tcPr>
            <w:tcW w:w="1560" w:type="dxa"/>
            <w:vAlign w:val="bottom"/>
            <w:gridSpan w:val="4"/>
          </w:tcPr>
          <w:p>
            <w:pPr>
              <w:jc w:val="center"/>
              <w:ind w:left="371"/>
              <w:spacing w:after="0"/>
              <w:rPr>
                <w:sz w:val="20"/>
                <w:szCs w:val="20"/>
                <w:color w:val="auto"/>
              </w:rPr>
            </w:pPr>
            <w:r>
              <w:rPr>
                <w:rFonts w:ascii="Arial" w:cs="Arial" w:eastAsia="Arial" w:hAnsi="Arial"/>
                <w:sz w:val="18"/>
                <w:szCs w:val="18"/>
                <w:b w:val="1"/>
                <w:bCs w:val="1"/>
                <w:color w:val="auto"/>
                <w:w w:val="99"/>
              </w:rPr>
              <w:t>GEVO, INC.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7560" w:type="dxa"/>
            <w:vAlign w:val="bottom"/>
            <w:gridSpan w:val="9"/>
          </w:tcPr>
          <w:p>
            <w:pPr>
              <w:jc w:val="center"/>
              <w:ind w:left="3591"/>
              <w:spacing w:after="0"/>
              <w:rPr>
                <w:sz w:val="20"/>
                <w:szCs w:val="20"/>
                <w:color w:val="auto"/>
              </w:rPr>
            </w:pPr>
            <w:r>
              <w:rPr>
                <w:rFonts w:ascii="Arial" w:cs="Arial" w:eastAsia="Arial" w:hAnsi="Arial"/>
                <w:sz w:val="18"/>
                <w:szCs w:val="18"/>
                <w:b w:val="1"/>
                <w:bCs w:val="1"/>
                <w:color w:val="auto"/>
                <w:w w:val="88"/>
              </w:rPr>
              <w:t>Consolidated Statements of Stockholders’ Equity</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260" w:type="dxa"/>
            <w:vAlign w:val="bottom"/>
            <w:gridSpan w:val="7"/>
          </w:tcPr>
          <w:p>
            <w:pPr>
              <w:jc w:val="center"/>
              <w:ind w:left="3911"/>
              <w:spacing w:after="0"/>
              <w:rPr>
                <w:sz w:val="20"/>
                <w:szCs w:val="20"/>
                <w:color w:val="auto"/>
              </w:rPr>
            </w:pPr>
            <w:r>
              <w:rPr>
                <w:rFonts w:ascii="Arial" w:cs="Arial" w:eastAsia="Arial" w:hAnsi="Arial"/>
                <w:sz w:val="18"/>
                <w:szCs w:val="18"/>
                <w:b w:val="1"/>
                <w:bCs w:val="1"/>
                <w:color w:val="auto"/>
                <w:w w:val="87"/>
              </w:rPr>
              <w:t>(In thousands, except share amounts)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20" w:type="dxa"/>
            <w:vAlign w:val="bottom"/>
          </w:tcPr>
          <w:p>
            <w:pPr>
              <w:spacing w:after="0"/>
              <w:rPr>
                <w:sz w:val="20"/>
                <w:szCs w:val="20"/>
                <w:color w:val="auto"/>
              </w:rPr>
            </w:pPr>
          </w:p>
        </w:tc>
        <w:tc>
          <w:tcPr>
            <w:tcW w:w="1560" w:type="dxa"/>
            <w:vAlign w:val="bottom"/>
            <w:gridSpan w:val="4"/>
          </w:tcPr>
          <w:p>
            <w:pPr>
              <w:jc w:val="center"/>
              <w:ind w:left="351"/>
              <w:spacing w:after="0"/>
              <w:rPr>
                <w:sz w:val="20"/>
                <w:szCs w:val="20"/>
                <w:color w:val="auto"/>
              </w:rPr>
            </w:pPr>
            <w:r>
              <w:rPr>
                <w:rFonts w:ascii="Arial" w:cs="Arial" w:eastAsia="Arial" w:hAnsi="Arial"/>
                <w:sz w:val="18"/>
                <w:szCs w:val="18"/>
                <w:b w:val="1"/>
                <w:bCs w:val="1"/>
                <w:color w:val="auto"/>
                <w:w w:val="89"/>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4620" w:type="dxa"/>
            <w:vAlign w:val="bottom"/>
          </w:tcPr>
          <w:p>
            <w:pPr>
              <w:spacing w:after="0"/>
              <w:rPr>
                <w:sz w:val="24"/>
                <w:szCs w:val="24"/>
                <w:color w:val="auto"/>
              </w:rPr>
            </w:pPr>
          </w:p>
        </w:tc>
        <w:tc>
          <w:tcPr>
            <w:tcW w:w="2640" w:type="dxa"/>
            <w:vAlign w:val="bottom"/>
            <w:gridSpan w:val="6"/>
          </w:tcPr>
          <w:p>
            <w:pPr>
              <w:ind w:left="68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Accumulated</w:t>
            </w:r>
          </w:p>
        </w:tc>
        <w:tc>
          <w:tcPr>
            <w:tcW w:w="8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9"/>
              </w:rPr>
              <w:t>Stockholders’</w:t>
            </w:r>
          </w:p>
        </w:tc>
      </w:tr>
      <w:tr>
        <w:trPr>
          <w:trHeight w:val="207"/>
        </w:trPr>
        <w:tc>
          <w:tcPr>
            <w:tcW w:w="4620" w:type="dxa"/>
            <w:vAlign w:val="bottom"/>
          </w:tcPr>
          <w:p>
            <w:pPr>
              <w:spacing w:after="0"/>
              <w:rPr>
                <w:sz w:val="17"/>
                <w:szCs w:val="17"/>
                <w:color w:val="auto"/>
              </w:rPr>
            </w:pPr>
          </w:p>
        </w:tc>
        <w:tc>
          <w:tcPr>
            <w:tcW w:w="1380" w:type="dxa"/>
            <w:vAlign w:val="bottom"/>
            <w:tcBorders>
              <w:top w:val="single" w:sz="8" w:color="auto"/>
            </w:tcBorders>
            <w:gridSpan w:val="3"/>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r>
      <w:tr>
        <w:trPr>
          <w:trHeight w:val="207"/>
        </w:trPr>
        <w:tc>
          <w:tcPr>
            <w:tcW w:w="46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14,083,232</w:t>
            </w:r>
          </w:p>
        </w:tc>
        <w:tc>
          <w:tcPr>
            <w:tcW w:w="2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530,349</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(457,986)</w:t>
            </w:r>
          </w:p>
        </w:tc>
        <w:tc>
          <w:tcPr>
            <w:tcW w:w="2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72,504</w:t>
            </w:r>
          </w:p>
        </w:tc>
      </w:tr>
      <w:tr>
        <w:trPr>
          <w:trHeight w:val="213"/>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620" w:type="dxa"/>
            <w:vAlign w:val="bottom"/>
          </w:tcPr>
          <w:p>
            <w:pPr>
              <w:ind w:left="160"/>
              <w:spacing w:after="0"/>
              <w:rPr>
                <w:sz w:val="20"/>
                <w:szCs w:val="20"/>
                <w:color w:val="auto"/>
              </w:rPr>
            </w:pPr>
            <w:r>
              <w:rPr>
                <w:rFonts w:ascii="Arial" w:cs="Arial" w:eastAsia="Arial" w:hAnsi="Arial"/>
                <w:sz w:val="18"/>
                <w:szCs w:val="18"/>
                <w:color w:val="auto"/>
              </w:rPr>
              <w:t>Issuance of common stock, net of issue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425,776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r>
      <w:tr>
        <w:trPr>
          <w:trHeight w:val="21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13"/>
        </w:trPr>
        <w:tc>
          <w:tcPr>
            <w:tcW w:w="4620" w:type="dxa"/>
            <w:vAlign w:val="bottom"/>
          </w:tcPr>
          <w:p>
            <w:pPr>
              <w:ind w:left="160"/>
              <w:spacing w:after="0"/>
              <w:rPr>
                <w:sz w:val="20"/>
                <w:szCs w:val="20"/>
                <w:color w:val="auto"/>
              </w:rPr>
            </w:pPr>
            <w:r>
              <w:rPr>
                <w:rFonts w:ascii="Arial" w:cs="Arial" w:eastAsia="Arial" w:hAnsi="Arial"/>
                <w:sz w:val="18"/>
                <w:szCs w:val="18"/>
                <w:color w:val="auto"/>
                <w:w w:val="96"/>
              </w:rPr>
              <w:t>Issuance of common stock under stock plans, net of taxes</w:t>
            </w:r>
          </w:p>
        </w:tc>
        <w:tc>
          <w:tcPr>
            <w:tcW w:w="1140" w:type="dxa"/>
            <w:vAlign w:val="bottom"/>
          </w:tcPr>
          <w:p>
            <w:pPr>
              <w:jc w:val="right"/>
              <w:spacing w:after="0"/>
              <w:rPr>
                <w:sz w:val="20"/>
                <w:szCs w:val="20"/>
                <w:color w:val="auto"/>
              </w:rPr>
            </w:pPr>
            <w:r>
              <w:rPr>
                <w:rFonts w:ascii="Arial" w:cs="Arial" w:eastAsia="Arial" w:hAnsi="Arial"/>
                <w:sz w:val="18"/>
                <w:szCs w:val="18"/>
                <w:color w:val="auto"/>
              </w:rPr>
              <w:t>105,882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(9,253)</w:t>
            </w:r>
          </w:p>
        </w:tc>
      </w:tr>
      <w:tr>
        <w:trPr>
          <w:trHeight w:val="207"/>
        </w:trPr>
        <w:tc>
          <w:tcPr>
            <w:tcW w:w="46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14,614,890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531,587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(467,239)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64,493</w:t>
            </w:r>
          </w:p>
        </w:tc>
      </w:tr>
      <w:tr>
        <w:trPr>
          <w:trHeight w:val="213"/>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 net of issue costs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917,345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w:t>
            </w:r>
          </w:p>
        </w:tc>
      </w:tr>
      <w:tr>
        <w:trPr>
          <w:trHeight w:val="213"/>
        </w:trPr>
        <w:tc>
          <w:tcPr>
            <w:tcW w:w="4620" w:type="dxa"/>
            <w:vAlign w:val="bottom"/>
          </w:tcPr>
          <w:p>
            <w:pPr>
              <w:ind w:left="14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497</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r>
      <w:tr>
        <w:trPr>
          <w:trHeight w:val="21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Issuance of common stock under stock plans, net of taxes</w:t>
            </w: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(18,137)</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r>
      <w:tr>
        <w:trPr>
          <w:trHeight w:val="213"/>
        </w:trPr>
        <w:tc>
          <w:tcPr>
            <w:tcW w:w="46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(6,043)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(6,043)</w:t>
            </w:r>
          </w:p>
        </w:tc>
      </w:tr>
      <w:tr>
        <w:trPr>
          <w:trHeight w:val="207"/>
        </w:trPr>
        <w:tc>
          <w:tcPr>
            <w:tcW w:w="46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Balance, June 30, 2020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15,514,098</w:t>
            </w:r>
          </w:p>
        </w:tc>
        <w:tc>
          <w:tcPr>
            <w:tcW w:w="2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533,015</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(473,282)</w:t>
            </w:r>
          </w:p>
        </w:tc>
        <w:tc>
          <w:tcPr>
            <w:tcW w:w="2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59,887</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46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Balance, December 31, 2018</w:t>
            </w:r>
          </w:p>
        </w:tc>
        <w:tc>
          <w:tcPr>
            <w:tcW w:w="1140" w:type="dxa"/>
            <w:vAlign w:val="bottom"/>
          </w:tcPr>
          <w:p>
            <w:pPr>
              <w:jc w:val="right"/>
              <w:spacing w:after="0"/>
              <w:rPr>
                <w:sz w:val="20"/>
                <w:szCs w:val="20"/>
                <w:color w:val="auto"/>
              </w:rPr>
            </w:pPr>
            <w:r>
              <w:rPr>
                <w:rFonts w:ascii="Arial" w:cs="Arial" w:eastAsia="Arial" w:hAnsi="Arial"/>
                <w:sz w:val="18"/>
                <w:szCs w:val="18"/>
                <w:color w:val="auto"/>
              </w:rPr>
              <w:t>8,640,583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518,027</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(429,326)</w:t>
            </w:r>
          </w:p>
        </w:tc>
        <w:tc>
          <w:tcPr>
            <w:tcW w:w="2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88,787</w:t>
            </w:r>
          </w:p>
        </w:tc>
      </w:tr>
      <w:tr>
        <w:trPr>
          <w:trHeight w:val="213"/>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620" w:type="dxa"/>
            <w:vAlign w:val="bottom"/>
          </w:tcPr>
          <w:p>
            <w:pPr>
              <w:ind w:left="160"/>
              <w:spacing w:after="0"/>
              <w:rPr>
                <w:sz w:val="20"/>
                <w:szCs w:val="20"/>
                <w:color w:val="auto"/>
              </w:rPr>
            </w:pPr>
            <w:r>
              <w:rPr>
                <w:rFonts w:ascii="Arial" w:cs="Arial" w:eastAsia="Arial" w:hAnsi="Arial"/>
                <w:sz w:val="18"/>
                <w:szCs w:val="18"/>
                <w:color w:val="auto"/>
              </w:rPr>
              <w:t>Issuance of common stock, net of issue costs</w:t>
            </w:r>
          </w:p>
        </w:tc>
        <w:tc>
          <w:tcPr>
            <w:tcW w:w="1140" w:type="dxa"/>
            <w:vAlign w:val="bottom"/>
          </w:tcPr>
          <w:p>
            <w:pPr>
              <w:jc w:val="right"/>
              <w:spacing w:after="0"/>
              <w:rPr>
                <w:sz w:val="20"/>
                <w:szCs w:val="20"/>
                <w:color w:val="auto"/>
              </w:rPr>
            </w:pPr>
            <w:r>
              <w:rPr>
                <w:rFonts w:ascii="Arial" w:cs="Arial" w:eastAsia="Arial" w:hAnsi="Arial"/>
                <w:sz w:val="18"/>
                <w:szCs w:val="18"/>
                <w:color w:val="auto"/>
              </w:rPr>
              <w:t>3,244,941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9,611</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9,644</w:t>
            </w:r>
          </w:p>
        </w:tc>
      </w:tr>
      <w:tr>
        <w:trPr>
          <w:trHeight w:val="213"/>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13"/>
        </w:trPr>
        <w:tc>
          <w:tcPr>
            <w:tcW w:w="46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(6,136)</w:t>
            </w:r>
          </w:p>
        </w:tc>
      </w:tr>
      <w:tr>
        <w:trPr>
          <w:trHeight w:val="207"/>
        </w:trPr>
        <w:tc>
          <w:tcPr>
            <w:tcW w:w="46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4"/>
        </w:trPr>
        <w:tc>
          <w:tcPr>
            <w:tcW w:w="4620" w:type="dxa"/>
            <w:vAlign w:val="bottom"/>
          </w:tcPr>
          <w:p>
            <w:pPr>
              <w:spacing w:after="0"/>
              <w:rPr>
                <w:sz w:val="20"/>
                <w:szCs w:val="20"/>
                <w:color w:val="auto"/>
              </w:rPr>
            </w:pPr>
            <w:r>
              <w:rPr>
                <w:rFonts w:ascii="Arial" w:cs="Arial" w:eastAsia="Arial" w:hAnsi="Arial"/>
                <w:sz w:val="18"/>
                <w:szCs w:val="18"/>
                <w:color w:val="auto"/>
              </w:rPr>
              <w:t>Balance, March 31, 2019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11,885,524</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527,872</w:t>
            </w:r>
          </w:p>
        </w:tc>
        <w:tc>
          <w:tcPr>
            <w:tcW w:w="200" w:type="dxa"/>
            <w:vAlign w:val="bottom"/>
          </w:tcPr>
          <w:p>
            <w:pPr>
              <w:spacing w:after="0"/>
              <w:rPr>
                <w:sz w:val="22"/>
                <w:szCs w:val="22"/>
                <w:color w:val="auto"/>
              </w:rPr>
            </w:pPr>
          </w:p>
        </w:tc>
        <w:tc>
          <w:tcPr>
            <w:tcW w:w="1040" w:type="dxa"/>
            <w:vAlign w:val="bottom"/>
            <w:gridSpan w:val="2"/>
          </w:tcPr>
          <w:p>
            <w:pPr>
              <w:jc w:val="right"/>
              <w:ind w:right="60"/>
              <w:spacing w:after="0" w:line="253" w:lineRule="exact"/>
              <w:rPr>
                <w:sz w:val="20"/>
                <w:szCs w:val="20"/>
                <w:color w:val="auto"/>
              </w:rPr>
            </w:pPr>
            <w:r>
              <w:rPr>
                <w:rFonts w:ascii="Arial" w:cs="Arial" w:eastAsia="Arial" w:hAnsi="Arial"/>
                <w:sz w:val="16"/>
                <w:szCs w:val="16"/>
                <w:color w:val="auto"/>
              </w:rPr>
              <w:t>(435,462</w:t>
            </w:r>
            <w:r>
              <w:rPr>
                <w:rFonts w:ascii="Arial" w:cs="Arial" w:eastAsia="Arial" w:hAnsi="Arial"/>
                <w:sz w:val="29"/>
                <w:szCs w:val="29"/>
                <w:color w:val="auto"/>
                <w:vertAlign w:val="superscript"/>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92,529</w:t>
            </w:r>
          </w:p>
        </w:tc>
      </w:tr>
      <w:tr>
        <w:trPr>
          <w:trHeight w:val="254"/>
        </w:trPr>
        <w:tc>
          <w:tcPr>
            <w:tcW w:w="46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26"/>
        </w:trPr>
        <w:tc>
          <w:tcPr>
            <w:tcW w:w="4620" w:type="dxa"/>
            <w:vAlign w:val="bottom"/>
          </w:tcPr>
          <w:p>
            <w:pPr>
              <w:ind w:left="140"/>
              <w:spacing w:after="0"/>
              <w:rPr>
                <w:sz w:val="20"/>
                <w:szCs w:val="20"/>
                <w:color w:val="auto"/>
              </w:rPr>
            </w:pPr>
            <w:r>
              <w:rPr>
                <w:rFonts w:ascii="Arial" w:cs="Arial" w:eastAsia="Arial" w:hAnsi="Arial"/>
                <w:sz w:val="18"/>
                <w:szCs w:val="18"/>
                <w:color w:val="auto"/>
              </w:rPr>
              <w:t>Issuance of common stock, net of issue costs</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7"/>
        </w:trPr>
        <w:tc>
          <w:tcPr>
            <w:tcW w:w="4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4"/>
        </w:trPr>
        <w:tc>
          <w:tcPr>
            <w:tcW w:w="4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Non-cash stock-based compensation</w:t>
            </w:r>
          </w:p>
        </w:tc>
        <w:tc>
          <w:tcPr>
            <w:tcW w:w="13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34"/>
        </w:trPr>
        <w:tc>
          <w:tcPr>
            <w:tcW w:w="46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(7,090)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(7,090)</w:t>
            </w:r>
          </w:p>
        </w:tc>
      </w:tr>
      <w:tr>
        <w:trPr>
          <w:trHeight w:val="254"/>
        </w:trPr>
        <w:tc>
          <w:tcPr>
            <w:tcW w:w="4620" w:type="dxa"/>
            <w:vAlign w:val="bottom"/>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Balance, June 30, 2019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11,885,524</w:t>
            </w:r>
          </w:p>
        </w:tc>
        <w:tc>
          <w:tcPr>
            <w:tcW w:w="22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528,030</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(442,552)</w:t>
            </w:r>
          </w:p>
        </w:tc>
        <w:tc>
          <w:tcPr>
            <w:tcW w:w="2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85,597</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6"/>
        </w:trPr>
        <w:tc>
          <w:tcPr>
            <w:tcW w:w="8700" w:type="dxa"/>
            <w:vAlign w:val="bottom"/>
            <w:gridSpan w:val="11"/>
          </w:tcPr>
          <w:p>
            <w:pPr>
              <w:jc w:val="center"/>
              <w:ind w:left="2451"/>
              <w:spacing w:after="0"/>
              <w:rPr>
                <w:sz w:val="20"/>
                <w:szCs w:val="20"/>
                <w:color w:val="auto"/>
              </w:rPr>
            </w:pPr>
            <w:r>
              <w:rPr>
                <w:rFonts w:ascii="Arial" w:cs="Arial" w:eastAsia="Arial" w:hAnsi="Arial"/>
                <w:sz w:val="18"/>
                <w:szCs w:val="18"/>
                <w:color w:val="auto"/>
                <w:w w:val="88"/>
              </w:rPr>
              <w:t>See the accompanying Notes to the unaudited Consolidated Financial Statements.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4620" w:type="dxa"/>
            <w:vAlign w:val="bottom"/>
          </w:tcPr>
          <w:p>
            <w:pPr>
              <w:spacing w:after="0"/>
              <w:rPr>
                <w:sz w:val="24"/>
                <w:szCs w:val="24"/>
                <w:color w:val="auto"/>
              </w:rPr>
            </w:pPr>
          </w:p>
        </w:tc>
        <w:tc>
          <w:tcPr>
            <w:tcW w:w="1140" w:type="dxa"/>
            <w:vAlign w:val="bottom"/>
          </w:tcPr>
          <w:p>
            <w:pPr>
              <w:jc w:val="center"/>
              <w:ind w:left="771"/>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50"/>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99"/>
              </w:rPr>
              <w:t>GEVO, INC.</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87"/>
              </w:rPr>
              <w:t>Consolidated Statements of Cash Flows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89"/>
              </w:rPr>
              <w:t>(unaudited)</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08"/>
        </w:trPr>
        <w:tc>
          <w:tcPr>
            <w:tcW w:w="80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(15,296)</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(13,226)</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(Gain) from change in fair value of derivative warrant liability</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6"/>
              </w:rPr>
              <w:t>Loss (gain) from change in fair value of 2020/21 Notes and 2020 Notes embedded derivative liability</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Loss on retirement of property, plant and equipment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3,278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3,221</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lease expense</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Non-cash interest expense</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r>
      <w:tr>
        <w:trPr>
          <w:trHeight w:val="213"/>
        </w:trPr>
        <w:tc>
          <w:tcPr>
            <w:tcW w:w="8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non-cash expense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721</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r>
      <w:tr>
        <w:trPr>
          <w:trHeight w:val="213"/>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 deposits and other assets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w:t>
            </w:r>
          </w:p>
        </w:tc>
      </w:tr>
      <w:tr>
        <w:trPr>
          <w:trHeight w:val="213"/>
        </w:trPr>
        <w:tc>
          <w:tcPr>
            <w:tcW w:w="8000" w:type="dxa"/>
            <w:vAlign w:val="bottom"/>
          </w:tcPr>
          <w:p>
            <w:pPr>
              <w:ind w:left="320"/>
              <w:spacing w:after="0"/>
              <w:rPr>
                <w:sz w:val="20"/>
                <w:szCs w:val="20"/>
                <w:color w:val="auto"/>
              </w:rPr>
            </w:pPr>
            <w:r>
              <w:rPr>
                <w:rFonts w:ascii="Arial" w:cs="Arial" w:eastAsia="Arial" w:hAnsi="Arial"/>
                <w:sz w:val="18"/>
                <w:szCs w:val="18"/>
                <w:color w:val="auto"/>
              </w:rPr>
              <w:t>Accounts payable, accrued expenses and long-term liabilities</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(1,462)</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r>
      <w:tr>
        <w:trPr>
          <w:trHeight w:val="20"/>
        </w:trPr>
        <w:tc>
          <w:tcPr>
            <w:tcW w:w="8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jc w:val="center"/>
              <w:ind w:right="4051"/>
              <w:spacing w:after="0"/>
              <w:rPr>
                <w:sz w:val="20"/>
                <w:szCs w:val="20"/>
                <w:color w:val="auto"/>
              </w:rPr>
            </w:pPr>
            <w:r>
              <w:rPr>
                <w:rFonts w:ascii="Arial" w:cs="Arial" w:eastAsia="Arial" w:hAnsi="Arial"/>
                <w:sz w:val="18"/>
                <w:szCs w:val="18"/>
                <w:color w:val="auto"/>
                <w:w w:val="89"/>
              </w:rPr>
              <w:t>Net cash used in operating activities</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(10,805)</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(9,653)</w:t>
            </w:r>
          </w:p>
        </w:tc>
      </w:tr>
      <w:tr>
        <w:trPr>
          <w:trHeight w:val="207"/>
        </w:trPr>
        <w:tc>
          <w:tcPr>
            <w:tcW w:w="80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Acquisitions of property, plant and equipment</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(1,620)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(4,556)</w:t>
            </w:r>
          </w:p>
        </w:tc>
      </w:tr>
      <w:tr>
        <w:trPr>
          <w:trHeight w:val="20"/>
        </w:trPr>
        <w:tc>
          <w:tcPr>
            <w:tcW w:w="8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jc w:val="center"/>
              <w:ind w:right="4071"/>
              <w:spacing w:after="0"/>
              <w:rPr>
                <w:sz w:val="20"/>
                <w:szCs w:val="20"/>
                <w:color w:val="auto"/>
              </w:rPr>
            </w:pPr>
            <w:r>
              <w:rPr>
                <w:rFonts w:ascii="Arial" w:cs="Arial" w:eastAsia="Arial" w:hAnsi="Arial"/>
                <w:sz w:val="18"/>
                <w:szCs w:val="18"/>
                <w:color w:val="auto"/>
                <w:w w:val="90"/>
              </w:rPr>
              <w:t>Net cash used in investing activities</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(1,620)</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(4,556)</w:t>
            </w:r>
          </w:p>
        </w:tc>
      </w:tr>
      <w:tr>
        <w:trPr>
          <w:trHeight w:val="207"/>
        </w:trPr>
        <w:tc>
          <w:tcPr>
            <w:tcW w:w="80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Proceeds from SBA loans</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1,006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and equity offering costs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2,271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9,878</w:t>
            </w:r>
          </w:p>
        </w:tc>
      </w:tr>
      <w:tr>
        <w:trPr>
          <w:trHeight w:val="227"/>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settlement of common stock under stock plans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Payment of loans payable - other</w:t>
            </w:r>
          </w:p>
        </w:tc>
        <w:tc>
          <w:tcPr>
            <w:tcW w:w="3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(392)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jc w:val="center"/>
              <w:ind w:right="4031"/>
              <w:spacing w:after="0"/>
              <w:rPr>
                <w:sz w:val="20"/>
                <w:szCs w:val="20"/>
                <w:color w:val="auto"/>
              </w:rPr>
            </w:pPr>
            <w:r>
              <w:rPr>
                <w:rFonts w:ascii="Arial" w:cs="Arial" w:eastAsia="Arial" w:hAnsi="Arial"/>
                <w:sz w:val="18"/>
                <w:szCs w:val="18"/>
                <w:color w:val="auto"/>
                <w:w w:val="91"/>
              </w:rPr>
              <w:t>Net cash provided by financing activities</w:t>
            </w:r>
          </w:p>
        </w:tc>
        <w:tc>
          <w:tcPr>
            <w:tcW w:w="3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2,460</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9,630</w:t>
            </w:r>
          </w:p>
        </w:tc>
      </w:tr>
      <w:tr>
        <w:trPr>
          <w:trHeight w:val="207"/>
        </w:trPr>
        <w:tc>
          <w:tcPr>
            <w:tcW w:w="80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(4,579)</w:t>
            </w:r>
          </w:p>
        </w:tc>
      </w:tr>
      <w:tr>
        <w:trPr>
          <w:trHeight w:val="213"/>
        </w:trPr>
        <w:tc>
          <w:tcPr>
            <w:tcW w:w="8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16,302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33,734</w:t>
            </w:r>
          </w:p>
        </w:tc>
      </w:tr>
      <w:tr>
        <w:trPr>
          <w:trHeight w:val="247"/>
        </w:trPr>
        <w:tc>
          <w:tcPr>
            <w:tcW w:w="800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End of period</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6,337</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29,155</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4"/>
        </w:trPr>
        <w:tc>
          <w:tcPr>
            <w:tcW w:w="9680" w:type="dxa"/>
            <w:vAlign w:val="bottom"/>
            <w:gridSpan w:val="4"/>
          </w:tcPr>
          <w:p>
            <w:pPr>
              <w:jc w:val="center"/>
              <w:ind w:left="1491"/>
              <w:spacing w:after="0"/>
              <w:rPr>
                <w:sz w:val="20"/>
                <w:szCs w:val="20"/>
                <w:color w:val="auto"/>
              </w:rPr>
            </w:pPr>
            <w:r>
              <w:rPr>
                <w:rFonts w:ascii="Arial" w:cs="Arial" w:eastAsia="Arial" w:hAnsi="Arial"/>
                <w:sz w:val="21"/>
                <w:szCs w:val="21"/>
                <w:color w:val="auto"/>
                <w:w w:val="91"/>
              </w:rPr>
              <w:t>See the accompanying Notes to the unaudited Consolidated Financial Statements.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5"/>
        </w:trPr>
        <w:tc>
          <w:tcPr>
            <w:tcW w:w="8000" w:type="dxa"/>
            <w:vAlign w:val="bottom"/>
          </w:tcPr>
          <w:p>
            <w:pPr>
              <w:jc w:val="center"/>
              <w:ind w:left="3151"/>
              <w:spacing w:after="0"/>
              <w:rPr>
                <w:sz w:val="20"/>
                <w:szCs w:val="20"/>
                <w:color w:val="auto"/>
              </w:rPr>
            </w:pPr>
            <w:r>
              <w:rPr>
                <w:rFonts w:ascii="Arial" w:cs="Arial" w:eastAsia="Arial" w:hAnsi="Arial"/>
                <w:sz w:val="18"/>
                <w:szCs w:val="18"/>
                <w:color w:val="auto"/>
                <w:w w:val="79"/>
              </w:rPr>
              <w:t>6</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8000" w:type="dxa"/>
            <w:vAlign w:val="bottom"/>
          </w:tcPr>
          <w:p>
            <w:pPr>
              <w:jc w:val="center"/>
              <w:ind w:left="3131"/>
              <w:spacing w:after="0"/>
              <w:rPr>
                <w:sz w:val="20"/>
                <w:szCs w:val="20"/>
                <w:color w:val="auto"/>
              </w:rPr>
            </w:pPr>
            <w:r>
              <w:rPr>
                <w:rFonts w:ascii="Arial" w:cs="Arial" w:eastAsia="Arial" w:hAnsi="Arial"/>
                <w:sz w:val="18"/>
                <w:szCs w:val="18"/>
                <w:b w:val="1"/>
                <w:bCs w:val="1"/>
                <w:color w:val="auto"/>
                <w:w w:val="99"/>
              </w:rPr>
              <w:t>GEVO, INC.</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jc w:val="center"/>
              <w:ind w:left="3171"/>
              <w:spacing w:after="0"/>
              <w:rPr>
                <w:sz w:val="20"/>
                <w:szCs w:val="20"/>
                <w:color w:val="auto"/>
              </w:rPr>
            </w:pPr>
            <w:r>
              <w:rPr>
                <w:rFonts w:ascii="Arial" w:cs="Arial" w:eastAsia="Arial" w:hAnsi="Arial"/>
                <w:sz w:val="18"/>
                <w:szCs w:val="18"/>
                <w:b w:val="1"/>
                <w:bCs w:val="1"/>
                <w:color w:val="auto"/>
                <w:w w:val="87"/>
              </w:rPr>
              <w:t>Consolidated Statements of Cash Flows - Continued</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87"/>
              </w:rPr>
              <w:t>(in thousands)</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tcPr>
          <w:p>
            <w:pPr>
              <w:jc w:val="center"/>
              <w:ind w:left="3151"/>
              <w:spacing w:after="0"/>
              <w:rPr>
                <w:sz w:val="20"/>
                <w:szCs w:val="20"/>
                <w:color w:val="auto"/>
              </w:rPr>
            </w:pPr>
            <w:r>
              <w:rPr>
                <w:rFonts w:ascii="Arial" w:cs="Arial" w:eastAsia="Arial" w:hAnsi="Arial"/>
                <w:sz w:val="18"/>
                <w:szCs w:val="18"/>
                <w:b w:val="1"/>
                <w:bCs w:val="1"/>
                <w:color w:val="auto"/>
                <w:w w:val="89"/>
              </w:rPr>
              <w:t>(unaudited)</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800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and non-cash investing and financing transactions</w:t>
            </w:r>
          </w:p>
        </w:tc>
        <w:tc>
          <w:tcPr>
            <w:tcW w:w="268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Six Months Ended June 30,</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8000" w:type="dxa"/>
            <w:vAlign w:val="bottom"/>
          </w:tcPr>
          <w:p>
            <w:pPr>
              <w:spacing w:after="0"/>
              <w:rPr>
                <w:sz w:val="17"/>
                <w:szCs w:val="17"/>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ind w:right="25"/>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60" w:type="dxa"/>
            <w:vAlign w:val="bottom"/>
          </w:tcPr>
          <w:p>
            <w:pPr>
              <w:jc w:val="right"/>
              <w:ind w:right="903"/>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693</w:t>
            </w:r>
          </w:p>
        </w:tc>
        <w:tc>
          <w:tcPr>
            <w:tcW w:w="1000" w:type="dxa"/>
            <w:vAlign w:val="bottom"/>
          </w:tcPr>
          <w:p>
            <w:pPr>
              <w:jc w:val="right"/>
              <w:ind w:right="845"/>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purchase of property, plant and equipment</w:t>
            </w:r>
          </w:p>
        </w:tc>
        <w:tc>
          <w:tcPr>
            <w:tcW w:w="1060" w:type="dxa"/>
            <w:vAlign w:val="bottom"/>
            <w:shd w:val="clear" w:color="auto" w:fill="CCEEFF"/>
          </w:tcPr>
          <w:p>
            <w:pPr>
              <w:jc w:val="right"/>
              <w:ind w:right="903"/>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Original issue discount paid with 2020/21 Notes</w:t>
            </w:r>
          </w:p>
        </w:tc>
        <w:tc>
          <w:tcPr>
            <w:tcW w:w="1060" w:type="dxa"/>
            <w:vAlign w:val="bottom"/>
          </w:tcPr>
          <w:p>
            <w:pPr>
              <w:jc w:val="right"/>
              <w:ind w:right="903"/>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000" w:type="dxa"/>
            <w:vAlign w:val="bottom"/>
          </w:tcPr>
          <w:p>
            <w:pPr>
              <w:jc w:val="right"/>
              <w:ind w:right="845"/>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purchased with financing lease</w:t>
            </w:r>
          </w:p>
        </w:tc>
        <w:tc>
          <w:tcPr>
            <w:tcW w:w="1060" w:type="dxa"/>
            <w:vAlign w:val="bottom"/>
            <w:shd w:val="clear" w:color="auto" w:fill="CCEEFF"/>
          </w:tcPr>
          <w:p>
            <w:pPr>
              <w:jc w:val="right"/>
              <w:ind w:right="903"/>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5"/>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6"/>
        </w:trPr>
        <w:tc>
          <w:tcPr>
            <w:tcW w:w="8000" w:type="dxa"/>
            <w:vAlign w:val="bottom"/>
          </w:tcPr>
          <w:p>
            <w:pPr>
              <w:spacing w:after="0"/>
              <w:rPr>
                <w:sz w:val="20"/>
                <w:szCs w:val="20"/>
                <w:color w:val="auto"/>
              </w:rPr>
            </w:pPr>
            <w:r>
              <w:rPr>
                <w:rFonts w:ascii="Arial" w:cs="Arial" w:eastAsia="Arial" w:hAnsi="Arial"/>
                <w:sz w:val="18"/>
                <w:szCs w:val="18"/>
                <w:color w:val="auto"/>
              </w:rPr>
              <w:t>Fair value of right-to-use asset and related lease liability upon adoption of ASC 842 - Leases</w:t>
            </w:r>
          </w:p>
        </w:tc>
        <w:tc>
          <w:tcPr>
            <w:tcW w:w="1060" w:type="dxa"/>
            <w:vAlign w:val="bottom"/>
          </w:tcPr>
          <w:p>
            <w:pPr>
              <w:jc w:val="right"/>
              <w:ind w:right="903"/>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45"/>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1,244</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See the accompanying Notes to the unaudited Consolidated Financial Statements.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Financial Condition and Basis of Presentation</w:t>
      </w:r>
    </w:p>
    <w:p>
      <w:pPr>
        <w:spacing w:after="0" w:line="224" w:lineRule="exact"/>
        <w:rPr>
          <w:sz w:val="20"/>
          <w:szCs w:val="20"/>
          <w:color w:val="auto"/>
        </w:rPr>
      </w:pPr>
    </w:p>
    <w:p>
      <w:pPr>
        <w:ind w:right="140" w:firstLine="480"/>
        <w:spacing w:after="0" w:line="266" w:lineRule="auto"/>
        <w:rPr>
          <w:sz w:val="20"/>
          <w:szCs w:val="20"/>
          <w:color w:val="auto"/>
        </w:rPr>
      </w:pPr>
      <w:r>
        <w:rPr>
          <w:rFonts w:ascii="Arial" w:cs="Arial" w:eastAsia="Arial" w:hAnsi="Arial"/>
          <w:sz w:val="17"/>
          <w:szCs w:val="17"/>
          <w:i w:val="1"/>
          <w:iCs w:val="1"/>
          <w:color w:val="auto"/>
        </w:rPr>
        <w:t>Nature of Business</w:t>
      </w:r>
      <w:r>
        <w:rPr>
          <w:rFonts w:ascii="Arial" w:cs="Arial" w:eastAsia="Arial" w:hAnsi="Arial"/>
          <w:sz w:val="17"/>
          <w:szCs w:val="17"/>
          <w:color w:val="auto"/>
        </w:rPr>
        <w:t>. Gevo, Inc. (“Gevo” or the “Company,” which, unless otherwise indicated, refers to Gevo, Inc. and its subsidiaries) is a growth-oriented renewable fuels company that is commercializing the next generation of renewable low-carbon liquid transportation fuels with the potential to achieve a “net zero” greenhouse gas (“GHG”) footprint and address global needs of reducing GHG emissions with sustainable alternatives to petroleum fuels. As next generation renewable fuels, Gevo’s hydrocarbon transportation fuels have the advantage of being “drop-in” substitutes for conventional fuels that are derived from crude oil, working seamlessly and without modification in existing fossil-fuel based engines, supply chains and storage infrastructure. In addition to the potential of net zero carbon emissions across the whole fuel life-cycle, Gevo’s renewable fuels eliminate other pollutants associated with the burning of traditional fossil fuels such as particulates and sulfur, while delivering superior performance. Gevo believes that the world is substantially under-supplied with low-carbon, drop-in renewable fuels that can be immediately used in existing transportation engines and infrastructure, and Gevo is uniquely positioned to grow in serving that demand.</w:t>
      </w:r>
    </w:p>
    <w:p>
      <w:pPr>
        <w:spacing w:after="0" w:line="185" w:lineRule="exact"/>
        <w:rPr>
          <w:sz w:val="20"/>
          <w:szCs w:val="20"/>
          <w:color w:val="auto"/>
        </w:rPr>
      </w:pPr>
    </w:p>
    <w:p>
      <w:pPr>
        <w:ind w:right="20" w:firstLine="480"/>
        <w:spacing w:after="0" w:line="268" w:lineRule="auto"/>
        <w:rPr>
          <w:sz w:val="20"/>
          <w:szCs w:val="20"/>
          <w:color w:val="auto"/>
        </w:rPr>
      </w:pPr>
      <w:r>
        <w:rPr>
          <w:rFonts w:ascii="Arial" w:cs="Arial" w:eastAsia="Arial" w:hAnsi="Arial"/>
          <w:sz w:val="17"/>
          <w:szCs w:val="17"/>
          <w:color w:val="auto"/>
        </w:rPr>
        <w:t>Gevo uses low-carbon, renewable resource-based carbohydrates as raw materials. In the near-term, Gevo’s feedstocks will primarily consist of non-food corn. As Gevo’s technology is applied globally, feedstocks can consist of sugar cane, molasses or other cellulosic sugars derived from wood, agricultural residues and waste. Gevo’s patented fermentation yeast biocatalyst produces isobutanol, a four-carbon alcohol, via the fermentation of renewable plant biomass carbohydrates. The resulting renewable isobutanol has a variety of direct applications but, more importantly to Gevo’s fundamental strategy, serves as a building block to make renewable isooctane (which we refer to as a renewable premium gasoline) and renewable jet fuel using simple and common chemical conversion processes. Gevo also reduces or eliminates fossil-based process energy inputs by replacing them with renewable energy such as wind-powered electricity and renewable natural gas (“RNG”).</w:t>
      </w:r>
    </w:p>
    <w:p>
      <w:pPr>
        <w:spacing w:after="0" w:line="180" w:lineRule="exact"/>
        <w:rPr>
          <w:sz w:val="20"/>
          <w:szCs w:val="20"/>
          <w:color w:val="auto"/>
        </w:rPr>
      </w:pPr>
    </w:p>
    <w:p>
      <w:pPr>
        <w:ind w:right="60" w:firstLine="480"/>
        <w:spacing w:after="0" w:line="289" w:lineRule="auto"/>
        <w:rPr>
          <w:sz w:val="20"/>
          <w:szCs w:val="20"/>
          <w:color w:val="auto"/>
        </w:rPr>
      </w:pPr>
      <w:r>
        <w:rPr>
          <w:rFonts w:ascii="Arial" w:cs="Arial" w:eastAsia="Arial" w:hAnsi="Arial"/>
          <w:sz w:val="16"/>
          <w:szCs w:val="16"/>
          <w:color w:val="auto"/>
        </w:rPr>
        <w:t>Ultimately, the Company believes that the attainment of profitable operations is dependent upon future events, including (i) completing certain capital improvements at the Company’s production facility located in Luverne, Minnesota (the "Luverne Facility") to increase the production capacity of renewable gasoline and jet fuel and other related products that can be made from isobutanol; (ii) completing the Company's development activities resulting in commercial production and sales of renewable hydrocarbon products; (iii) obtaining adequate financing to complete the Company's development activities, including the build out of renewable hydrocarbon capacity; (iv) gaining market acceptance and demand for the Company's products and services; (v) attracting and retaining qualified personnel; and (vi) achieving a level of revenues adequate to support the Company's cost structure.</w:t>
      </w:r>
    </w:p>
    <w:p>
      <w:pPr>
        <w:spacing w:after="0" w:line="165" w:lineRule="exact"/>
        <w:rPr>
          <w:sz w:val="20"/>
          <w:szCs w:val="20"/>
          <w:color w:val="auto"/>
        </w:rPr>
      </w:pPr>
    </w:p>
    <w:p>
      <w:pPr>
        <w:ind w:right="260" w:firstLine="480"/>
        <w:spacing w:after="0" w:line="253" w:lineRule="auto"/>
        <w:rPr>
          <w:sz w:val="20"/>
          <w:szCs w:val="20"/>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The novel coronavirus ("COVID-19") pandemic has had an adverse impact on global commercial activity, including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industry and its supply chain and has contributed to significant volatility in the financial markets. In light of the current and potential future disruption to the Company's business operations and those of its customers, suppliers and other third parties with whom the Company does business, the Company considered the impact of the COVID-19 pandemic on its business. This analysis considered the Company's resilience and continuity plans, financial modeling and stress testing of liquidity and financial resources.</w:t>
      </w:r>
    </w:p>
    <w:p>
      <w:pPr>
        <w:spacing w:after="0" w:line="190" w:lineRule="exact"/>
        <w:rPr>
          <w:sz w:val="20"/>
          <w:szCs w:val="20"/>
          <w:color w:val="auto"/>
        </w:rPr>
      </w:pPr>
    </w:p>
    <w:p>
      <w:pPr>
        <w:ind w:right="40" w:firstLine="480"/>
        <w:spacing w:after="0" w:line="271" w:lineRule="auto"/>
        <w:rPr>
          <w:sz w:val="20"/>
          <w:szCs w:val="20"/>
          <w:color w:val="auto"/>
        </w:rPr>
      </w:pPr>
      <w:r>
        <w:rPr>
          <w:rFonts w:ascii="Arial" w:cs="Arial" w:eastAsia="Arial" w:hAnsi="Arial"/>
          <w:sz w:val="17"/>
          <w:szCs w:val="17"/>
          <w:color w:val="auto"/>
        </w:rPr>
        <w:t>The Company expects that the impact of the COVID-19 pandemic on general economic activity will negatively impact its revenue and operating results for at least the remainder of 2020. The suspension of ethanol production at the Company's Luverne Facility for the foreseeable future and reduction in the Company's workforce during the first quarter of 2020 due to the impact of COVID-19 had an adverse impact on the Company’s financial results for the second quarter of 2020 reducing revenue by 81% compared to the same period in 2019. The Company expects that the suspension of ethanol production at the Luverne Facility and reduction in workforce will allow it to reduce its cash burn during 2020.</w:t>
      </w:r>
    </w:p>
    <w:p>
      <w:pPr>
        <w:spacing w:after="0" w:line="177" w:lineRule="exact"/>
        <w:rPr>
          <w:sz w:val="20"/>
          <w:szCs w:val="20"/>
          <w:color w:val="auto"/>
        </w:rPr>
      </w:pPr>
    </w:p>
    <w:p>
      <w:pPr>
        <w:ind w:firstLine="480"/>
        <w:spacing w:after="0" w:line="255" w:lineRule="auto"/>
        <w:rPr>
          <w:sz w:val="20"/>
          <w:szCs w:val="20"/>
          <w:color w:val="auto"/>
        </w:rPr>
      </w:pPr>
      <w:r>
        <w:rPr>
          <w:rFonts w:ascii="Arial" w:cs="Arial" w:eastAsia="Arial" w:hAnsi="Arial"/>
          <w:sz w:val="18"/>
          <w:szCs w:val="18"/>
          <w:color w:val="auto"/>
        </w:rPr>
        <w:t>As an increasing percentage of the Company’s employees work remotely, the Company faces the risk that unusual working arrangements could impact the effectiveness of its operations or controls. A potential COVID-19 infection of any of its key employees could materially and adversely impact its operations. In addition, it is possible that COVID-19 restrictions could create difficulty for satisfying the Company’s legal or regulatory filing or other obligations, including with the SEC and other regulators.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140" w:firstLine="480"/>
        <w:spacing w:after="0" w:line="292" w:lineRule="auto"/>
        <w:rPr>
          <w:sz w:val="20"/>
          <w:szCs w:val="20"/>
          <w:color w:val="auto"/>
        </w:rPr>
      </w:pPr>
      <w:r>
        <w:rPr>
          <w:rFonts w:ascii="Arial" w:cs="Arial" w:eastAsia="Arial" w:hAnsi="Arial"/>
          <w:sz w:val="16"/>
          <w:szCs w:val="16"/>
          <w:color w:val="auto"/>
        </w:rPr>
        <w:t>There is also a risk that the COVID-19 pandemic could have a material adverse impact on customer demand and cash flow for the remainder of 2020 and beyond. The Company will continue to monitor the situation and assess possible implications to the Company's business and its stakeholders and will take appropriate actions to help mitigate adverse consequences. The extent to which COVID-19 impacts its business and financial position will depend on future developments, which are difficult to predict, including the severity, duration and scope of the COVID-19 outbreak as well as the types of measures imposed by governmental authorities to contain the virus or address its impact and the duration of those actions and measures.</w:t>
      </w:r>
    </w:p>
    <w:p>
      <w:pPr>
        <w:spacing w:after="0" w:line="188" w:lineRule="exact"/>
        <w:rPr>
          <w:sz w:val="20"/>
          <w:szCs w:val="20"/>
          <w:color w:val="auto"/>
        </w:rPr>
      </w:pPr>
    </w:p>
    <w:p>
      <w:pPr>
        <w:ind w:right="160" w:firstLine="480"/>
        <w:spacing w:after="0" w:line="285" w:lineRule="auto"/>
        <w:rPr>
          <w:sz w:val="20"/>
          <w:szCs w:val="20"/>
          <w:color w:val="auto"/>
        </w:rPr>
      </w:pPr>
      <w:r>
        <w:rPr>
          <w:rFonts w:ascii="Arial" w:cs="Arial" w:eastAsia="Arial" w:hAnsi="Arial"/>
          <w:sz w:val="16"/>
          <w:szCs w:val="16"/>
          <w:color w:val="auto"/>
        </w:rPr>
        <w:t>The Company has considered multiple scenarios, with both positive and negative inputs, as part of the significant estimates and assumptions that are inherent in its financial statements and are based on trends in customer behavior and the economic environment throughout the quarter ended June 30, 2020 and beyond as the COVID-19 pandemic has impacted the industries in which the Company operates. These estimates and assumptions include the collectability of billed and unbilled receivables and the estimation of revenue and tangible and intangible assets. With regard to collectability, the Company believes it may face atypical delays in client payments going forward but the Company has not experienced delays in collection as of June 30, 2020. In addition, management believes that the demand for certain discretionary lines of business may decrease, and that such decrease will impact its financial results in succeeding periods. Non-discretionary lines of business may also be adversely affected, for example because reduced economic activity or disruption in hydrocarbon markets reduces demand for or the extent of renewable alcohol-to-jet fuel (“ATJ”), isooctane and isooctene. The Company believes that these trends and uncertainties are comparable to those faced by other registrants as a result of the pandemic.</w:t>
      </w:r>
    </w:p>
    <w:p>
      <w:pPr>
        <w:spacing w:after="0" w:line="168" w:lineRule="exact"/>
        <w:rPr>
          <w:sz w:val="20"/>
          <w:szCs w:val="20"/>
          <w:color w:val="auto"/>
        </w:rPr>
      </w:pPr>
    </w:p>
    <w:p>
      <w:pPr>
        <w:ind w:right="40" w:firstLine="480"/>
        <w:spacing w:after="0" w:line="287" w:lineRule="auto"/>
        <w:rPr>
          <w:sz w:val="20"/>
          <w:szCs w:val="20"/>
          <w:color w:val="auto"/>
        </w:rPr>
      </w:pPr>
      <w:r>
        <w:rPr>
          <w:rFonts w:ascii="Arial" w:cs="Arial" w:eastAsia="Arial" w:hAnsi="Arial"/>
          <w:sz w:val="16"/>
          <w:szCs w:val="16"/>
          <w:color w:val="auto"/>
        </w:rPr>
        <w:t>In response to the impact of the COVID-19 pandemic, each of Patrick R. Gruber, the Company's Chief Executive Officer, Christopher M. Ryan, the Company's President, Chief Operating Officer and Chief Technology Officer, L. Lynn Smull, the Company's Chief Financial Officer, Timothy J. Cesarek, the Company's Chief Commercial Officer, Geoffrey T. Williams, Jr., the Company's General Counsel and Secretary, and Carolyn M. Romero, the Company's Vice President - Controller and Principal Accounting Officer (collectively, the “Officers”) accepted 20% reductions to their base salaries. These reductions became effective as of April 1, 2020 and will continue until July 31, 2020. In connection with the 20% salary reduction, the Officers were granted Company stock in the form of restricted stock awards in an amount equal to the 20% reduction. Certain remaining employees that earn above a certain dollar threshold also agreed to take a 20% salary reduction through July 31, 2020, with the 20% portion to be paid in the form of restricted stock awards.</w:t>
      </w:r>
    </w:p>
    <w:p>
      <w:pPr>
        <w:spacing w:after="0" w:line="168" w:lineRule="exact"/>
        <w:rPr>
          <w:sz w:val="20"/>
          <w:szCs w:val="20"/>
          <w:color w:val="auto"/>
        </w:rPr>
      </w:pPr>
    </w:p>
    <w:p>
      <w:pPr>
        <w:ind w:right="80" w:firstLine="480"/>
        <w:spacing w:after="0" w:line="269" w:lineRule="auto"/>
        <w:rPr>
          <w:sz w:val="20"/>
          <w:szCs w:val="20"/>
          <w:color w:val="auto"/>
        </w:rPr>
      </w:pPr>
      <w:r>
        <w:rPr>
          <w:rFonts w:ascii="Arial" w:cs="Arial" w:eastAsia="Arial" w:hAnsi="Arial"/>
          <w:sz w:val="17"/>
          <w:szCs w:val="17"/>
          <w:color w:val="auto"/>
        </w:rPr>
        <w:t>In addition, in connection with the impact that the COVID-19 pandemic has had on the economy and on the resulting disruption to the airline industry specifically, the Company and Delta Air Lines, Inc. (“Delta”) amended portions of the Company's previously disclosed Fuel Sales Agreement (the “Delta Agreement”) on April 22, 2020 (the “Delta Amendment”). The Delta Amendment provides that Delta may terminate the Delta Agreement if the Company does not notify Delta by June 30, 2024 that the facility for the production, refining and delivery of ATJ with a nameplate capacity of up to 12 million gallons per year (the “Facility”) has achieved commercial operation and the ability to produce and deliver the ATJ purchased pursuant to the Delta Agreement (the date upon which such operation occurs is referred to as the “Commencement Date”).</w:t>
      </w:r>
    </w:p>
    <w:p>
      <w:pPr>
        <w:spacing w:after="0" w:line="180"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The Delta Amendment also revises the credit support terms in the Delta Agreement to state that the Company and Delta will work to mutually agree upon credit support terms for the take or pay that are acceptable to the Company’s lender to enable the Company to obtain third party financing prior to the earlier of the time that the Company obtains financing for construction of the Facility or otherwise issues a notice to commence construction of the Facility. If the Company and Delta are unable to agree on reasonable credit support terms, the Company may terminate the Delta Agreement. The balance of Delta’s credit support obligations were deleted.</w:t>
      </w:r>
    </w:p>
    <w:p>
      <w:pPr>
        <w:spacing w:after="0" w:line="190" w:lineRule="exact"/>
        <w:rPr>
          <w:sz w:val="20"/>
          <w:szCs w:val="20"/>
          <w:color w:val="auto"/>
        </w:rPr>
      </w:pPr>
    </w:p>
    <w:p>
      <w:pPr>
        <w:ind w:right="80" w:firstLine="480"/>
        <w:spacing w:after="0" w:line="269" w:lineRule="auto"/>
        <w:rPr>
          <w:sz w:val="20"/>
          <w:szCs w:val="20"/>
          <w:color w:val="auto"/>
        </w:rPr>
      </w:pPr>
      <w:r>
        <w:rPr>
          <w:rFonts w:ascii="Arial" w:cs="Arial" w:eastAsia="Arial" w:hAnsi="Arial"/>
          <w:sz w:val="17"/>
          <w:szCs w:val="17"/>
          <w:color w:val="auto"/>
        </w:rPr>
        <w:t>In addition, the Delta Amendment revises the ATJ pricing in the Delta Agreement to the extent that if Brent Crude is below a certain cutoff price as of the date that is 60 days prior to the Commencement Date (the “Commencement Notice Date”), then the pricing adjusts based upon a formula related to the Brent crude prices as of the Commencement Notice Date. The Delta Amendment also provides that, if as of the Commencement Notice Date, the Brent Crude price is below the price adjustment range, Delta may eliminate the take-or-pay requirements of the Delta Agreement, which includes eliminating Delta’s obligation to take-or-pay the 10 million gallons per year of ATJ. Instead, the Delta Agreement would require the Company and Delta to agree at that time on the volumes and price of any ATJ to be sold under the Delta Agreement.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80" w:firstLine="480"/>
        <w:spacing w:after="0" w:line="253" w:lineRule="auto"/>
        <w:rPr>
          <w:sz w:val="20"/>
          <w:szCs w:val="20"/>
          <w:color w:val="auto"/>
        </w:rPr>
      </w:pPr>
      <w:r>
        <w:rPr>
          <w:rFonts w:ascii="Arial" w:cs="Arial" w:eastAsia="Arial" w:hAnsi="Arial"/>
          <w:sz w:val="18"/>
          <w:szCs w:val="18"/>
          <w:i w:val="1"/>
          <w:iCs w:val="1"/>
          <w:color w:val="auto"/>
        </w:rPr>
        <w:t xml:space="preserve">Restructuring Expenses. </w:t>
      </w:r>
      <w:r>
        <w:rPr>
          <w:rFonts w:ascii="Arial" w:cs="Arial" w:eastAsia="Arial" w:hAnsi="Arial"/>
          <w:sz w:val="18"/>
          <w:szCs w:val="18"/>
          <w:color w:val="auto"/>
        </w:rPr>
        <w:t>During the first quarter of 2020, the Company suspended for the foreseeable future its ethanol production at the Luverne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 addition, due to the impact of the COVID-19 pandemic on the global economy and the Company’s industry, in March 2020, the Company reduced its workforce, impacting 26 people at the Luverne Facility and four people at the Company's corporate headquarters. Affected employees were offered a severance package which included a one-time payment, one month of health insurance and acceleration of vesting for any unvested restricted stock awards.</w:t>
      </w:r>
    </w:p>
    <w:p>
      <w:pPr>
        <w:spacing w:after="0" w:line="190" w:lineRule="exact"/>
        <w:rPr>
          <w:sz w:val="20"/>
          <w:szCs w:val="20"/>
          <w:color w:val="auto"/>
        </w:rPr>
      </w:pPr>
    </w:p>
    <w:p>
      <w:pPr>
        <w:ind w:right="180" w:firstLine="480"/>
        <w:spacing w:after="0" w:line="255" w:lineRule="auto"/>
        <w:rPr>
          <w:sz w:val="20"/>
          <w:szCs w:val="20"/>
          <w:color w:val="auto"/>
        </w:rPr>
      </w:pPr>
      <w:r>
        <w:rPr>
          <w:rFonts w:ascii="Arial" w:cs="Arial" w:eastAsia="Arial" w:hAnsi="Arial"/>
          <w:sz w:val="18"/>
          <w:szCs w:val="18"/>
          <w:color w:val="auto"/>
        </w:rPr>
        <w:t xml:space="preserve">The Company incurred $0.1 million related to severance costs and $0.2 million related to lease agreements for which it will no longer receive value during the six months ended June 30, 2020, which are recorded as </w:t>
      </w:r>
      <w:r>
        <w:rPr>
          <w:rFonts w:ascii="Arial" w:cs="Arial" w:eastAsia="Arial" w:hAnsi="Arial"/>
          <w:sz w:val="18"/>
          <w:szCs w:val="18"/>
          <w:i w:val="1"/>
          <w:iCs w:val="1"/>
          <w:color w:val="auto"/>
        </w:rPr>
        <w:t>Restructuring expenses</w:t>
      </w:r>
      <w:r>
        <w:rPr>
          <w:rFonts w:ascii="Arial" w:cs="Arial" w:eastAsia="Arial" w:hAnsi="Arial"/>
          <w:sz w:val="18"/>
          <w:szCs w:val="18"/>
          <w:color w:val="auto"/>
        </w:rPr>
        <w:t xml:space="preserve"> on the Consolidated Statements of Operations. Restructuring expense totaled $0.02 million and $0.3 million for Gevo and Gevo Development/Agri-Energy segments, respectively, during the six months ended June 30, 2020.</w:t>
      </w:r>
    </w:p>
    <w:p>
      <w:pPr>
        <w:spacing w:after="0" w:line="188" w:lineRule="exact"/>
        <w:rPr>
          <w:sz w:val="20"/>
          <w:szCs w:val="20"/>
          <w:color w:val="auto"/>
        </w:rPr>
      </w:pPr>
    </w:p>
    <w:p>
      <w:pPr>
        <w:ind w:right="80" w:firstLine="480"/>
        <w:spacing w:after="0" w:line="253" w:lineRule="auto"/>
        <w:rPr>
          <w:sz w:val="20"/>
          <w:szCs w:val="20"/>
          <w:color w:val="auto"/>
        </w:rPr>
      </w:pPr>
      <w:r>
        <w:rPr>
          <w:rFonts w:ascii="Arial" w:cs="Arial" w:eastAsia="Arial" w:hAnsi="Arial"/>
          <w:sz w:val="18"/>
          <w:szCs w:val="18"/>
          <w:color w:val="auto"/>
        </w:rPr>
        <w:t>The Company intends to continue developing its hydrocarbon business, including the planned expansion of the Luverne Facility, and the Company expects to move forward in securing the project funding needed to expand the Luverne Facility. The expansion is designed to allow the Company to produce large quantities of low carbon isobutanol, sustainable aviation fuel and renewable isooctane. The Company also expects to continue engineering efforts for the expansion of isobutanol production and the construction of a commercial renewable hydrocarbon production facility, as well as additional decarbonization projects, at the Luverne Facility.</w:t>
      </w:r>
    </w:p>
    <w:p>
      <w:pPr>
        <w:spacing w:after="0" w:line="190" w:lineRule="exact"/>
        <w:rPr>
          <w:sz w:val="20"/>
          <w:szCs w:val="20"/>
          <w:color w:val="auto"/>
        </w:rPr>
      </w:pPr>
    </w:p>
    <w:p>
      <w:pPr>
        <w:ind w:right="260" w:firstLine="480"/>
        <w:spacing w:after="0" w:line="270" w:lineRule="auto"/>
        <w:rPr>
          <w:sz w:val="20"/>
          <w:szCs w:val="20"/>
          <w:color w:val="auto"/>
        </w:rPr>
      </w:pPr>
      <w:r>
        <w:rPr>
          <w:rFonts w:ascii="Arial" w:cs="Arial" w:eastAsia="Arial" w:hAnsi="Arial"/>
          <w:sz w:val="18"/>
          <w:szCs w:val="18"/>
          <w:color w:val="auto"/>
        </w:rPr>
        <w:t xml:space="preserve">As of June 30, 2020, the Company had the following liabilities outstanding related to the restructuring expenses included in </w:t>
      </w:r>
      <w:r>
        <w:rPr>
          <w:rFonts w:ascii="Arial" w:cs="Arial" w:eastAsia="Arial" w:hAnsi="Arial"/>
          <w:sz w:val="18"/>
          <w:szCs w:val="18"/>
          <w:i w:val="1"/>
          <w:iCs w:val="1"/>
          <w:color w:val="auto"/>
        </w:rPr>
        <w:t>"Accounts payable and</w:t>
      </w:r>
      <w:r>
        <w:rPr>
          <w:rFonts w:ascii="Arial" w:cs="Arial" w:eastAsia="Arial" w:hAnsi="Arial"/>
          <w:sz w:val="18"/>
          <w:szCs w:val="18"/>
          <w:color w:val="auto"/>
        </w:rPr>
        <w:t xml:space="preserve"> </w:t>
      </w:r>
      <w:r>
        <w:rPr>
          <w:rFonts w:ascii="Arial" w:cs="Arial" w:eastAsia="Arial" w:hAnsi="Arial"/>
          <w:sz w:val="18"/>
          <w:szCs w:val="18"/>
          <w:i w:val="1"/>
          <w:iCs w:val="1"/>
          <w:color w:val="auto"/>
        </w:rPr>
        <w:t>accrued liabilities</w:t>
      </w:r>
      <w:r>
        <w:rPr>
          <w:rFonts w:ascii="Arial" w:cs="Arial" w:eastAsia="Arial" w:hAnsi="Arial"/>
          <w:sz w:val="18"/>
          <w:szCs w:val="18"/>
          <w:color w:val="auto"/>
        </w:rPr>
        <w:t>" in the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Payments</w:t>
            </w:r>
          </w:p>
        </w:tc>
        <w:tc>
          <w:tcPr>
            <w:tcW w:w="80" w:type="dxa"/>
            <w:vAlign w:val="bottom"/>
          </w:tcPr>
          <w:p>
            <w:pPr>
              <w:spacing w:after="0"/>
              <w:rPr>
                <w:sz w:val="19"/>
                <w:szCs w:val="19"/>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color w:val="auto"/>
                <w:w w:val="99"/>
              </w:rPr>
              <w:t>June 30, 2020</w:t>
            </w:r>
          </w:p>
        </w:tc>
      </w:tr>
      <w:tr>
        <w:trPr>
          <w:trHeight w:val="208"/>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Arial" w:cs="Arial" w:eastAsia="Arial" w:hAnsi="Arial"/>
                <w:sz w:val="18"/>
                <w:szCs w:val="18"/>
                <w:color w:val="auto"/>
              </w:rPr>
              <w:t>Severance (including payroll taxes)</w:t>
            </w:r>
          </w:p>
        </w:tc>
        <w:tc>
          <w:tcPr>
            <w:tcW w:w="240" w:type="dxa"/>
            <w:vAlign w:val="bottom"/>
          </w:tcPr>
          <w:p>
            <w:pPr>
              <w:jc w:val="right"/>
              <w:ind w:right="82"/>
              <w:spacing w:after="0"/>
              <w:rPr>
                <w:sz w:val="20"/>
                <w:szCs w:val="20"/>
                <w:color w:val="auto"/>
              </w:rPr>
            </w:pPr>
            <w:r>
              <w:rPr>
                <w:rFonts w:ascii="Arial" w:cs="Arial" w:eastAsia="Arial" w:hAnsi="Arial"/>
                <w:sz w:val="14"/>
                <w:szCs w:val="14"/>
                <w:color w:val="auto"/>
                <w:w w:val="76"/>
              </w:rPr>
              <w:t>$</w:t>
            </w:r>
          </w:p>
        </w:tc>
        <w:tc>
          <w:tcPr>
            <w:tcW w:w="880" w:type="dxa"/>
            <w:vAlign w:val="bottom"/>
          </w:tcPr>
          <w:p>
            <w:pPr>
              <w:ind w:left="70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600" w:type="dxa"/>
            <w:vAlign w:val="bottom"/>
            <w:gridSpan w:val="2"/>
          </w:tcPr>
          <w:p>
            <w:pPr>
              <w:jc w:val="right"/>
              <w:ind w:right="331"/>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420"/>
              <w:spacing w:after="0"/>
              <w:rPr>
                <w:sz w:val="20"/>
                <w:szCs w:val="20"/>
                <w:color w:val="auto"/>
              </w:rPr>
            </w:pPr>
            <w:r>
              <w:rPr>
                <w:rFonts w:ascii="Arial" w:cs="Arial" w:eastAsia="Arial" w:hAnsi="Arial"/>
                <w:sz w:val="18"/>
                <w:szCs w:val="18"/>
                <w:color w:val="auto"/>
              </w:rPr>
              <w:t>—</w:t>
            </w: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Lease agreements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88</w:t>
            </w:r>
          </w:p>
        </w:tc>
      </w:tr>
      <w:tr>
        <w:trPr>
          <w:trHeight w:val="20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79"/>
              </w:rPr>
              <w:t>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13" w:lineRule="exact"/>
        <w:rPr>
          <w:sz w:val="20"/>
          <w:szCs w:val="20"/>
          <w:color w:val="auto"/>
        </w:rPr>
      </w:pPr>
    </w:p>
    <w:p>
      <w:pPr>
        <w:ind w:right="260" w:firstLine="640"/>
        <w:spacing w:after="0" w:line="253" w:lineRule="auto"/>
        <w:rPr>
          <w:sz w:val="20"/>
          <w:szCs w:val="20"/>
          <w:color w:val="auto"/>
        </w:rPr>
      </w:pPr>
      <w:r>
        <w:rPr>
          <w:rFonts w:ascii="Arial" w:cs="Arial" w:eastAsia="Arial" w:hAnsi="Arial"/>
          <w:sz w:val="18"/>
          <w:szCs w:val="18"/>
          <w:i w:val="1"/>
          <w:iCs w:val="1"/>
          <w:color w:val="auto"/>
        </w:rPr>
        <w:t>Financial Condition</w:t>
      </w:r>
      <w:r>
        <w:rPr>
          <w:rFonts w:ascii="Arial" w:cs="Arial" w:eastAsia="Arial" w:hAnsi="Arial"/>
          <w:sz w:val="18"/>
          <w:szCs w:val="18"/>
          <w:color w:val="auto"/>
        </w:rPr>
        <w:t>. For the six months ended June 30, 2020 and 2019, the Company incurred a consolidated net loss of $15.3 million and $13.2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and had an accumulated deficit of $473.3 million as of June 30, 2020. The Company’s cash and cash equivalents as of June 30, 2020 totaled $6.3 million and are expected to be used for the following purposes: (i) operating activities at the Company’s corporate headquarters in Colorado, including research and development work; (ii) development projects associated with RNG; (iii) exploration of strategic alternatives and new financings; (iv) debt service obligations; and (v) maintaining the Luverne Facility.</w:t>
      </w:r>
    </w:p>
    <w:p>
      <w:pPr>
        <w:spacing w:after="0" w:line="190" w:lineRule="exact"/>
        <w:rPr>
          <w:sz w:val="20"/>
          <w:szCs w:val="20"/>
          <w:color w:val="auto"/>
        </w:rPr>
      </w:pPr>
    </w:p>
    <w:p>
      <w:pPr>
        <w:ind w:firstLine="480"/>
        <w:spacing w:after="0" w:line="286" w:lineRule="auto"/>
        <w:rPr>
          <w:sz w:val="20"/>
          <w:szCs w:val="20"/>
          <w:color w:val="auto"/>
        </w:rPr>
      </w:pPr>
      <w:r>
        <w:rPr>
          <w:rFonts w:ascii="Arial" w:cs="Arial" w:eastAsia="Arial" w:hAnsi="Arial"/>
          <w:sz w:val="16"/>
          <w:szCs w:val="16"/>
          <w:color w:val="auto"/>
        </w:rPr>
        <w:t>The Company expects to incur future net losses as it continues to fund the development and commercialization of its product candidates. To date, the Company has financed its operations primarily with proceeds from issuance of equity and debt securities, borrowings under debt facilities and product sales. The Company’s transition to profitability is dependent upon, among other things, the successful development and commercialization of its product candidates and the achievement of a level of revenues adequate to support the Company’s cost structure. The Company may never achieve profitability or positive cash flows, and unless and until it does, the Company will continue to need to raise additional capital. Management intends to fund future operations through additional private and/or public offerings of debt or equity securities. In addition, the Company may seek additional capital through arrangements with strategic partners or from other sources, it may seek to restructure its debt and it will continue to address its cost structure. Notwithstanding, there can be no assurance that the Company will be able to raise additional funds or achieve or sustain profitability or positive cash flows from operations.</w:t>
      </w:r>
    </w:p>
    <w:p>
      <w:pPr>
        <w:spacing w:after="0" w:line="167" w:lineRule="exact"/>
        <w:rPr>
          <w:sz w:val="20"/>
          <w:szCs w:val="20"/>
          <w:color w:val="auto"/>
        </w:rPr>
      </w:pPr>
    </w:p>
    <w:p>
      <w:pPr>
        <w:ind w:right="120" w:firstLine="480"/>
        <w:spacing w:after="0" w:line="289" w:lineRule="auto"/>
        <w:rPr>
          <w:sz w:val="20"/>
          <w:szCs w:val="20"/>
          <w:color w:val="auto"/>
        </w:rPr>
      </w:pPr>
      <w:r>
        <w:rPr>
          <w:rFonts w:ascii="Arial" w:cs="Arial" w:eastAsia="Arial" w:hAnsi="Arial"/>
          <w:sz w:val="16"/>
          <w:szCs w:val="16"/>
          <w:color w:val="auto"/>
        </w:rPr>
        <w:t>Existing working capital was not sufficient to meet the cash requirements to fund planned operations through the period that is one year after the date the Company’s financial statements for the six months ended June 30, 2020 were issued. These conditions raise substantial doubt about the Company’s ability to continue as a going concern. The Company’s inability to continue as a going concern may potentially affect the Company’s rights and obligations under its senior secured debt and issued and outstanding convertible notes. The accompanying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160" w:firstLine="480"/>
        <w:spacing w:after="0" w:line="258"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February 2018, the Company commenced an at-the-market offering program, which allows it to sell and issue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its common stock from time-to-time. In August 2019, the at-the-market offering program was amended to provide available capacity under the at-the-market offering program of $10.7 million.</w:t>
      </w:r>
    </w:p>
    <w:p>
      <w:pPr>
        <w:spacing w:after="0" w:line="186"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During the six months ended June 30, 2020, the Company issued 1,343,121 shares of common stock under the at-the-market offering program for total proceeds of $2.2 million, net of commissions and other offering related expenses.</w:t>
      </w:r>
    </w:p>
    <w:p>
      <w:pPr>
        <w:spacing w:after="0" w:line="175"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As of June 30, 2020, the Company has remaining capacity to issue up to approximately $6.5 million of common stock under the at-the-market offering program.</w:t>
      </w:r>
    </w:p>
    <w:p>
      <w:pPr>
        <w:spacing w:after="0" w:line="175"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unaudited consolidated financial statements of the Company (which include the accounts of its wholly-owned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Gevo Development, LLC (“Gevo Development”) and Agri-Energy, LLC (“Agri-Energy”)) have been prepared, without audit, pursuant to the rules and regulations of the U.S. Securities and Exchange Commission (the “SEC”). Accordingly, they do not include all information and footnotes required by accounting principles generally accepted in the United States (“GAAP”) for complete financial statements. These statements reflect all normal and recurring adjustments which, in the opinion of management, are necessary to present fairly the financial position, results of operations and cash flows of the Company at June 30, 2020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2019.</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There is no provision for income taxes because the Company has incurred operating losses since inception.</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 xml:space="preserve">Concentration of Business Risk. </w:t>
      </w:r>
      <w:r>
        <w:rPr>
          <w:rFonts w:ascii="Arial" w:cs="Arial" w:eastAsia="Arial" w:hAnsi="Arial"/>
          <w:sz w:val="18"/>
          <w:szCs w:val="18"/>
          <w:color w:val="auto"/>
        </w:rPr>
        <w:t>As of June 30, 2020, two customers, HCS Group GmbH ("HCS") and Coryton Advanced Fuels Ltd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("Coryton"), comprised approximately 63% and 15% of the Company's outstanding trade accounts receivable, respectively. As of December 31, 2019, three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customers, Eco-Energy, LLC ("Eco-Energy"), Purina Animal Nutrition, LLC ("Purina"), and HCS comprised 57%, 13% and 15% of the Company's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outstanding trade accounts receivable, respectively.</w:t>
      </w:r>
    </w:p>
    <w:p>
      <w:pPr>
        <w:spacing w:after="0" w:line="207" w:lineRule="exact"/>
        <w:rPr>
          <w:sz w:val="20"/>
          <w:szCs w:val="20"/>
          <w:color w:val="auto"/>
        </w:rPr>
      </w:pPr>
    </w:p>
    <w:p>
      <w:pPr>
        <w:ind w:right="360" w:firstLine="480"/>
        <w:spacing w:after="0" w:line="289" w:lineRule="auto"/>
        <w:rPr>
          <w:sz w:val="20"/>
          <w:szCs w:val="20"/>
          <w:color w:val="auto"/>
        </w:rPr>
      </w:pPr>
      <w:r>
        <w:rPr>
          <w:rFonts w:ascii="Arial" w:cs="Arial" w:eastAsia="Arial" w:hAnsi="Arial"/>
          <w:sz w:val="16"/>
          <w:szCs w:val="16"/>
          <w:color w:val="auto"/>
        </w:rPr>
        <w:t>For the three months ended June 30, 2020, HCS and Coryton accounted for approximately 76% and 11% of the Company's consolidated revenue, respectively. For the three months ended June 30, 2019, Eco-Energy and Purina represented approximately 77% and 18% of the Company's consolidated revenue, respectively. For the six months ended June 30, 2020, Eco-Energy, Purina and HCS accounted for approximately 60%, 17% and 16% of the Company's consolidated revenue, respectively. For the six months ended June 30, 2019, Eco-Energy and Purina accounted for approximately 72% and 18% of the Company's consolidated revenue, respectively. HCS and Coryton are customers of the Company's Gevo segment. Eco-Energy and Purina are customers of the Company's Gevo Development/Agri-Energy segment (see Note 14).</w:t>
      </w:r>
    </w:p>
    <w:p>
      <w:pPr>
        <w:spacing w:after="0" w:line="165" w:lineRule="exact"/>
        <w:rPr>
          <w:sz w:val="20"/>
          <w:szCs w:val="20"/>
          <w:color w:val="auto"/>
        </w:rPr>
      </w:pPr>
    </w:p>
    <w:p>
      <w:pPr>
        <w:ind w:right="20" w:firstLine="480"/>
        <w:spacing w:after="0" w:line="258" w:lineRule="auto"/>
        <w:rPr>
          <w:sz w:val="20"/>
          <w:szCs w:val="20"/>
          <w:color w:val="auto"/>
        </w:rPr>
      </w:pPr>
      <w:r>
        <w:rPr>
          <w:rFonts w:ascii="Arial" w:cs="Arial" w:eastAsia="Arial" w:hAnsi="Arial"/>
          <w:sz w:val="18"/>
          <w:szCs w:val="18"/>
          <w:i w:val="1"/>
          <w:iCs w:val="1"/>
          <w:color w:val="auto"/>
        </w:rPr>
        <w:t xml:space="preserve">Related Party Transaction. </w:t>
      </w:r>
      <w:r>
        <w:rPr>
          <w:rFonts w:ascii="Arial" w:cs="Arial" w:eastAsia="Arial" w:hAnsi="Arial"/>
          <w:sz w:val="18"/>
          <w:szCs w:val="18"/>
          <w:color w:val="auto"/>
        </w:rPr>
        <w:t>During the three months ended June 30, 2020, Gevo paid Blocksize Capital GmbH ("Blocksize") , a company in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of Gevo has an indirect ownership interest, $0.1 million for block chain software development services. There were no amounts payable to Blocksize as of June 30, 2020.</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24" w:lineRule="exact"/>
        <w:rPr>
          <w:sz w:val="20"/>
          <w:szCs w:val="20"/>
          <w:color w:val="auto"/>
        </w:rPr>
      </w:pPr>
    </w:p>
    <w:p>
      <w:pPr>
        <w:ind w:right="60" w:firstLine="469"/>
        <w:spacing w:after="0" w:line="296" w:lineRule="auto"/>
        <w:rPr>
          <w:sz w:val="20"/>
          <w:szCs w:val="20"/>
          <w:color w:val="auto"/>
        </w:rPr>
      </w:pPr>
      <w:r>
        <w:rPr>
          <w:rFonts w:ascii="Arial" w:cs="Arial" w:eastAsia="Arial" w:hAnsi="Arial"/>
          <w:sz w:val="16"/>
          <w:szCs w:val="16"/>
          <w:color w:val="auto"/>
        </w:rPr>
        <w:t>Basic earnings (loss) per share is computed by dividing the net loss for the period by the weighted-average number of common shares outstanding during the period. Diluted earnings (loss) per share (“EPS”) includes the dilutive effect of common stock equivalents and is computed using the weighted-average number of common stock and common stock equivalents outstanding during the reporting period. Diluted EPS for the three months ended June 30, 2020 and 2019 excluded common stock equivalents because the effect of their inclusion would be anti-dilutive or would decrease the reported loss per share.</w:t>
      </w:r>
    </w:p>
    <w:p>
      <w:pPr>
        <w:spacing w:after="0" w:line="16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securities outstanding that could potentially dilute the calculation of diluted earnings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30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Three and Six Months ended June</w:t>
            </w:r>
          </w:p>
        </w:tc>
      </w:tr>
      <w:tr>
        <w:trPr>
          <w:trHeight w:val="231"/>
        </w:trPr>
        <w:tc>
          <w:tcPr>
            <w:tcW w:w="8220" w:type="dxa"/>
            <w:vAlign w:val="bottom"/>
          </w:tcPr>
          <w:p>
            <w:pPr>
              <w:spacing w:after="0"/>
              <w:rPr>
                <w:sz w:val="20"/>
                <w:szCs w:val="20"/>
                <w:color w:val="auto"/>
              </w:rPr>
            </w:pPr>
          </w:p>
        </w:tc>
        <w:tc>
          <w:tcPr>
            <w:tcW w:w="18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8"/>
        </w:trPr>
        <w:tc>
          <w:tcPr>
            <w:tcW w:w="8220" w:type="dxa"/>
            <w:vAlign w:val="bottom"/>
          </w:tcPr>
          <w:p>
            <w:pPr>
              <w:spacing w:after="0"/>
              <w:rPr>
                <w:sz w:val="18"/>
                <w:szCs w:val="18"/>
                <w:color w:val="auto"/>
              </w:rPr>
            </w:pPr>
          </w:p>
        </w:tc>
        <w:tc>
          <w:tcPr>
            <w:tcW w:w="14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8"/>
                <w:szCs w:val="18"/>
                <w:color w:val="auto"/>
              </w:rPr>
            </w:pPr>
          </w:p>
        </w:tc>
      </w:tr>
      <w:tr>
        <w:trPr>
          <w:trHeight w:val="207"/>
        </w:trPr>
        <w:tc>
          <w:tcPr>
            <w:tcW w:w="8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8"/>
                <w:szCs w:val="18"/>
                <w:color w:val="auto"/>
              </w:rPr>
              <w:t>Warrants to purchase common stock - liability classified</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50,812</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55,963</w:t>
            </w:r>
          </w:p>
        </w:tc>
      </w:tr>
      <w:tr>
        <w:trPr>
          <w:trHeight w:val="213"/>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common stock - equity classified</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r>
      <w:tr>
        <w:trPr>
          <w:trHeight w:val="213"/>
        </w:trPr>
        <w:tc>
          <w:tcPr>
            <w:tcW w:w="8220" w:type="dxa"/>
            <w:vAlign w:val="bottom"/>
          </w:tcPr>
          <w:p>
            <w:pPr>
              <w:spacing w:after="0"/>
              <w:rPr>
                <w:sz w:val="20"/>
                <w:szCs w:val="20"/>
                <w:color w:val="auto"/>
              </w:rPr>
            </w:pPr>
            <w:r>
              <w:rPr>
                <w:rFonts w:ascii="Arial" w:cs="Arial" w:eastAsia="Arial" w:hAnsi="Arial"/>
                <w:sz w:val="18"/>
                <w:szCs w:val="18"/>
                <w:color w:val="auto"/>
              </w:rPr>
              <w:t>Conversion of 2020/21 Notes</w:t>
            </w:r>
          </w:p>
        </w:tc>
        <w:tc>
          <w:tcPr>
            <w:tcW w:w="1400" w:type="dxa"/>
            <w:vAlign w:val="bottom"/>
          </w:tcPr>
          <w:p>
            <w:pPr>
              <w:jc w:val="right"/>
              <w:spacing w:after="0"/>
              <w:rPr>
                <w:sz w:val="20"/>
                <w:szCs w:val="20"/>
                <w:color w:val="auto"/>
              </w:rPr>
            </w:pPr>
            <w:r>
              <w:rPr>
                <w:rFonts w:ascii="Arial" w:cs="Arial" w:eastAsia="Arial" w:hAnsi="Arial"/>
                <w:sz w:val="18"/>
                <w:szCs w:val="18"/>
                <w:color w:val="auto"/>
              </w:rPr>
              <w:t>6,780,958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3"/>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2020 Notes</w:t>
            </w:r>
          </w:p>
        </w:tc>
        <w:tc>
          <w:tcPr>
            <w:tcW w:w="18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1,020,595</w:t>
            </w:r>
          </w:p>
        </w:tc>
      </w:tr>
      <w:tr>
        <w:trPr>
          <w:trHeight w:val="213"/>
        </w:trPr>
        <w:tc>
          <w:tcPr>
            <w:tcW w:w="822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1,556</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2,361</w:t>
            </w:r>
          </w:p>
        </w:tc>
      </w:tr>
      <w:tr>
        <w:trPr>
          <w:trHeight w:val="227"/>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Stock appreciation rights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132,566</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132,566</w:t>
            </w:r>
          </w:p>
        </w:tc>
      </w:tr>
      <w:tr>
        <w:trPr>
          <w:trHeight w:val="213"/>
        </w:trPr>
        <w:tc>
          <w:tcPr>
            <w:tcW w:w="822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8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1,538,184</w:t>
            </w:r>
          </w:p>
        </w:tc>
      </w:tr>
      <w:tr>
        <w:trPr>
          <w:trHeight w:val="247"/>
        </w:trPr>
        <w:tc>
          <w:tcPr>
            <w:tcW w:w="8220" w:type="dxa"/>
            <w:vAlign w:val="bottom"/>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13"/>
        </w:trPr>
        <w:tc>
          <w:tcPr>
            <w:tcW w:w="8220" w:type="dxa"/>
            <w:vAlign w:val="bottom"/>
          </w:tcPr>
          <w:p>
            <w:pPr>
              <w:ind w:left="16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6,965,892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2,749,675</w:t>
            </w:r>
          </w:p>
        </w:tc>
      </w:tr>
      <w:tr>
        <w:trPr>
          <w:trHeight w:val="20"/>
        </w:trPr>
        <w:tc>
          <w:tcPr>
            <w:tcW w:w="8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 and Other Revenues</w:t>
      </w:r>
    </w:p>
    <w:p>
      <w:pPr>
        <w:spacing w:after="0" w:line="224" w:lineRule="exact"/>
        <w:rPr>
          <w:sz w:val="20"/>
          <w:szCs w:val="20"/>
          <w:color w:val="auto"/>
        </w:rPr>
      </w:pPr>
    </w:p>
    <w:p>
      <w:pPr>
        <w:ind w:right="140" w:firstLine="560"/>
        <w:spacing w:after="0" w:line="333" w:lineRule="auto"/>
        <w:rPr>
          <w:sz w:val="20"/>
          <w:szCs w:val="20"/>
          <w:color w:val="auto"/>
        </w:rPr>
      </w:pPr>
      <w:r>
        <w:rPr>
          <w:rFonts w:ascii="Arial" w:cs="Arial" w:eastAsia="Arial" w:hAnsi="Arial"/>
          <w:sz w:val="16"/>
          <w:szCs w:val="16"/>
          <w:color w:val="auto"/>
        </w:rPr>
        <w:t>The Company’s current and historical revenues have consisted of the following: (a) ethanol sales and related products revenue, net; (b) hydrocarbon revenue; and (c) grant and other revenue, which primarily has historically consisted of revenues from governmental and cooperative research grants.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Ethanol sales and related products revenues. </w:t>
      </w:r>
      <w:r>
        <w:rPr>
          <w:rFonts w:ascii="Arial" w:cs="Arial" w:eastAsia="Arial" w:hAnsi="Arial"/>
          <w:sz w:val="17"/>
          <w:szCs w:val="17"/>
          <w:color w:val="auto"/>
        </w:rPr>
        <w:t>Ethanol sales and related products revenues are sold to customers on a free-on-board, shipping</w:t>
      </w:r>
    </w:p>
    <w:p>
      <w:pPr>
        <w:spacing w:after="0" w:line="3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point basis. Revenue is recognized when the customer has control of the product. Each transaction occurs independent of any other sale, and once sold, there are no future obligations on the part of the Company to provide post-sale support or promises to deliver future goods or services.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Hydrocarbon revenue. </w:t>
      </w:r>
      <w:r>
        <w:rPr>
          <w:rFonts w:ascii="Arial" w:cs="Arial" w:eastAsia="Arial" w:hAnsi="Arial"/>
          <w:sz w:val="17"/>
          <w:szCs w:val="17"/>
          <w:color w:val="auto"/>
        </w:rPr>
        <w:t>Hydrocarbon revenues include sales of ATJ, isooctene and isooctane and is sold mostly on a free-on-board, shipping</w:t>
      </w:r>
    </w:p>
    <w:p>
      <w:pPr>
        <w:spacing w:after="0" w:line="3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point basis. Revenue is recognized when the customer has control of the product. Each transaction occurs independent of any other sale, and once sold, there are no future obligations on the part of the Company to provide post-sale support or promises to deliver future goods or services.</w:t>
      </w:r>
    </w:p>
    <w:p>
      <w:pPr>
        <w:spacing w:after="0" w:line="165" w:lineRule="exact"/>
        <w:rPr>
          <w:sz w:val="20"/>
          <w:szCs w:val="20"/>
          <w:color w:val="auto"/>
        </w:rPr>
      </w:pPr>
    </w:p>
    <w:p>
      <w:pPr>
        <w:ind w:right="700" w:firstLine="560"/>
        <w:spacing w:after="0" w:line="270" w:lineRule="auto"/>
        <w:rPr>
          <w:sz w:val="20"/>
          <w:szCs w:val="20"/>
          <w:color w:val="auto"/>
        </w:rPr>
      </w:pPr>
      <w:r>
        <w:rPr>
          <w:rFonts w:ascii="Arial" w:cs="Arial" w:eastAsia="Arial" w:hAnsi="Arial"/>
          <w:sz w:val="18"/>
          <w:szCs w:val="18"/>
          <w:color w:val="auto"/>
        </w:rPr>
        <w:t>The following table sets forth the components of the Company’s revenues between those generated from contracts with customers and those generated from arrangements that do not constitute a contract with a customer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6"/>
          </w:tcPr>
          <w:p>
            <w:pPr>
              <w:jc w:val="center"/>
              <w:ind w:left="791"/>
              <w:spacing w:after="0"/>
              <w:rPr>
                <w:sz w:val="20"/>
                <w:szCs w:val="20"/>
                <w:color w:val="auto"/>
              </w:rPr>
            </w:pPr>
            <w:r>
              <w:rPr>
                <w:rFonts w:ascii="Arial" w:cs="Arial" w:eastAsia="Arial" w:hAnsi="Arial"/>
                <w:sz w:val="18"/>
                <w:szCs w:val="18"/>
                <w:b w:val="1"/>
                <w:bCs w:val="1"/>
                <w:color w:val="auto"/>
                <w:w w:val="89"/>
              </w:rPr>
              <w:t>Three Months Ended June 30, 2020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Contracts with</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920" w:type="dxa"/>
            <w:vAlign w:val="bottom"/>
          </w:tcPr>
          <w:p>
            <w:pPr>
              <w:jc w:val="center"/>
              <w:ind w:left="1191"/>
              <w:spacing w:after="0"/>
              <w:rPr>
                <w:sz w:val="20"/>
                <w:szCs w:val="20"/>
                <w:color w:val="auto"/>
              </w:rPr>
            </w:pPr>
            <w:r>
              <w:rPr>
                <w:rFonts w:ascii="Arial" w:cs="Arial" w:eastAsia="Arial" w:hAnsi="Arial"/>
                <w:sz w:val="18"/>
                <w:szCs w:val="18"/>
                <w:b w:val="1"/>
                <w:bCs w:val="1"/>
                <w:color w:val="auto"/>
                <w:w w:val="90"/>
              </w:rPr>
              <w:t>Major Goods/Service Line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Customers</w:t>
            </w:r>
          </w:p>
        </w:tc>
        <w:tc>
          <w:tcPr>
            <w:tcW w:w="10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Other Revenues</w:t>
            </w:r>
          </w:p>
        </w:tc>
        <w:tc>
          <w:tcPr>
            <w:tcW w:w="46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8"/>
        </w:trPr>
        <w:tc>
          <w:tcPr>
            <w:tcW w:w="49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Ethanol sales and related products, net</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Other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988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20" w:type="dxa"/>
            <w:vAlign w:val="bottom"/>
            <w:tcBorders>
              <w:bottom w:val="single" w:sz="8" w:color="auto"/>
            </w:tcBorders>
            <w:shd w:val="clear" w:color="auto" w:fill="CCEEFF"/>
          </w:tcPr>
          <w:p>
            <w:pPr>
              <w:jc w:val="center"/>
              <w:ind w:left="1191"/>
              <w:spacing w:after="0" w:line="194" w:lineRule="exact"/>
              <w:rPr>
                <w:sz w:val="20"/>
                <w:szCs w:val="20"/>
                <w:color w:val="auto"/>
              </w:rPr>
            </w:pPr>
            <w:r>
              <w:rPr>
                <w:rFonts w:ascii="Arial" w:cs="Arial" w:eastAsia="Arial" w:hAnsi="Arial"/>
                <w:sz w:val="18"/>
                <w:szCs w:val="18"/>
                <w:b w:val="1"/>
                <w:bCs w:val="1"/>
                <w:color w:val="auto"/>
                <w:w w:val="88"/>
              </w:rPr>
              <w:t>Timing of Revenue Recognition</w:t>
            </w:r>
          </w:p>
        </w:tc>
        <w:tc>
          <w:tcPr>
            <w:tcW w:w="12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942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0"/>
        </w:trPr>
        <w:tc>
          <w:tcPr>
            <w:tcW w:w="492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6"/>
          </w:tcPr>
          <w:p>
            <w:pPr>
              <w:jc w:val="center"/>
              <w:ind w:left="791"/>
              <w:spacing w:after="0"/>
              <w:rPr>
                <w:sz w:val="20"/>
                <w:szCs w:val="20"/>
                <w:color w:val="auto"/>
              </w:rPr>
            </w:pPr>
            <w:r>
              <w:rPr>
                <w:rFonts w:ascii="Arial" w:cs="Arial" w:eastAsia="Arial" w:hAnsi="Arial"/>
                <w:sz w:val="18"/>
                <w:szCs w:val="18"/>
                <w:b w:val="1"/>
                <w:bCs w:val="1"/>
                <w:color w:val="auto"/>
                <w:w w:val="89"/>
              </w:rPr>
              <w:t>Three Months Ended June 30, 2019</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Contracts with</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920" w:type="dxa"/>
            <w:vAlign w:val="bottom"/>
            <w:tcBorders>
              <w:bottom w:val="single" w:sz="8" w:color="auto"/>
            </w:tcBorders>
          </w:tcPr>
          <w:p>
            <w:pPr>
              <w:jc w:val="center"/>
              <w:ind w:left="1191"/>
              <w:spacing w:after="0"/>
              <w:rPr>
                <w:sz w:val="20"/>
                <w:szCs w:val="20"/>
                <w:color w:val="auto"/>
              </w:rPr>
            </w:pPr>
            <w:r>
              <w:rPr>
                <w:rFonts w:ascii="Arial" w:cs="Arial" w:eastAsia="Arial" w:hAnsi="Arial"/>
                <w:sz w:val="18"/>
                <w:szCs w:val="18"/>
                <w:b w:val="1"/>
                <w:bCs w:val="1"/>
                <w:color w:val="auto"/>
                <w:w w:val="90"/>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Customers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8"/>
              </w:rPr>
              <w:t>Other Revenues</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9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Ethanol sales and related products, net</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4,996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Other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79"/>
              </w:rPr>
              <w:t>28</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spacing w:after="0"/>
              <w:rPr>
                <w:sz w:val="19"/>
                <w:szCs w:val="19"/>
                <w:color w:val="auto"/>
              </w:rPr>
            </w:pPr>
          </w:p>
        </w:tc>
        <w:tc>
          <w:tcPr>
            <w:tcW w:w="158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5,058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ind w:left="1160"/>
              <w:spacing w:after="0"/>
              <w:rPr>
                <w:sz w:val="20"/>
                <w:szCs w:val="20"/>
                <w:color w:val="auto"/>
              </w:rPr>
            </w:pPr>
            <w:r>
              <w:rPr>
                <w:rFonts w:ascii="Arial" w:cs="Arial" w:eastAsia="Arial" w:hAnsi="Arial"/>
                <w:sz w:val="18"/>
                <w:szCs w:val="18"/>
                <w:color w:val="auto"/>
                <w:w w:val="79"/>
              </w:rPr>
              <w:t>28</w:t>
            </w:r>
          </w:p>
        </w:tc>
        <w:tc>
          <w:tcPr>
            <w:tcW w:w="220" w:type="dxa"/>
            <w:vAlign w:val="bottom"/>
          </w:tcPr>
          <w:p>
            <w:pPr>
              <w:spacing w:after="0"/>
              <w:rPr>
                <w:sz w:val="18"/>
                <w:szCs w:val="18"/>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20" w:type="dxa"/>
            <w:vAlign w:val="bottom"/>
            <w:tcBorders>
              <w:bottom w:val="single" w:sz="8" w:color="auto"/>
            </w:tcBorders>
            <w:shd w:val="clear" w:color="auto" w:fill="CCEEFF"/>
          </w:tcPr>
          <w:p>
            <w:pPr>
              <w:jc w:val="center"/>
              <w:ind w:left="1191"/>
              <w:spacing w:after="0" w:line="194" w:lineRule="exact"/>
              <w:rPr>
                <w:sz w:val="20"/>
                <w:szCs w:val="20"/>
                <w:color w:val="auto"/>
              </w:rPr>
            </w:pPr>
            <w:r>
              <w:rPr>
                <w:rFonts w:ascii="Arial" w:cs="Arial" w:eastAsia="Arial" w:hAnsi="Arial"/>
                <w:sz w:val="18"/>
                <w:szCs w:val="18"/>
                <w:b w:val="1"/>
                <w:bCs w:val="1"/>
                <w:color w:val="auto"/>
                <w:w w:val="88"/>
              </w:rPr>
              <w:t>Timing of Revenue Recognition</w:t>
            </w:r>
          </w:p>
        </w:tc>
        <w:tc>
          <w:tcPr>
            <w:tcW w:w="12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1520" w:type="dxa"/>
            <w:vAlign w:val="bottom"/>
            <w:gridSpan w:val="3"/>
          </w:tcPr>
          <w:p>
            <w:pPr>
              <w:spacing w:after="0"/>
              <w:rPr>
                <w:sz w:val="17"/>
                <w:szCs w:val="17"/>
                <w:color w:val="auto"/>
              </w:rPr>
            </w:pPr>
          </w:p>
        </w:tc>
        <w:tc>
          <w:tcPr>
            <w:tcW w:w="15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5,058</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79"/>
              </w:rPr>
              <w:t>28</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spacing w:after="0"/>
              <w:rPr>
                <w:sz w:val="19"/>
                <w:szCs w:val="19"/>
                <w:color w:val="auto"/>
              </w:rPr>
            </w:pPr>
          </w:p>
        </w:tc>
        <w:tc>
          <w:tcPr>
            <w:tcW w:w="158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5,058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ind w:left="1160"/>
              <w:spacing w:after="0"/>
              <w:rPr>
                <w:sz w:val="20"/>
                <w:szCs w:val="20"/>
                <w:color w:val="auto"/>
              </w:rPr>
            </w:pPr>
            <w:r>
              <w:rPr>
                <w:rFonts w:ascii="Arial" w:cs="Arial" w:eastAsia="Arial" w:hAnsi="Arial"/>
                <w:sz w:val="18"/>
                <w:szCs w:val="18"/>
                <w:color w:val="auto"/>
                <w:w w:val="79"/>
              </w:rPr>
              <w:t>28</w:t>
            </w:r>
          </w:p>
        </w:tc>
        <w:tc>
          <w:tcPr>
            <w:tcW w:w="220" w:type="dxa"/>
            <w:vAlign w:val="bottom"/>
          </w:tcPr>
          <w:p>
            <w:pPr>
              <w:spacing w:after="0"/>
              <w:rPr>
                <w:sz w:val="18"/>
                <w:szCs w:val="18"/>
                <w:color w:val="auto"/>
              </w:rPr>
            </w:pPr>
          </w:p>
        </w:tc>
        <w:tc>
          <w:tcPr>
            <w:tcW w:w="460" w:type="dxa"/>
            <w:vAlign w:val="bottom"/>
          </w:tcPr>
          <w:p>
            <w:pPr>
              <w:jc w:val="right"/>
              <w:ind w:right="3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vMerge w:val="restart"/>
          </w:tcPr>
          <w:p>
            <w:pPr>
              <w:jc w:val="right"/>
              <w:ind w:right="39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9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100"/>
        <w:spacing w:after="0"/>
        <w:rPr>
          <w:sz w:val="20"/>
          <w:szCs w:val="20"/>
          <w:color w:val="auto"/>
        </w:rPr>
      </w:pPr>
      <w:r>
        <w:rPr>
          <w:rFonts w:ascii="Arial" w:cs="Arial" w:eastAsia="Arial" w:hAnsi="Arial"/>
          <w:sz w:val="17"/>
          <w:szCs w:val="17"/>
          <w:b w:val="1"/>
          <w:bCs w:val="1"/>
          <w:color w:val="auto"/>
        </w:rPr>
        <w:t>Major Goods/Service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39312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31285" cy="825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Ethanol sales and related products, net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Hydrocarbon revenue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Other revenue</w:t>
      </w:r>
    </w:p>
    <w:p>
      <w:pPr>
        <w:spacing w:after="0" w:line="200" w:lineRule="exact"/>
        <w:rPr>
          <w:sz w:val="20"/>
          <w:szCs w:val="20"/>
          <w:color w:val="auto"/>
        </w:rPr>
      </w:pPr>
    </w:p>
    <w:p>
      <w:pPr>
        <w:spacing w:after="0" w:line="283"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Timing of Revenue Recognition</w:t>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Arial" w:cs="Arial" w:eastAsia="Arial" w:hAnsi="Arial"/>
          <w:sz w:val="18"/>
          <w:szCs w:val="18"/>
          <w:b w:val="1"/>
          <w:bCs w:val="1"/>
          <w:color w:val="auto"/>
        </w:rPr>
        <w:t>Six Months Ended June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360"/>
              <w:spacing w:after="0" w:line="190"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13"/>
        </w:trPr>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Contracts with</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1"/>
        </w:trPr>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Customers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Other Revenues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Total</w:t>
            </w:r>
          </w:p>
        </w:tc>
      </w:tr>
      <w:tr>
        <w:trPr>
          <w:trHeight w:val="407"/>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3,783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3,783</w:t>
            </w:r>
          </w:p>
        </w:tc>
      </w:tr>
      <w:tr>
        <w:trPr>
          <w:trHeight w:val="213"/>
        </w:trPr>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984</w:t>
            </w:r>
          </w:p>
        </w:tc>
      </w:tr>
      <w:tr>
        <w:trPr>
          <w:trHeight w:val="227"/>
        </w:trPr>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434"/>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4,813</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4,813</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-855345</wp:posOffset>
            </wp:positionV>
            <wp:extent cx="7134225" cy="135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-584200</wp:posOffset>
            </wp:positionV>
            <wp:extent cx="7134225" cy="135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-304165</wp:posOffset>
            </wp:positionV>
            <wp:extent cx="7134225" cy="144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0</wp:posOffset>
            </wp:positionV>
            <wp:extent cx="7134225" cy="144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600" w:space="720"/>
            <w:col w:w="4920"/>
          </w:cols>
          <w:pgMar w:left="320" w:top="575" w:right="339" w:bottom="1440" w:gutter="0" w:footer="0" w:header="0"/>
        </w:sectPr>
      </w:pPr>
    </w:p>
    <w:tbl>
      <w:tblPr>
        <w:tblLayout w:type="fixed"/>
        <w:tblInd w:w="0" w:type="dxa"/>
        <w:tblCellMar>
          <w:top w:w="0" w:type="dxa"/>
          <w:left w:w="0" w:type="dxa"/>
          <w:bottom w:w="0" w:type="dxa"/>
          <w:right w:w="0" w:type="dxa"/>
        </w:tblCellMar>
      </w:tblPr>
      <w:tr>
        <w:trPr>
          <w:trHeight w:val="208"/>
        </w:trPr>
        <w:tc>
          <w:tcPr>
            <w:tcW w:w="4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Goods transferred at a point in time</w:t>
            </w:r>
          </w:p>
        </w:tc>
        <w:tc>
          <w:tcPr>
            <w:tcW w:w="1280" w:type="dxa"/>
            <w:vAlign w:val="bottom"/>
            <w:tcBorders>
              <w:top w:val="single" w:sz="8" w:color="auto"/>
            </w:tcBorders>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4,767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4,767</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0"/>
        </w:trPr>
        <w:tc>
          <w:tcPr>
            <w:tcW w:w="492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8"/>
                <w:szCs w:val="18"/>
                <w:b w:val="1"/>
                <w:bCs w:val="1"/>
                <w:color w:val="auto"/>
              </w:rPr>
              <w:t>Six Months Ended June 30, 2019</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Contracts with</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920" w:type="dxa"/>
            <w:vAlign w:val="bottom"/>
            <w:tcBorders>
              <w:bottom w:val="single" w:sz="8" w:color="auto"/>
            </w:tcBorders>
          </w:tcPr>
          <w:p>
            <w:pPr>
              <w:ind w:left="2100"/>
              <w:spacing w:after="0"/>
              <w:rPr>
                <w:sz w:val="20"/>
                <w:szCs w:val="20"/>
                <w:color w:val="auto"/>
              </w:rPr>
            </w:pPr>
            <w:r>
              <w:rPr>
                <w:rFonts w:ascii="Arial" w:cs="Arial" w:eastAsia="Arial" w:hAnsi="Arial"/>
                <w:sz w:val="18"/>
                <w:szCs w:val="18"/>
                <w:b w:val="1"/>
                <w:bCs w:val="1"/>
                <w:color w:val="auto"/>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Customers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Other Revenues</w:t>
            </w: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9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Ethanol sales and related products, net</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10,630</w:t>
            </w:r>
          </w:p>
        </w:tc>
        <w:tc>
          <w:tcPr>
            <w:tcW w:w="100" w:type="dxa"/>
            <w:vAlign w:val="bottom"/>
          </w:tcPr>
          <w:p>
            <w:pPr>
              <w:spacing w:after="0"/>
              <w:rPr>
                <w:sz w:val="18"/>
                <w:szCs w:val="18"/>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10,630</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Hydrocarbon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Other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79"/>
              </w:rPr>
              <w:t>28</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11,461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ind w:left="1160"/>
              <w:spacing w:after="0"/>
              <w:rPr>
                <w:sz w:val="20"/>
                <w:szCs w:val="20"/>
                <w:color w:val="auto"/>
              </w:rPr>
            </w:pPr>
            <w:r>
              <w:rPr>
                <w:rFonts w:ascii="Arial" w:cs="Arial" w:eastAsia="Arial" w:hAnsi="Arial"/>
                <w:sz w:val="18"/>
                <w:szCs w:val="18"/>
                <w:color w:val="auto"/>
                <w:w w:val="79"/>
              </w:rPr>
              <w:t>28</w:t>
            </w:r>
          </w:p>
        </w:tc>
        <w:tc>
          <w:tcPr>
            <w:tcW w:w="22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11,489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20" w:type="dxa"/>
            <w:vAlign w:val="bottom"/>
            <w:tcBorders>
              <w:bottom w:val="single" w:sz="8" w:color="auto"/>
            </w:tcBorders>
            <w:shd w:val="clear" w:color="auto" w:fill="CCEEFF"/>
          </w:tcPr>
          <w:p>
            <w:pPr>
              <w:ind w:left="1900"/>
              <w:spacing w:after="0" w:line="194" w:lineRule="exact"/>
              <w:rPr>
                <w:sz w:val="20"/>
                <w:szCs w:val="20"/>
                <w:color w:val="auto"/>
              </w:rPr>
            </w:pPr>
            <w:r>
              <w:rPr>
                <w:rFonts w:ascii="Arial" w:cs="Arial" w:eastAsia="Arial" w:hAnsi="Arial"/>
                <w:sz w:val="18"/>
                <w:szCs w:val="18"/>
                <w:b w:val="1"/>
                <w:bCs w:val="1"/>
                <w:color w:val="auto"/>
              </w:rPr>
              <w:t>Timing of Revenue Recognition</w:t>
            </w:r>
          </w:p>
        </w:tc>
        <w:tc>
          <w:tcPr>
            <w:tcW w:w="12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152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Goods transferred at a point in time</w:t>
            </w: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11,461</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Arial" w:cs="Arial" w:eastAsia="Arial" w:hAnsi="Arial"/>
                <w:sz w:val="18"/>
                <w:szCs w:val="18"/>
                <w:color w:val="auto"/>
              </w:rPr>
              <w:t>Services transferred over time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79"/>
              </w:rPr>
              <w:t>28</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11,461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ind w:left="1160"/>
              <w:spacing w:after="0"/>
              <w:rPr>
                <w:sz w:val="20"/>
                <w:szCs w:val="20"/>
                <w:color w:val="auto"/>
              </w:rPr>
            </w:pPr>
            <w:r>
              <w:rPr>
                <w:rFonts w:ascii="Arial" w:cs="Arial" w:eastAsia="Arial" w:hAnsi="Arial"/>
                <w:sz w:val="18"/>
                <w:szCs w:val="18"/>
                <w:color w:val="auto"/>
                <w:w w:val="79"/>
              </w:rPr>
              <w:t>28</w:t>
            </w:r>
          </w:p>
        </w:tc>
        <w:tc>
          <w:tcPr>
            <w:tcW w:w="220" w:type="dxa"/>
            <w:vAlign w:val="bottom"/>
          </w:tcPr>
          <w:p>
            <w:pPr>
              <w:spacing w:after="0"/>
              <w:rPr>
                <w:sz w:val="18"/>
                <w:szCs w:val="18"/>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11,489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vMerge w:val="restart"/>
          </w:tcPr>
          <w:p>
            <w:pPr>
              <w:jc w:val="right"/>
              <w:ind w:right="39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9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240" w:firstLine="480"/>
        <w:spacing w:after="0" w:line="255" w:lineRule="auto"/>
        <w:rPr>
          <w:sz w:val="20"/>
          <w:szCs w:val="20"/>
          <w:color w:val="auto"/>
        </w:rPr>
      </w:pPr>
      <w:r>
        <w:rPr>
          <w:rFonts w:ascii="Arial" w:cs="Arial" w:eastAsia="Arial" w:hAnsi="Arial"/>
          <w:sz w:val="18"/>
          <w:szCs w:val="18"/>
          <w:i w:val="1"/>
          <w:iCs w:val="1"/>
          <w:color w:val="auto"/>
        </w:rPr>
        <w:t xml:space="preserve">Goods transferred at a point-in-time. </w:t>
      </w:r>
      <w:r>
        <w:rPr>
          <w:rFonts w:ascii="Arial" w:cs="Arial" w:eastAsia="Arial" w:hAnsi="Arial"/>
          <w:sz w:val="18"/>
          <w:szCs w:val="18"/>
          <w:color w:val="auto"/>
        </w:rPr>
        <w:t>For the three and six months ended June 30, 2020 and 2019, there were no contracts with customers for which</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was variable or for which there were multiple performance obligations for any given contract. Accordingly, the entire transaction price is allocated to the goods transferred. As of June 30, 2020 and December 31, 2019, there were no remaining unfulfilled or partially fulfilled performance obligations.</w:t>
      </w:r>
    </w:p>
    <w:p>
      <w:pPr>
        <w:spacing w:after="0" w:line="188" w:lineRule="exact"/>
        <w:rPr>
          <w:sz w:val="20"/>
          <w:szCs w:val="20"/>
          <w:color w:val="auto"/>
        </w:rPr>
      </w:pPr>
    </w:p>
    <w:p>
      <w:pPr>
        <w:ind w:right="60" w:firstLine="480"/>
        <w:spacing w:after="0" w:line="258" w:lineRule="auto"/>
        <w:rPr>
          <w:sz w:val="20"/>
          <w:szCs w:val="20"/>
          <w:color w:val="auto"/>
        </w:rPr>
      </w:pPr>
      <w:r>
        <w:rPr>
          <w:rFonts w:ascii="Arial" w:cs="Arial" w:eastAsia="Arial" w:hAnsi="Arial"/>
          <w:sz w:val="18"/>
          <w:szCs w:val="18"/>
          <w:color w:val="auto"/>
        </w:rPr>
        <w:t>All goods transferred are tested to ensure product sold satisfies contractual product specifications prior to transfer. The customer obtains control of the goods when title and risk of loss for the goods has transferred, which in most cases is “</w:t>
      </w:r>
      <w:r>
        <w:rPr>
          <w:rFonts w:ascii="Arial" w:cs="Arial" w:eastAsia="Arial" w:hAnsi="Arial"/>
          <w:sz w:val="18"/>
          <w:szCs w:val="18"/>
          <w:i w:val="1"/>
          <w:iCs w:val="1"/>
          <w:color w:val="auto"/>
        </w:rPr>
        <w:t>free-on-board, shipping point</w:t>
      </w:r>
      <w:r>
        <w:rPr>
          <w:rFonts w:ascii="Arial" w:cs="Arial" w:eastAsia="Arial" w:hAnsi="Arial"/>
          <w:sz w:val="18"/>
          <w:szCs w:val="18"/>
          <w:color w:val="auto"/>
        </w:rPr>
        <w:t>”. All material contracts have payment terms of between one to three months and there are no return or refund rights.</w:t>
      </w:r>
    </w:p>
    <w:p>
      <w:pPr>
        <w:spacing w:after="0" w:line="186" w:lineRule="exact"/>
        <w:rPr>
          <w:sz w:val="20"/>
          <w:szCs w:val="20"/>
          <w:color w:val="auto"/>
        </w:rPr>
      </w:pPr>
    </w:p>
    <w:p>
      <w:pPr>
        <w:ind w:right="140" w:firstLine="480"/>
        <w:spacing w:after="0" w:line="255" w:lineRule="auto"/>
        <w:rPr>
          <w:sz w:val="20"/>
          <w:szCs w:val="20"/>
          <w:color w:val="auto"/>
        </w:rPr>
      </w:pPr>
      <w:r>
        <w:rPr>
          <w:rFonts w:ascii="Arial" w:cs="Arial" w:eastAsia="Arial" w:hAnsi="Arial"/>
          <w:sz w:val="18"/>
          <w:szCs w:val="18"/>
          <w:i w:val="1"/>
          <w:iCs w:val="1"/>
          <w:color w:val="auto"/>
        </w:rPr>
        <w:t xml:space="preserve">Services transferred over time. </w:t>
      </w:r>
      <w:r>
        <w:rPr>
          <w:rFonts w:ascii="Arial" w:cs="Arial" w:eastAsia="Arial" w:hAnsi="Arial"/>
          <w:sz w:val="18"/>
          <w:szCs w:val="18"/>
          <w:color w:val="auto"/>
        </w:rPr>
        <w:t>For the three and six months ended June 30, 2020 and 2019, there were no contracts for which consideration was</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or for which there were multiple performance obligation for any given contract. Accordingly, the entire transaction price is allocated to the individual service performance obligation. As of June 30, 2020 and December 31, 2019, respectively, there were no material unfulfilled or partially fulfilled performance obligations.</w:t>
      </w:r>
    </w:p>
    <w:p>
      <w:pPr>
        <w:spacing w:after="0" w:line="188" w:lineRule="exact"/>
        <w:rPr>
          <w:sz w:val="20"/>
          <w:szCs w:val="20"/>
          <w:color w:val="auto"/>
        </w:rPr>
      </w:pPr>
    </w:p>
    <w:p>
      <w:pPr>
        <w:ind w:right="200" w:firstLine="480"/>
        <w:spacing w:after="0" w:line="252" w:lineRule="auto"/>
        <w:rPr>
          <w:sz w:val="20"/>
          <w:szCs w:val="20"/>
          <w:color w:val="auto"/>
        </w:rPr>
      </w:pPr>
      <w:r>
        <w:rPr>
          <w:rFonts w:ascii="Arial" w:cs="Arial" w:eastAsia="Arial" w:hAnsi="Arial"/>
          <w:sz w:val="18"/>
          <w:szCs w:val="18"/>
          <w:i w:val="1"/>
          <w:iCs w:val="1"/>
          <w:color w:val="auto"/>
        </w:rPr>
        <w:t xml:space="preserve">Contract Assets and Trade Receivables. </w:t>
      </w:r>
      <w:r>
        <w:rPr>
          <w:rFonts w:ascii="Arial" w:cs="Arial" w:eastAsia="Arial" w:hAnsi="Arial"/>
          <w:sz w:val="18"/>
          <w:szCs w:val="18"/>
          <w:color w:val="auto"/>
        </w:rPr>
        <w:t>As of June 30, 2020 and December 31, 2019, there were no contract assets or liabilities as all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owed to the Company are unconditional and the Company does not receive payment in advance for its products. Accordingly, amounts owed by customers are classified as account receivables on the Company’s Consolidated Balance Sheets. In addition, due to the nature of the Company’s contracts, there are no costs incurred or to be paid in the future that qualify for asset recognition as a cost to fulfill or obtain a contract as of June 30, 2020 and December 31, 2019. The Company did not incur any impairment losses on any receivables as all amounts owed were paid or current as of June 30, 2020 or December 31,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 Right-to-Use Assets and Related Liabilities</w:t>
      </w:r>
    </w:p>
    <w:p>
      <w:pPr>
        <w:spacing w:after="0" w:line="224" w:lineRule="exact"/>
        <w:rPr>
          <w:sz w:val="20"/>
          <w:szCs w:val="20"/>
          <w:color w:val="auto"/>
        </w:rPr>
      </w:pPr>
    </w:p>
    <w:p>
      <w:pPr>
        <w:ind w:firstLine="480"/>
        <w:spacing w:after="0" w:line="271" w:lineRule="auto"/>
        <w:rPr>
          <w:sz w:val="20"/>
          <w:szCs w:val="20"/>
          <w:color w:val="auto"/>
        </w:rPr>
      </w:pPr>
      <w:r>
        <w:rPr>
          <w:rFonts w:ascii="Arial" w:cs="Arial" w:eastAsia="Arial" w:hAnsi="Arial"/>
          <w:sz w:val="17"/>
          <w:szCs w:val="17"/>
          <w:color w:val="auto"/>
        </w:rPr>
        <w:t xml:space="preserve">The Company enters into various arrangements which constitute a lease as defined by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 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right-to-use assets, which represent the Company’s right to use an underlying asset for the term of the contract; and (b) a corresponding lease liability which represents the Company’s obligation to make the lease payments arising from the contract, measured on a discounted basis.</w:t>
      </w:r>
    </w:p>
    <w:p>
      <w:pPr>
        <w:spacing w:after="0" w:line="177" w:lineRule="exact"/>
        <w:rPr>
          <w:sz w:val="20"/>
          <w:szCs w:val="20"/>
          <w:color w:val="auto"/>
        </w:rPr>
      </w:pPr>
    </w:p>
    <w:p>
      <w:pPr>
        <w:ind w:right="140" w:firstLine="480"/>
        <w:spacing w:after="0" w:line="255" w:lineRule="auto"/>
        <w:rPr>
          <w:sz w:val="20"/>
          <w:szCs w:val="20"/>
          <w:color w:val="auto"/>
        </w:rPr>
      </w:pPr>
      <w:r>
        <w:rPr>
          <w:rFonts w:ascii="Arial" w:cs="Arial" w:eastAsia="Arial" w:hAnsi="Arial"/>
          <w:sz w:val="18"/>
          <w:szCs w:val="18"/>
          <w:color w:val="auto"/>
        </w:rPr>
        <w:t>The contracts for the Company are comprised of facility, equipment and transportation leases necessary to conduct the Company’s day-to-day operations for which the Company maintains control of right-to-use assets and incurs the related liabilities. The facility lease includes variable payments for common area maintenance. In addition, the Company has one financing lease for certain office equipment which is included in "</w:t>
      </w:r>
      <w:r>
        <w:rPr>
          <w:rFonts w:ascii="Arial" w:cs="Arial" w:eastAsia="Arial" w:hAnsi="Arial"/>
          <w:sz w:val="18"/>
          <w:szCs w:val="18"/>
          <w:i w:val="1"/>
          <w:iCs w:val="1"/>
          <w:color w:val="auto"/>
        </w:rPr>
        <w:t>Loans payable - other</w:t>
      </w:r>
      <w:r>
        <w:rPr>
          <w:rFonts w:ascii="Arial" w:cs="Arial" w:eastAsia="Arial" w:hAnsi="Arial"/>
          <w:sz w:val="18"/>
          <w:szCs w:val="18"/>
          <w:color w:val="auto"/>
        </w:rPr>
        <w:t>" on the Consolidated Balance Sheets.</w:t>
      </w:r>
    </w:p>
    <w:p>
      <w:pPr>
        <w:spacing w:after="0" w:line="188" w:lineRule="exact"/>
        <w:rPr>
          <w:sz w:val="20"/>
          <w:szCs w:val="20"/>
          <w:color w:val="auto"/>
        </w:rPr>
      </w:pPr>
    </w:p>
    <w:p>
      <w:pPr>
        <w:ind w:right="60" w:firstLine="480"/>
        <w:spacing w:after="0" w:line="255" w:lineRule="auto"/>
        <w:rPr>
          <w:sz w:val="20"/>
          <w:szCs w:val="20"/>
          <w:color w:val="auto"/>
        </w:rPr>
      </w:pPr>
      <w:r>
        <w:rPr>
          <w:rFonts w:ascii="Arial" w:cs="Arial" w:eastAsia="Arial" w:hAnsi="Arial"/>
          <w:sz w:val="18"/>
          <w:szCs w:val="18"/>
          <w:color w:val="auto"/>
        </w:rPr>
        <w:t>There are two contractual agreements related to equipment improvements at the Luverne Facility that were not recognized as of June 30, 2020 as a result of operating contingencies which must be satisfied before the Company is obligated under the terms of the contract. The total estimated fair value of unrecognized right-to-use assets and related lease liabilities relating to these contracts was approximately $3.0 million as of June 30, 2020 and December 31, 2019.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20" w:firstLine="640"/>
        <w:spacing w:after="0" w:line="270" w:lineRule="auto"/>
        <w:rPr>
          <w:sz w:val="20"/>
          <w:szCs w:val="20"/>
          <w:color w:val="auto"/>
        </w:rPr>
      </w:pPr>
      <w:r>
        <w:rPr>
          <w:rFonts w:ascii="Arial" w:cs="Arial" w:eastAsia="Arial" w:hAnsi="Arial"/>
          <w:sz w:val="18"/>
          <w:szCs w:val="18"/>
          <w:color w:val="auto"/>
        </w:rPr>
        <w:t>The following table presents the (a) costs by lease category and (b) other quantitative information relating to the Company’s leases (dollars 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Cost</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Financing lease cost</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Operating lease cost</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Short-Term lease cost</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Variable lease cost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Three Months Ended 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top w:val="single" w:sz="8" w:color="auto"/>
              <w:bottom w:val="single" w:sz="8" w:color="auto"/>
            </w:tcBorders>
          </w:tcPr>
          <w:p>
            <w:pPr>
              <w:spacing w:after="0"/>
              <w:rPr>
                <w:sz w:val="18"/>
                <w:szCs w:val="18"/>
                <w:color w:val="auto"/>
              </w:rPr>
            </w:pPr>
          </w:p>
        </w:tc>
      </w:tr>
      <w:tr>
        <w:trPr>
          <w:trHeight w:val="406"/>
        </w:trPr>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3"/>
        </w:trPr>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386</w:t>
            </w:r>
          </w:p>
        </w:tc>
      </w:tr>
      <w:tr>
        <w:trPr>
          <w:trHeight w:val="213"/>
        </w:trPr>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27"/>
        </w:trPr>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w:t>
            </w:r>
          </w:p>
        </w:tc>
      </w:tr>
      <w:tr>
        <w:trPr>
          <w:trHeight w:val="420"/>
        </w:trPr>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433</w:t>
            </w:r>
          </w:p>
        </w:tc>
      </w:tr>
      <w:tr>
        <w:trPr>
          <w:trHeight w:val="20"/>
        </w:trPr>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407"/>
        </w:trPr>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08"/>
        </w:trPr>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-1397635</wp:posOffset>
            </wp:positionV>
            <wp:extent cx="6769735" cy="135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69735" cy="135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-1126490</wp:posOffset>
            </wp:positionV>
            <wp:extent cx="6769735"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69735" cy="135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-855345</wp:posOffset>
            </wp:positionV>
            <wp:extent cx="6769735" cy="144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9735" cy="14414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-575310</wp:posOffset>
            </wp:positionV>
            <wp:extent cx="6769735" cy="161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9735" cy="1612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600" w:space="720"/>
            <w:col w:w="39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6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Financing lease cost</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lease cost</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w:t>
            </w: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731</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Short-Term lease cost</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79"/>
              </w:rPr>
              <w:t>32</w:t>
            </w:r>
          </w:p>
        </w:tc>
        <w:tc>
          <w:tcPr>
            <w:tcW w:w="160" w:type="dxa"/>
            <w:vAlign w:val="bottom"/>
          </w:tcPr>
          <w:p>
            <w:pPr>
              <w:spacing w:after="0"/>
              <w:rPr>
                <w:sz w:val="18"/>
                <w:szCs w:val="18"/>
                <w:color w:val="auto"/>
              </w:rPr>
            </w:pPr>
          </w:p>
        </w:tc>
      </w:tr>
      <w:tr>
        <w:trPr>
          <w:trHeight w:val="213"/>
        </w:trPr>
        <w:tc>
          <w:tcPr>
            <w:tcW w:w="7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Variable lease cost</w:t>
            </w: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65</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7"/>
        </w:trPr>
        <w:tc>
          <w:tcPr>
            <w:tcW w:w="7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w:t>
            </w: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828</w:t>
            </w:r>
          </w:p>
        </w:tc>
      </w:tr>
      <w:tr>
        <w:trPr>
          <w:trHeight w:val="194"/>
        </w:trPr>
        <w:tc>
          <w:tcPr>
            <w:tcW w:w="732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Cash paid for the measurement of lease liabilities:</w:t>
            </w: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Operating cash flows from finance lease</w:t>
            </w: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tcPr>
          <w:p>
            <w:pPr>
              <w:ind w:left="640"/>
              <w:spacing w:after="0"/>
              <w:rPr>
                <w:sz w:val="20"/>
                <w:szCs w:val="20"/>
                <w:color w:val="auto"/>
              </w:rPr>
            </w:pPr>
            <w:r>
              <w:rPr>
                <w:rFonts w:ascii="Arial" w:cs="Arial" w:eastAsia="Arial" w:hAnsi="Arial"/>
                <w:sz w:val="18"/>
                <w:szCs w:val="18"/>
                <w:color w:val="auto"/>
              </w:rPr>
              <w:t>Operating cash flows from operating leases</w:t>
            </w:r>
          </w:p>
        </w:tc>
        <w:tc>
          <w:tcPr>
            <w:tcW w:w="6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534</w:t>
            </w:r>
          </w:p>
        </w:tc>
        <w:tc>
          <w:tcPr>
            <w:tcW w:w="640" w:type="dxa"/>
            <w:vAlign w:val="bottom"/>
          </w:tcPr>
          <w:p>
            <w:pPr>
              <w:spacing w:after="0"/>
              <w:rPr>
                <w:sz w:val="18"/>
                <w:szCs w:val="18"/>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731</w:t>
            </w:r>
          </w:p>
        </w:tc>
      </w:tr>
      <w:tr>
        <w:trPr>
          <w:trHeight w:val="213"/>
        </w:trPr>
        <w:tc>
          <w:tcPr>
            <w:tcW w:w="73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Finance cash flows from finance lease</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Right-to-use asset obtained in exchange for new financing lease liability</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remaining lease term, financing lease (months)</w:t>
            </w: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3"/>
        </w:trPr>
        <w:tc>
          <w:tcPr>
            <w:tcW w:w="7320" w:type="dxa"/>
            <w:vAlign w:val="bottom"/>
          </w:tcPr>
          <w:p>
            <w:pPr>
              <w:ind w:left="320"/>
              <w:spacing w:after="0"/>
              <w:rPr>
                <w:sz w:val="20"/>
                <w:szCs w:val="20"/>
                <w:color w:val="auto"/>
              </w:rPr>
            </w:pPr>
            <w:r>
              <w:rPr>
                <w:rFonts w:ascii="Arial" w:cs="Arial" w:eastAsia="Arial" w:hAnsi="Arial"/>
                <w:sz w:val="18"/>
                <w:szCs w:val="18"/>
                <w:color w:val="auto"/>
              </w:rPr>
              <w:t>Weighted-average remaining lease term, operating leases (months)</w:t>
            </w: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Arial" w:cs="Arial" w:eastAsia="Arial" w:hAnsi="Arial"/>
                <w:sz w:val="18"/>
                <w:szCs w:val="18"/>
                <w:color w:val="auto"/>
                <w:w w:val="79"/>
              </w:rPr>
              <w:t>25</w:t>
            </w:r>
          </w:p>
        </w:tc>
        <w:tc>
          <w:tcPr>
            <w:tcW w:w="160" w:type="dxa"/>
            <w:vAlign w:val="bottom"/>
          </w:tcPr>
          <w:p>
            <w:pPr>
              <w:spacing w:after="0"/>
              <w:rPr>
                <w:sz w:val="18"/>
                <w:szCs w:val="18"/>
                <w:color w:val="auto"/>
              </w:rPr>
            </w:pPr>
          </w:p>
        </w:tc>
      </w:tr>
      <w:tr>
        <w:trPr>
          <w:trHeight w:val="213"/>
        </w:trPr>
        <w:tc>
          <w:tcPr>
            <w:tcW w:w="7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discount rate - financing lease</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6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26"/>
        </w:trPr>
        <w:tc>
          <w:tcPr>
            <w:tcW w:w="7320" w:type="dxa"/>
            <w:vAlign w:val="bottom"/>
          </w:tcPr>
          <w:p>
            <w:pPr>
              <w:ind w:left="320"/>
              <w:spacing w:after="0"/>
              <w:rPr>
                <w:sz w:val="20"/>
                <w:szCs w:val="20"/>
                <w:color w:val="auto"/>
              </w:rPr>
            </w:pPr>
            <w:r>
              <w:rPr>
                <w:rFonts w:ascii="Arial" w:cs="Arial" w:eastAsia="Arial" w:hAnsi="Arial"/>
                <w:sz w:val="18"/>
                <w:szCs w:val="18"/>
                <w:color w:val="auto"/>
              </w:rPr>
              <w:t>Weighted-average discount rate - operating leases</w:t>
            </w:r>
          </w:p>
        </w:tc>
        <w:tc>
          <w:tcPr>
            <w:tcW w:w="6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w w:val="88"/>
              </w:rPr>
              <w:t>12%</w:t>
            </w:r>
          </w:p>
        </w:tc>
      </w:tr>
    </w:tbl>
    <w:p>
      <w:pPr>
        <w:spacing w:after="0" w:line="18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table below shows the future minimum payments under non-cancelable financing and operating leases at June 30, 2020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6"/>
              </w:rPr>
              <w:t>Financing Leases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Operating Leases</w:t>
            </w:r>
          </w:p>
        </w:tc>
        <w:tc>
          <w:tcPr>
            <w:tcW w:w="580" w:type="dxa"/>
            <w:vAlign w:val="bottom"/>
          </w:tcPr>
          <w:p>
            <w:pPr>
              <w:spacing w:after="0"/>
              <w:rPr>
                <w:sz w:val="20"/>
                <w:szCs w:val="20"/>
                <w:color w:val="auto"/>
              </w:rPr>
            </w:pPr>
          </w:p>
        </w:tc>
      </w:tr>
      <w:tr>
        <w:trPr>
          <w:trHeight w:val="208"/>
        </w:trPr>
        <w:tc>
          <w:tcPr>
            <w:tcW w:w="4620" w:type="dxa"/>
            <w:vAlign w:val="bottom"/>
            <w:tcBorders>
              <w:top w:val="single" w:sz="8" w:color="auto"/>
            </w:tcBorders>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2020 (remaining)</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580" w:type="dxa"/>
            <w:vAlign w:val="bottom"/>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2021</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58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8"/>
                <w:szCs w:val="18"/>
                <w:color w:val="auto"/>
              </w:rPr>
              <w:t>2023</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r>
      <w:tr>
        <w:trPr>
          <w:trHeight w:val="207"/>
        </w:trPr>
        <w:tc>
          <w:tcPr>
            <w:tcW w:w="4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26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80" w:type="dxa"/>
            <w:vAlign w:val="bottom"/>
            <w:tcBorders>
              <w:top w:val="single" w:sz="8" w:color="CCEEFF"/>
            </w:tcBorders>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present value discounts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8"/>
                <w:szCs w:val="18"/>
                <w:color w:val="auto"/>
              </w:rPr>
            </w:pPr>
          </w:p>
        </w:tc>
      </w:tr>
      <w:tr>
        <w:trPr>
          <w:trHeight w:val="207"/>
        </w:trPr>
        <w:tc>
          <w:tcPr>
            <w:tcW w:w="4620" w:type="dxa"/>
            <w:vAlign w:val="bottom"/>
            <w:tcBorders>
              <w:top w:val="single" w:sz="8" w:color="CCEEFF"/>
            </w:tcBorders>
          </w:tcPr>
          <w:p>
            <w:pPr>
              <w:spacing w:after="0"/>
              <w:rPr>
                <w:sz w:val="17"/>
                <w:szCs w:val="17"/>
                <w:color w:val="auto"/>
              </w:rPr>
            </w:pPr>
          </w:p>
        </w:tc>
        <w:tc>
          <w:tcPr>
            <w:tcW w:w="26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80" w:type="dxa"/>
            <w:vAlign w:val="bottom"/>
          </w:tcPr>
          <w:p>
            <w:pPr>
              <w:spacing w:after="0"/>
              <w:rPr>
                <w:sz w:val="17"/>
                <w:szCs w:val="17"/>
                <w:color w:val="auto"/>
              </w:rPr>
            </w:pPr>
          </w:p>
        </w:tc>
      </w:tr>
      <w:tr>
        <w:trPr>
          <w:trHeight w:val="253"/>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2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580" w:type="dxa"/>
            <w:vAlign w:val="bottom"/>
          </w:tcPr>
          <w:p>
            <w:pPr>
              <w:spacing w:after="0"/>
              <w:rPr>
                <w:sz w:val="22"/>
                <w:szCs w:val="22"/>
                <w:color w:val="auto"/>
              </w:rPr>
            </w:pPr>
          </w:p>
        </w:tc>
      </w:tr>
      <w:tr>
        <w:trPr>
          <w:trHeight w:val="406"/>
        </w:trPr>
        <w:tc>
          <w:tcPr>
            <w:tcW w:w="4620" w:type="dxa"/>
            <w:vAlign w:val="bottom"/>
            <w:tcBorders>
              <w:top w:val="single" w:sz="8" w:color="CCEEFF"/>
            </w:tcBorders>
          </w:tcPr>
          <w:p>
            <w:pPr>
              <w:spacing w:after="0"/>
              <w:rPr>
                <w:sz w:val="24"/>
                <w:szCs w:val="24"/>
                <w:color w:val="auto"/>
              </w:rPr>
            </w:pPr>
          </w:p>
        </w:tc>
        <w:tc>
          <w:tcPr>
            <w:tcW w:w="2640" w:type="dxa"/>
            <w:vAlign w:val="bottom"/>
            <w:tcBorders>
              <w:top w:val="single" w:sz="8" w:color="CCEEFF"/>
            </w:tcBorders>
          </w:tcPr>
          <w:p>
            <w:pPr>
              <w:jc w:val="right"/>
              <w:ind w:right="1451"/>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462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b w:val="1"/>
                <w:bCs w:val="1"/>
                <w:color w:val="auto"/>
              </w:rPr>
              <w:t>5. Inventories</w:t>
            </w: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000" w:type="dxa"/>
            <w:vAlign w:val="bottom"/>
          </w:tcPr>
          <w:p>
            <w:pPr>
              <w:ind w:left="480"/>
              <w:spacing w:after="0"/>
              <w:rPr>
                <w:sz w:val="20"/>
                <w:szCs w:val="20"/>
                <w:color w:val="auto"/>
              </w:rPr>
            </w:pPr>
            <w:r>
              <w:rPr>
                <w:rFonts w:ascii="Arial" w:cs="Arial" w:eastAsia="Arial" w:hAnsi="Arial"/>
                <w:sz w:val="18"/>
                <w:szCs w:val="18"/>
                <w:color w:val="auto"/>
                <w:w w:val="95"/>
              </w:rPr>
              <w:t>The following table sets forth the components of the Company’s inventory balances (in thousands):</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1"/>
        </w:trPr>
        <w:tc>
          <w:tcPr>
            <w:tcW w:w="8000" w:type="dxa"/>
            <w:vAlign w:val="bottom"/>
          </w:tcPr>
          <w:p>
            <w:pPr>
              <w:spacing w:after="0"/>
              <w:rPr>
                <w:sz w:val="20"/>
                <w:szCs w:val="20"/>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Corn</w:t>
            </w:r>
          </w:p>
        </w:tc>
        <w:tc>
          <w:tcPr>
            <w:tcW w:w="1060" w:type="dxa"/>
            <w:vAlign w:val="bottom"/>
          </w:tcPr>
          <w:p>
            <w:pPr>
              <w:jc w:val="right"/>
              <w:ind w:right="899"/>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Enzymes and other inputs</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Finished goods</w:t>
            </w: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Jet Fuels, Isooctane and Isooctene</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Isobutanol</w:t>
            </w:r>
          </w:p>
        </w:tc>
        <w:tc>
          <w:tcPr>
            <w:tcW w:w="10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Ethanol</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Distiller's grains</w:t>
            </w:r>
          </w:p>
        </w:tc>
        <w:tc>
          <w:tcPr>
            <w:tcW w:w="10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Agri-Energy</w:t>
            </w:r>
          </w:p>
        </w:tc>
        <w:tc>
          <w:tcPr>
            <w:tcW w:w="10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10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Spare parts</w:t>
            </w:r>
          </w:p>
        </w:tc>
        <w:tc>
          <w:tcPr>
            <w:tcW w:w="10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1,518</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47"/>
        </w:trPr>
        <w:tc>
          <w:tcPr>
            <w:tcW w:w="8000" w:type="dxa"/>
            <w:vAlign w:val="bottom"/>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Total inventories</w:t>
            </w:r>
          </w:p>
        </w:tc>
        <w:tc>
          <w:tcPr>
            <w:tcW w:w="1060" w:type="dxa"/>
            <w:vAlign w:val="bottom"/>
          </w:tcPr>
          <w:p>
            <w:pPr>
              <w:jc w:val="right"/>
              <w:ind w:right="899"/>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2,480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80"/>
              <w:spacing w:after="0"/>
              <w:rPr>
                <w:sz w:val="20"/>
                <w:szCs w:val="20"/>
                <w:color w:val="auto"/>
              </w:rPr>
            </w:pPr>
            <w:r>
              <w:rPr>
                <w:rFonts w:ascii="Arial" w:cs="Arial" w:eastAsia="Arial" w:hAnsi="Arial"/>
                <w:sz w:val="18"/>
                <w:szCs w:val="18"/>
                <w:color w:val="auto"/>
              </w:rPr>
              <w:t>Work in process inventory includes unfinished jet fuel, isooctane and isooctene inventory.</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000" w:type="dxa"/>
            <w:vAlign w:val="bottom"/>
          </w:tcPr>
          <w:p>
            <w:pPr>
              <w:ind w:left="5540"/>
              <w:spacing w:after="0"/>
              <w:rPr>
                <w:sz w:val="20"/>
                <w:szCs w:val="20"/>
                <w:color w:val="auto"/>
              </w:rPr>
            </w:pPr>
            <w:r>
              <w:rPr>
                <w:rFonts w:ascii="Arial" w:cs="Arial" w:eastAsia="Arial" w:hAnsi="Arial"/>
                <w:sz w:val="18"/>
                <w:szCs w:val="18"/>
                <w:color w:val="auto"/>
              </w:rPr>
              <w:t>17</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Company’s property, plant and equipment by classification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6400" w:type="dxa"/>
            <w:vAlign w:val="bottom"/>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8"/>
        </w:trPr>
        <w:tc>
          <w:tcPr>
            <w:tcW w:w="6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Luverne retrofit asset</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5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70,820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70,820</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Plant machinery and equipment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17,374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17,413</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Site improvements</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7,157</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7,054</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Lab equipment, furniture and fixtures and vehicles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6,393</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Demonstration plant</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3,597</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2,543</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Leasehold improvements, pilot plant, land and support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520" w:type="dxa"/>
            <w:vAlign w:val="bottom"/>
          </w:tcPr>
          <w:p>
            <w:pPr>
              <w:jc w:val="right"/>
              <w:ind w:right="271"/>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2,523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2,523</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Computer, office equipment and software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2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w:t>
            </w: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8,802</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7,710</w:t>
            </w:r>
          </w:p>
        </w:tc>
      </w:tr>
      <w:tr>
        <w:trPr>
          <w:trHeight w:val="207"/>
        </w:trPr>
        <w:tc>
          <w:tcPr>
            <w:tcW w:w="6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40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121,233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120,087</w:t>
            </w:r>
          </w:p>
        </w:tc>
      </w:tr>
      <w:tr>
        <w:trPr>
          <w:trHeight w:val="21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(56,544)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(53,391)</w:t>
            </w:r>
          </w:p>
        </w:tc>
      </w:tr>
      <w:tr>
        <w:trPr>
          <w:trHeight w:val="247"/>
        </w:trPr>
        <w:tc>
          <w:tcPr>
            <w:tcW w:w="64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33"/>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64,689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66,696</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Company recorded depreciation and amortization expense related to property, plant and equipment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0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04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Cost of goods sold</w:t>
            </w:r>
          </w:p>
        </w:tc>
        <w:tc>
          <w:tcPr>
            <w:tcW w:w="494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1,575</w:t>
            </w:r>
          </w:p>
        </w:tc>
        <w:tc>
          <w:tcPr>
            <w:tcW w:w="1060" w:type="dxa"/>
            <w:vAlign w:val="bottom"/>
          </w:tcPr>
          <w:p>
            <w:pPr>
              <w:jc w:val="right"/>
              <w:ind w:right="902"/>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1,559</w:t>
            </w:r>
          </w:p>
        </w:tc>
      </w:tr>
      <w:tr>
        <w:trPr>
          <w:trHeight w:val="213"/>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9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40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494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w:t>
            </w:r>
          </w:p>
        </w:tc>
        <w:tc>
          <w:tcPr>
            <w:tcW w:w="1060" w:type="dxa"/>
            <w:vAlign w:val="bottom"/>
            <w:shd w:val="clear" w:color="auto" w:fill="CCEEFF"/>
          </w:tcPr>
          <w:p>
            <w:pPr>
              <w:jc w:val="right"/>
              <w:ind w:right="902"/>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1,611</w:t>
            </w: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6"/>
        </w:trPr>
        <w:tc>
          <w:tcPr>
            <w:tcW w:w="40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8"/>
                <w:szCs w:val="18"/>
                <w:b w:val="1"/>
                <w:bCs w:val="1"/>
                <w:color w:val="auto"/>
              </w:rPr>
              <w:t>Six Months Ended June 30,</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40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040" w:type="dxa"/>
            <w:vAlign w:val="bottom"/>
            <w:shd w:val="clear" w:color="auto" w:fill="CCEEFF"/>
          </w:tcPr>
          <w:p>
            <w:pPr>
              <w:spacing w:after="0"/>
              <w:rPr>
                <w:sz w:val="17"/>
                <w:szCs w:val="17"/>
                <w:color w:val="auto"/>
              </w:rPr>
            </w:pPr>
          </w:p>
        </w:tc>
        <w:tc>
          <w:tcPr>
            <w:tcW w:w="4940" w:type="dxa"/>
            <w:vAlign w:val="bottom"/>
            <w:gridSpan w:val="2"/>
            <w:shd w:val="clear" w:color="auto" w:fill="CCEEFF"/>
          </w:tcPr>
          <w:p>
            <w:pPr>
              <w:spacing w:after="0"/>
              <w:rPr>
                <w:sz w:val="17"/>
                <w:szCs w:val="17"/>
                <w:color w:val="auto"/>
              </w:rPr>
            </w:pPr>
          </w:p>
        </w:tc>
        <w:tc>
          <w:tcPr>
            <w:tcW w:w="700" w:type="dxa"/>
            <w:vAlign w:val="bottom"/>
            <w:gridSpan w:val="2"/>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rPr>
                <w:sz w:val="17"/>
                <w:szCs w:val="17"/>
                <w:color w:val="auto"/>
              </w:rPr>
            </w:pPr>
          </w:p>
        </w:tc>
      </w:tr>
      <w:tr>
        <w:trPr>
          <w:trHeight w:val="213"/>
        </w:trPr>
        <w:tc>
          <w:tcPr>
            <w:tcW w:w="4040" w:type="dxa"/>
            <w:vAlign w:val="bottom"/>
          </w:tcPr>
          <w:p>
            <w:pPr>
              <w:spacing w:after="0"/>
              <w:rPr>
                <w:sz w:val="20"/>
                <w:szCs w:val="20"/>
                <w:color w:val="auto"/>
              </w:rPr>
            </w:pPr>
            <w:r>
              <w:rPr>
                <w:rFonts w:ascii="Arial" w:cs="Arial" w:eastAsia="Arial" w:hAnsi="Arial"/>
                <w:sz w:val="18"/>
                <w:szCs w:val="18"/>
                <w:color w:val="auto"/>
              </w:rPr>
              <w:t>Cost of goods sold</w:t>
            </w:r>
          </w:p>
        </w:tc>
        <w:tc>
          <w:tcPr>
            <w:tcW w:w="4940" w:type="dxa"/>
            <w:vAlign w:val="bottom"/>
            <w:gridSpan w:val="2"/>
          </w:tcPr>
          <w:p>
            <w:pPr>
              <w:jc w:val="right"/>
              <w:ind w:right="811"/>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3,162</w:t>
            </w:r>
          </w:p>
        </w:tc>
        <w:tc>
          <w:tcPr>
            <w:tcW w:w="1060" w:type="dxa"/>
            <w:vAlign w:val="bottom"/>
          </w:tcPr>
          <w:p>
            <w:pPr>
              <w:jc w:val="right"/>
              <w:ind w:right="902"/>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3,119</w:t>
            </w:r>
          </w:p>
        </w:tc>
      </w:tr>
      <w:tr>
        <w:trPr>
          <w:trHeight w:val="21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0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r>
      <w:tr>
        <w:trPr>
          <w:trHeight w:val="207"/>
        </w:trPr>
        <w:tc>
          <w:tcPr>
            <w:tcW w:w="404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4940" w:type="dxa"/>
            <w:vAlign w:val="bottom"/>
            <w:gridSpan w:val="2"/>
            <w:shd w:val="clear" w:color="auto" w:fill="CCEEFF"/>
          </w:tcPr>
          <w:p>
            <w:pPr>
              <w:jc w:val="right"/>
              <w:ind w:right="811"/>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3,268</w:t>
            </w:r>
          </w:p>
        </w:tc>
        <w:tc>
          <w:tcPr>
            <w:tcW w:w="1060" w:type="dxa"/>
            <w:vAlign w:val="bottom"/>
            <w:shd w:val="clear" w:color="auto" w:fill="CCEEFF"/>
          </w:tcPr>
          <w:p>
            <w:pPr>
              <w:jc w:val="right"/>
              <w:ind w:right="902"/>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3,221</w:t>
            </w:r>
          </w:p>
        </w:tc>
      </w:tr>
      <w:tr>
        <w:trPr>
          <w:trHeight w:val="619"/>
        </w:trPr>
        <w:tc>
          <w:tcPr>
            <w:tcW w:w="4040" w:type="dxa"/>
            <w:vAlign w:val="bottom"/>
            <w:tcBorders>
              <w:top w:val="single" w:sz="8" w:color="CCEEFF"/>
            </w:tcBorders>
          </w:tcPr>
          <w:p>
            <w:pPr>
              <w:spacing w:after="0"/>
              <w:rPr>
                <w:sz w:val="24"/>
                <w:szCs w:val="24"/>
                <w:color w:val="auto"/>
              </w:rPr>
            </w:pPr>
          </w:p>
        </w:tc>
        <w:tc>
          <w:tcPr>
            <w:tcW w:w="3960" w:type="dxa"/>
            <w:vAlign w:val="bottom"/>
            <w:tcBorders>
              <w:top w:val="single" w:sz="8" w:color="CCEEFF"/>
            </w:tcBorders>
          </w:tcPr>
          <w:p>
            <w:pPr>
              <w:jc w:val="right"/>
              <w:ind w:right="2191"/>
              <w:spacing w:after="0"/>
              <w:rPr>
                <w:sz w:val="20"/>
                <w:szCs w:val="20"/>
                <w:color w:val="auto"/>
              </w:rPr>
            </w:pPr>
            <w:r>
              <w:rPr>
                <w:rFonts w:ascii="Arial" w:cs="Arial" w:eastAsia="Arial" w:hAnsi="Arial"/>
                <w:sz w:val="18"/>
                <w:szCs w:val="18"/>
                <w:color w:val="auto"/>
              </w:rPr>
              <w:t>18</w:t>
            </w: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Embedded Derivatives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Notes Embedded Derivative</w:t>
      </w:r>
    </w:p>
    <w:p>
      <w:pPr>
        <w:spacing w:after="0" w:line="220" w:lineRule="exact"/>
        <w:rPr>
          <w:sz w:val="20"/>
          <w:szCs w:val="20"/>
          <w:color w:val="auto"/>
        </w:rPr>
      </w:pPr>
    </w:p>
    <w:p>
      <w:pPr>
        <w:ind w:right="40" w:firstLine="480"/>
        <w:spacing w:after="0" w:line="251" w:lineRule="auto"/>
        <w:rPr>
          <w:sz w:val="20"/>
          <w:szCs w:val="20"/>
          <w:color w:val="auto"/>
        </w:rPr>
      </w:pPr>
      <w:r>
        <w:rPr>
          <w:rFonts w:ascii="Arial" w:cs="Arial" w:eastAsia="Arial" w:hAnsi="Arial"/>
          <w:sz w:val="18"/>
          <w:szCs w:val="18"/>
          <w:color w:val="auto"/>
        </w:rPr>
        <w:t>In June 2017, the Company issued its 12% convertible senior secured notes due 2020 (the “2020 Notes”) in exchange for its 12.0% convertible senior secured notes due 2017 (the “2017 Notes”). The 2020 Notes contained the following embedded derivatives: (i) a Make-Whole Payment (as defined in the indenture governing the 2020 Notes (the “2020 Notes Indenture”)) upon either conversion or redemption; (ii) right to redeem the outstanding principal upon a Fundamental Change (as defined in the 2020 Notes Indenture); (iii) issuer rights to convert into a limited number of shares in any given three-month period commencing nine months from the issuance date and dependent on the stock price exceeding 150% of the then in-effect conversion price over a ten-business day period; and (iv) holder rights to convert into either shares of the Company’s common stock or pre-funded warrants upon the election of the holders of the 2020 Notes.</w:t>
      </w:r>
    </w:p>
    <w:p>
      <w:pPr>
        <w:spacing w:after="0" w:line="193"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Embedded derivatives are separated from the host contract and the 2020 Notes and carried at fair value when: (a) the embedded derivative possesses economic characteristics that are not clearly and closely related to the economic characteristics of the host contract; and (b) a separate, stand-alone instrument with the same terms would qualify as a derivative instrument. The Company has concluded that certain embedded derivatives within the 2020 Notes meet these criteria and, as such, must be valued separate and apart from the 2020 Notes as one embedded derivative and recorded at fair value each reporting period.</w:t>
      </w:r>
    </w:p>
    <w:p>
      <w:pPr>
        <w:spacing w:after="0" w:line="190" w:lineRule="exact"/>
        <w:rPr>
          <w:sz w:val="20"/>
          <w:szCs w:val="20"/>
          <w:color w:val="auto"/>
        </w:rPr>
      </w:pPr>
    </w:p>
    <w:p>
      <w:pPr>
        <w:ind w:right="40" w:firstLine="480"/>
        <w:spacing w:after="0" w:line="289" w:lineRule="auto"/>
        <w:rPr>
          <w:sz w:val="20"/>
          <w:szCs w:val="20"/>
          <w:color w:val="auto"/>
        </w:rPr>
      </w:pPr>
      <w:r>
        <w:rPr>
          <w:rFonts w:ascii="Arial" w:cs="Arial" w:eastAsia="Arial" w:hAnsi="Arial"/>
          <w:sz w:val="16"/>
          <w:szCs w:val="16"/>
          <w:color w:val="auto"/>
        </w:rPr>
        <w:t>The Company used a binomial lattice model in order to estimate the fair value of the embedded derivative in the 2020 Notes. A binomial lattice model generates two probable outcomes, whether up or down, arising at each point in time, starting from the date of valuation until the maturity date. A lattice was initially used to determine if the 2020 Notes would be converted by the holder, called by the issuer, or held at each decision point. Within the lattice model, the following assumptions were made: (i) the 2020 Notes will be converted by the holder if the conversion value plus the holder’s Make-Whole Payment is greater than the holding value; or (ii) the 2020 Notes will be called by the issuer if (a) the stock price exceeds 150% of the then in-effect conversion price over a ten-business day period and (b) if the holding value is greater than the conversion value plus the Make-Whole Payment at the time.</w:t>
      </w:r>
    </w:p>
    <w:p>
      <w:pPr>
        <w:spacing w:after="0" w:line="165" w:lineRule="exact"/>
        <w:rPr>
          <w:sz w:val="20"/>
          <w:szCs w:val="20"/>
          <w:color w:val="auto"/>
        </w:rPr>
      </w:pPr>
    </w:p>
    <w:p>
      <w:pPr>
        <w:ind w:right="20" w:firstLine="480"/>
        <w:spacing w:after="0" w:line="269" w:lineRule="auto"/>
        <w:rPr>
          <w:sz w:val="20"/>
          <w:szCs w:val="20"/>
          <w:color w:val="auto"/>
        </w:rPr>
      </w:pPr>
      <w:r>
        <w:rPr>
          <w:rFonts w:ascii="Arial" w:cs="Arial" w:eastAsia="Arial" w:hAnsi="Arial"/>
          <w:sz w:val="17"/>
          <w:szCs w:val="17"/>
          <w:color w:val="auto"/>
        </w:rPr>
        <w:t>Using this lattice model, the Company valued the embedded derivative using a “with-and-without method”, where the value of the 2020 Notes including the embedded derivative were defined as the “with”, and the value of the 2020 Notes excluding the embedded derivative is defined as the “without”. This method estimates the value of the embedded derivative by comparing the difference in the values between the 2020 Notes with the embedded derivative and the value of the 2020 Notes without the embedded derivative. The lattice model requires the following inputs: (i) price of Gevo common stock; (ii) Conversion Rate (as defined in the 2020 Notes Indenture); (iii) Conversion Price (as defined in the 2020 Notes Indenture); (iv) maturity date; (v) risk-free interest rate; (vi) estimated stock volatility; and (vii) estimated credit spread for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2020/21 Notes Embedded Derivative</w:t>
      </w:r>
    </w:p>
    <w:p>
      <w:pPr>
        <w:spacing w:after="0" w:line="220" w:lineRule="exact"/>
        <w:rPr>
          <w:sz w:val="20"/>
          <w:szCs w:val="20"/>
          <w:color w:val="auto"/>
        </w:rPr>
      </w:pPr>
    </w:p>
    <w:p>
      <w:pPr>
        <w:ind w:right="80" w:firstLine="469"/>
        <w:spacing w:after="0" w:line="292" w:lineRule="auto"/>
        <w:rPr>
          <w:sz w:val="20"/>
          <w:szCs w:val="20"/>
          <w:color w:val="auto"/>
        </w:rPr>
      </w:pPr>
      <w:r>
        <w:rPr>
          <w:rFonts w:ascii="Arial" w:cs="Arial" w:eastAsia="Arial" w:hAnsi="Arial"/>
          <w:sz w:val="16"/>
          <w:szCs w:val="16"/>
          <w:color w:val="auto"/>
        </w:rPr>
        <w:t>In January 2020, the Company issued 12% convertible senior secured notes due 2020/2021 (the “2020/21 Notes”) in exchange for its 12.0% convertible senior secured notes due March 2020 (the “2020 Notes”). The 2020/21 Notes contain the following embedded derivatives: (i) a Make-Whole Payment (as defined in the 2020/21 Notes Indenture (as defined below) upon either conversion or redemption in certain circumstances; (ii) holder right to require the Company to repurchase the outstanding principal upon a Fundamental Change (as defined in the 2020/21 Notes Indenture); and (iii) holder rights to convert into either shares of the Company’s common stock or pre-funded warrants upon the election of the holders of the 2020/21 Notes.</w:t>
      </w:r>
    </w:p>
    <w:p>
      <w:pPr>
        <w:spacing w:after="0" w:line="162" w:lineRule="exact"/>
        <w:rPr>
          <w:sz w:val="20"/>
          <w:szCs w:val="20"/>
          <w:color w:val="auto"/>
        </w:rPr>
      </w:pPr>
    </w:p>
    <w:p>
      <w:pPr>
        <w:ind w:right="80" w:firstLine="469"/>
        <w:spacing w:after="0" w:line="253" w:lineRule="auto"/>
        <w:rPr>
          <w:sz w:val="20"/>
          <w:szCs w:val="20"/>
          <w:color w:val="auto"/>
        </w:rPr>
      </w:pPr>
      <w:r>
        <w:rPr>
          <w:rFonts w:ascii="Arial" w:cs="Arial" w:eastAsia="Arial" w:hAnsi="Arial"/>
          <w:sz w:val="18"/>
          <w:szCs w:val="18"/>
          <w:color w:val="auto"/>
        </w:rPr>
        <w:t>Embedded derivatives are separated from the host contract and the 2020/21 Notes, and carried at fair value when: (a) the embedded derivative possesses economic characteristics that are not clearly and closely related to the economic characteristics of the host contract; and (b) a separate, stand-alone instrument with the same terms would qualify as a derivative instrument. The Company has concluded that certain embedded derivatives within the 2020/21 Notes meet these criteria and, as such, must be valued separate and apart from the 2020/21 Notes as one embedded derivative and recorded at fair value each reporting period.</w:t>
      </w:r>
    </w:p>
    <w:p>
      <w:pPr>
        <w:spacing w:after="0" w:line="190" w:lineRule="exact"/>
        <w:rPr>
          <w:sz w:val="20"/>
          <w:szCs w:val="20"/>
          <w:color w:val="auto"/>
        </w:rPr>
      </w:pPr>
    </w:p>
    <w:p>
      <w:pPr>
        <w:ind w:right="380" w:firstLine="480"/>
        <w:spacing w:after="0" w:line="270" w:lineRule="auto"/>
        <w:rPr>
          <w:sz w:val="20"/>
          <w:szCs w:val="20"/>
          <w:color w:val="auto"/>
        </w:rPr>
      </w:pPr>
      <w:r>
        <w:rPr>
          <w:rFonts w:ascii="Arial" w:cs="Arial" w:eastAsia="Arial" w:hAnsi="Arial"/>
          <w:sz w:val="18"/>
          <w:szCs w:val="18"/>
          <w:color w:val="auto"/>
        </w:rPr>
        <w:t>The Company used a binomial lattice model in order to estimate the fair value of the embedded derivative in the 2020/21 Notes. Using this lattice model, the Company valued the embedded derivative using a “with-and-without method”.</w:t>
      </w:r>
    </w:p>
    <w:p>
      <w:pPr>
        <w:spacing w:after="0" w:line="175"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9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180" w:firstLine="480"/>
        <w:spacing w:after="0" w:line="253" w:lineRule="auto"/>
        <w:rPr>
          <w:sz w:val="20"/>
          <w:szCs w:val="20"/>
          <w:color w:val="auto"/>
        </w:rPr>
      </w:pPr>
      <w:r>
        <w:rPr>
          <w:rFonts w:ascii="Arial" w:cs="Arial" w:eastAsia="Arial" w:hAnsi="Arial"/>
          <w:sz w:val="18"/>
          <w:szCs w:val="18"/>
          <w:color w:val="auto"/>
        </w:rPr>
        <w:t>As of June 30, 2020 and December 31, 2019, the estimated fair value of the embedded derivatives was $0.3 million and $0, respectively. The Company recorded the estimated fair value of the embedded derivative with the 2020/21 Notes and 2020 Notes, net in the Consolidated Balance Sheets. The Company recorded a $0.2 million and $0.3 million loss from the change in fair value of 2020/21 Notes embedded derivatives for the three and six months ended June 30, 2020. The Company recorded a $0.1 million and $0.4 million gain from the change in fair value of 2020 Notes embedded derivatives or the three and six months ended June 30, 2019.</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inputs to the lattice models that were used to value the embedded derivatives:</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r>
      <w:tr>
        <w:trPr>
          <w:trHeight w:val="231"/>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r>
      <w:tr>
        <w:trPr>
          <w:trHeight w:val="208"/>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0.79</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w:t>
            </w:r>
          </w:p>
        </w:tc>
      </w:tr>
      <w:tr>
        <w:trPr>
          <w:trHeight w:val="213"/>
        </w:trPr>
        <w:tc>
          <w:tcPr>
            <w:tcW w:w="6700" w:type="dxa"/>
            <w:vAlign w:val="bottom"/>
          </w:tcPr>
          <w:p>
            <w:pPr>
              <w:spacing w:after="0"/>
              <w:rPr>
                <w:sz w:val="20"/>
                <w:szCs w:val="20"/>
                <w:color w:val="auto"/>
              </w:rPr>
            </w:pPr>
            <w:r>
              <w:rPr>
                <w:rFonts w:ascii="Arial" w:cs="Arial" w:eastAsia="Arial" w:hAnsi="Arial"/>
                <w:sz w:val="18"/>
                <w:szCs w:val="18"/>
                <w:color w:val="auto"/>
              </w:rPr>
              <w:t>Conversion Rate per $1,000</w:t>
            </w:r>
          </w:p>
        </w:tc>
        <w:tc>
          <w:tcPr>
            <w:tcW w:w="3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409.50</w:t>
            </w:r>
          </w:p>
        </w:tc>
        <w:tc>
          <w:tcPr>
            <w:tcW w:w="2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67.95</w:t>
            </w:r>
          </w:p>
        </w:tc>
      </w:tr>
      <w:tr>
        <w:trPr>
          <w:trHeight w:val="213"/>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Conversion Price</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14.72</w:t>
            </w:r>
          </w:p>
        </w:tc>
      </w:tr>
      <w:tr>
        <w:trPr>
          <w:trHeight w:val="213"/>
        </w:trPr>
        <w:tc>
          <w:tcPr>
            <w:tcW w:w="6700" w:type="dxa"/>
            <w:vAlign w:val="bottom"/>
          </w:tcPr>
          <w:p>
            <w:pPr>
              <w:spacing w:after="0"/>
              <w:rPr>
                <w:sz w:val="20"/>
                <w:szCs w:val="20"/>
                <w:color w:val="auto"/>
              </w:rPr>
            </w:pPr>
            <w:r>
              <w:rPr>
                <w:rFonts w:ascii="Arial" w:cs="Arial" w:eastAsia="Arial" w:hAnsi="Arial"/>
                <w:sz w:val="18"/>
                <w:szCs w:val="18"/>
                <w:color w:val="auto"/>
              </w:rPr>
              <w:t>Maturity date</w:t>
            </w:r>
          </w:p>
        </w:tc>
        <w:tc>
          <w:tcPr>
            <w:tcW w:w="320" w:type="dxa"/>
            <w:vAlign w:val="bottom"/>
          </w:tcPr>
          <w:p>
            <w:pPr>
              <w:spacing w:after="0"/>
              <w:rPr>
                <w:sz w:val="18"/>
                <w:szCs w:val="18"/>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April 1, 2021</w:t>
            </w:r>
          </w:p>
        </w:tc>
        <w:tc>
          <w:tcPr>
            <w:tcW w:w="2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March 15, 2020</w:t>
            </w:r>
          </w:p>
        </w:tc>
      </w:tr>
      <w:tr>
        <w:trPr>
          <w:trHeight w:val="213"/>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13"/>
        </w:trPr>
        <w:tc>
          <w:tcPr>
            <w:tcW w:w="6700" w:type="dxa"/>
            <w:vAlign w:val="bottom"/>
          </w:tcPr>
          <w:p>
            <w:pPr>
              <w:spacing w:after="0"/>
              <w:rPr>
                <w:sz w:val="20"/>
                <w:szCs w:val="20"/>
                <w:color w:val="auto"/>
              </w:rPr>
            </w:pPr>
            <w:r>
              <w:rPr>
                <w:rFonts w:ascii="Arial" w:cs="Arial" w:eastAsia="Arial" w:hAnsi="Arial"/>
                <w:sz w:val="18"/>
                <w:szCs w:val="18"/>
                <w:color w:val="auto"/>
              </w:rPr>
              <w:t>Estimated stock volatility</w:t>
            </w:r>
          </w:p>
        </w:tc>
        <w:tc>
          <w:tcPr>
            <w:tcW w:w="320" w:type="dxa"/>
            <w:vAlign w:val="bottom"/>
          </w:tcPr>
          <w:p>
            <w:pPr>
              <w:spacing w:after="0"/>
              <w:rPr>
                <w:sz w:val="18"/>
                <w:szCs w:val="18"/>
                <w:color w:val="auto"/>
              </w:rPr>
            </w:pP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13"/>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Estimated credit spread</w:t>
            </w:r>
          </w:p>
        </w:tc>
        <w:tc>
          <w:tcPr>
            <w:tcW w:w="3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bl>
    <w:p>
      <w:pPr>
        <w:spacing w:after="0" w:line="226" w:lineRule="exact"/>
        <w:rPr>
          <w:sz w:val="20"/>
          <w:szCs w:val="20"/>
          <w:color w:val="auto"/>
        </w:rPr>
      </w:pPr>
    </w:p>
    <w:p>
      <w:pPr>
        <w:jc w:val="both"/>
        <w:ind w:right="300" w:firstLine="480"/>
        <w:spacing w:after="0" w:line="258" w:lineRule="auto"/>
        <w:rPr>
          <w:sz w:val="20"/>
          <w:szCs w:val="20"/>
          <w:color w:val="auto"/>
        </w:rPr>
      </w:pPr>
      <w:r>
        <w:rPr>
          <w:rFonts w:ascii="Arial" w:cs="Arial" w:eastAsia="Arial" w:hAnsi="Arial"/>
          <w:sz w:val="18"/>
          <w:szCs w:val="18"/>
          <w:color w:val="auto"/>
        </w:rPr>
        <w:t>Changes in certain inputs into the lattice model can have a significant impact on changes in the estimated fair value of the embedded featured within the 2020/21 Notes and 2020 Notes. For example, the estimated fair value will generally decrease with: (1) a decline in the stock price; (2) decreases in the estimated stock volatility; and (3) a decrease in the estimated credit spread.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Liability</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warrants sold by the Company during the six months ended June 30, 2020.</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information pertaining to shares issued upon the exercise of such warrants as of June 30,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r>
      <w:tr>
        <w:trPr>
          <w:trHeight w:val="213"/>
        </w:trPr>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Underlying</w:t>
            </w:r>
          </w:p>
        </w:tc>
      </w:tr>
      <w:tr>
        <w:trPr>
          <w:trHeight w:val="213"/>
        </w:trPr>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Shares</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Shares Issued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Warrants</w:t>
            </w:r>
          </w:p>
        </w:tc>
      </w:tr>
      <w:tr>
        <w:trPr>
          <w:trHeight w:val="213"/>
        </w:trPr>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Price as of</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Underlying</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upon Warrant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213"/>
        </w:trPr>
        <w:tc>
          <w:tcPr>
            <w:tcW w:w="38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3"/>
              </w:rPr>
              <w:t>Issuance</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Warrants on</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Exercises as 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as of</w:t>
            </w:r>
          </w:p>
        </w:tc>
      </w:tr>
      <w:tr>
        <w:trPr>
          <w:trHeight w:val="231"/>
        </w:trPr>
        <w:tc>
          <w:tcPr>
            <w:tcW w:w="38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Issuance Date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June 30, 2020</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 2020</w:t>
            </w:r>
          </w:p>
        </w:tc>
      </w:tr>
      <w:tr>
        <w:trPr>
          <w:trHeight w:val="208"/>
        </w:trPr>
        <w:tc>
          <w:tcPr>
            <w:tcW w:w="38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840" w:type="dxa"/>
            <w:vAlign w:val="bottom"/>
          </w:tcPr>
          <w:p>
            <w:pPr>
              <w:spacing w:after="0"/>
              <w:rPr>
                <w:sz w:val="20"/>
                <w:szCs w:val="20"/>
                <w:color w:val="auto"/>
              </w:rPr>
            </w:pPr>
            <w:r>
              <w:rPr>
                <w:rFonts w:ascii="Arial" w:cs="Arial" w:eastAsia="Arial" w:hAnsi="Arial"/>
                <w:sz w:val="18"/>
                <w:szCs w:val="18"/>
                <w:color w:val="auto"/>
              </w:rPr>
              <w:t>Series D Warrants</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12/11/2015</w:t>
            </w:r>
          </w:p>
        </w:tc>
        <w:tc>
          <w:tcPr>
            <w:tcW w:w="134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12/11/2020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25,125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25,078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Series F Warrants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04/01/2016</w:t>
            </w:r>
          </w:p>
        </w:tc>
        <w:tc>
          <w:tcPr>
            <w:tcW w:w="134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8"/>
              </w:rPr>
              <w:t>04/01/2021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25,733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14,041</w:t>
            </w:r>
          </w:p>
        </w:tc>
      </w:tr>
      <w:tr>
        <w:trPr>
          <w:trHeight w:val="213"/>
        </w:trPr>
        <w:tc>
          <w:tcPr>
            <w:tcW w:w="3840" w:type="dxa"/>
            <w:vAlign w:val="bottom"/>
          </w:tcPr>
          <w:p>
            <w:pPr>
              <w:spacing w:after="0"/>
              <w:rPr>
                <w:sz w:val="20"/>
                <w:szCs w:val="20"/>
                <w:color w:val="auto"/>
              </w:rPr>
            </w:pPr>
            <w:r>
              <w:rPr>
                <w:rFonts w:ascii="Arial" w:cs="Arial" w:eastAsia="Arial" w:hAnsi="Arial"/>
                <w:sz w:val="18"/>
                <w:szCs w:val="18"/>
                <w:color w:val="auto"/>
              </w:rPr>
              <w:t>Series I Warrants</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09/13/2016</w:t>
            </w:r>
          </w:p>
        </w:tc>
        <w:tc>
          <w:tcPr>
            <w:tcW w:w="1340" w:type="dxa"/>
            <w:vAlign w:val="bottom"/>
            <w:gridSpan w:val="2"/>
          </w:tcPr>
          <w:p>
            <w:pPr>
              <w:jc w:val="center"/>
              <w:ind w:left="11"/>
              <w:spacing w:after="0"/>
              <w:rPr>
                <w:sz w:val="20"/>
                <w:szCs w:val="20"/>
                <w:color w:val="auto"/>
              </w:rPr>
            </w:pPr>
            <w:r>
              <w:rPr>
                <w:rFonts w:ascii="Arial" w:cs="Arial" w:eastAsia="Arial" w:hAnsi="Arial"/>
                <w:sz w:val="18"/>
                <w:szCs w:val="18"/>
                <w:color w:val="auto"/>
                <w:w w:val="88"/>
              </w:rPr>
              <w:t>09/13/2021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35,368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35,368</w:t>
            </w:r>
          </w:p>
        </w:tc>
      </w:tr>
      <w:tr>
        <w:trPr>
          <w:trHeight w:val="21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Series K Warrants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02/17/2017</w:t>
            </w:r>
          </w:p>
        </w:tc>
        <w:tc>
          <w:tcPr>
            <w:tcW w:w="134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9"/>
              </w:rPr>
              <w:t>2/17/2022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310,016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w:t>
            </w:r>
          </w:p>
        </w:tc>
      </w:tr>
      <w:tr>
        <w:trPr>
          <w:trHeight w:val="247"/>
        </w:trPr>
        <w:tc>
          <w:tcPr>
            <w:tcW w:w="384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38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396,242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345,430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50,812</w:t>
            </w:r>
          </w:p>
        </w:tc>
      </w:tr>
      <w:tr>
        <w:trPr>
          <w:trHeight w:val="619"/>
        </w:trPr>
        <w:tc>
          <w:tcPr>
            <w:tcW w:w="384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gridSpan w:val="2"/>
          </w:tcPr>
          <w:p>
            <w:pPr>
              <w:jc w:val="right"/>
              <w:ind w:right="231"/>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01"/>
        </w:trPr>
        <w:tc>
          <w:tcPr>
            <w:tcW w:w="38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r>
    </w:tbl>
    <w:p>
      <w:pPr>
        <w:sectPr>
          <w:pgSz w:w="11900" w:h="16838" w:orient="portrait"/>
          <w:cols w:equalWidth="0" w:num="1">
            <w:col w:w="11340"/>
          </w:cols>
          <w:pgMar w:left="320" w:top="125" w:right="239" w:bottom="1440" w:gutter="0" w:footer="0" w:header="0"/>
        </w:sectPr>
      </w:pPr>
    </w:p>
    <w:bookmarkStart w:id="21" w:name="page22"/>
    <w:bookmarkEnd w:id="21"/>
    <w:p>
      <w:pPr>
        <w:ind w:left="9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agreements governing the above warrants include the following terms:</w:t>
      </w:r>
    </w:p>
    <w:p>
      <w:pPr>
        <w:spacing w:after="0" w:line="220" w:lineRule="exact"/>
        <w:rPr>
          <w:sz w:val="20"/>
          <w:szCs w:val="20"/>
          <w:color w:val="auto"/>
        </w:rPr>
      </w:pPr>
    </w:p>
    <w:p>
      <w:pPr>
        <w:ind w:left="160" w:right="220" w:hanging="79"/>
        <w:spacing w:after="0" w:line="258" w:lineRule="auto"/>
        <w:rPr>
          <w:sz w:val="20"/>
          <w:szCs w:val="20"/>
          <w:color w:val="auto"/>
        </w:rPr>
      </w:pPr>
      <w:r>
        <w:rPr>
          <w:rFonts w:ascii="Arial" w:cs="Arial" w:eastAsia="Arial" w:hAnsi="Arial"/>
          <w:sz w:val="18"/>
          <w:szCs w:val="18"/>
          <w:color w:val="auto"/>
        </w:rPr>
        <w:t>•certain warrants have exercise prices which are subject to adjustment for certain events, including the issuance of stock dividends on the Company’s common stock and, in certain instances, the issuance of the Company’s common stock or instruments convertible into the Company’s common stock at a price per share less than the exercise price of the respective warrants;</w:t>
      </w:r>
    </w:p>
    <w:p>
      <w:pPr>
        <w:spacing w:after="0" w:line="186" w:lineRule="exact"/>
        <w:rPr>
          <w:sz w:val="20"/>
          <w:szCs w:val="20"/>
          <w:color w:val="auto"/>
        </w:rPr>
      </w:pPr>
    </w:p>
    <w:p>
      <w:pPr>
        <w:ind w:left="160" w:right="60" w:hanging="79"/>
        <w:spacing w:after="0" w:line="258" w:lineRule="auto"/>
        <w:rPr>
          <w:sz w:val="20"/>
          <w:szCs w:val="20"/>
          <w:color w:val="auto"/>
        </w:rPr>
      </w:pPr>
      <w:r>
        <w:rPr>
          <w:rFonts w:ascii="Arial" w:cs="Arial" w:eastAsia="Arial" w:hAnsi="Arial"/>
          <w:sz w:val="18"/>
          <w:szCs w:val="18"/>
          <w:color w:val="auto"/>
        </w:rPr>
        <w:t>•warrant holders may exercise the warrants through a cashless exercise if, and only if, the Company does not have an effective registration statement then available for the issuance of the shares of its common stock. If an effective registration statement is available for the issuance of its common stock a holder may only exercise the warrants through a cash exercise;</w:t>
      </w:r>
    </w:p>
    <w:p>
      <w:pPr>
        <w:spacing w:after="0" w:line="186" w:lineRule="exact"/>
        <w:rPr>
          <w:sz w:val="20"/>
          <w:szCs w:val="20"/>
          <w:color w:val="auto"/>
        </w:rPr>
      </w:pPr>
    </w:p>
    <w:p>
      <w:pPr>
        <w:ind w:left="160" w:hanging="79"/>
        <w:spacing w:after="0" w:line="258" w:lineRule="auto"/>
        <w:rPr>
          <w:sz w:val="20"/>
          <w:szCs w:val="20"/>
          <w:color w:val="auto"/>
        </w:rPr>
      </w:pPr>
      <w:r>
        <w:rPr>
          <w:rFonts w:ascii="Arial" w:cs="Arial" w:eastAsia="Arial" w:hAnsi="Arial"/>
          <w:sz w:val="18"/>
          <w:szCs w:val="18"/>
          <w:color w:val="auto"/>
        </w:rPr>
        <w:t>•the exercise price and the number and type of securities purchasable upon exercise of the warrants are subject to adjustment upon certain corporate events, including certain combinations, consolidations, liquidations, mergers, recapitalizations, reclassifications, reorganizations, stock dividends and stock splits, a sale of all or substantially all of the Company’s assets and certain other events; and</w:t>
      </w:r>
    </w:p>
    <w:p>
      <w:pPr>
        <w:spacing w:after="0" w:line="186" w:lineRule="exact"/>
        <w:rPr>
          <w:sz w:val="20"/>
          <w:szCs w:val="20"/>
          <w:color w:val="auto"/>
        </w:rPr>
      </w:pPr>
    </w:p>
    <w:p>
      <w:pPr>
        <w:ind w:left="160" w:right="20" w:hanging="79"/>
        <w:spacing w:after="0" w:line="267" w:lineRule="auto"/>
        <w:rPr>
          <w:sz w:val="20"/>
          <w:szCs w:val="20"/>
          <w:color w:val="auto"/>
        </w:rPr>
      </w:pPr>
      <w:r>
        <w:rPr>
          <w:rFonts w:ascii="Arial" w:cs="Arial" w:eastAsia="Arial" w:hAnsi="Arial"/>
          <w:sz w:val="17"/>
          <w:szCs w:val="17"/>
          <w:color w:val="auto"/>
        </w:rPr>
        <w:t>•in the event of an “extraordinary transaction” or a “fundamental transaction” (as such terms are defined in the respective warrant agreements), generally including any merger with or into another entity, sale of all or substantially all of the Company’s assets, tender offer or exchange offer, or reclassification of its common stock, in which the successor entity (as defined in the respective warrant agreements) that assumes the successor entity is not a publicly traded company, the Company or any successor entity will pay the warrant holder, at such holder’s option, exercisable at any time concurrently with or within 30 days after the consummation of the extraordinary transaction or fundamental transaction, an amount of cash equal to the value of such holder’s warrants as determined in accordance with the Black-Scholes option pricing model and the terms of the respective warrant agreement. In some circumstances, the Company or successor entity may be obligated to make such payments regardless of whether the successor entity that assumes the warrants is a publicly traded company.</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warrants exercised during the six months ended June 30, 2020.</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Liabilities</w:t>
      </w:r>
    </w:p>
    <w:p>
      <w:pPr>
        <w:spacing w:after="0" w:line="224" w:lineRule="exact"/>
        <w:rPr>
          <w:sz w:val="20"/>
          <w:szCs w:val="20"/>
          <w:color w:val="auto"/>
        </w:rPr>
      </w:pPr>
    </w:p>
    <w:p>
      <w:pPr>
        <w:ind w:right="620" w:firstLine="469"/>
        <w:spacing w:after="0" w:line="270" w:lineRule="auto"/>
        <w:rPr>
          <w:sz w:val="20"/>
          <w:szCs w:val="20"/>
          <w:color w:val="auto"/>
        </w:rPr>
      </w:pPr>
      <w:r>
        <w:rPr>
          <w:rFonts w:ascii="Arial" w:cs="Arial" w:eastAsia="Arial" w:hAnsi="Arial"/>
          <w:sz w:val="18"/>
          <w:szCs w:val="18"/>
          <w:color w:val="auto"/>
        </w:rPr>
        <w:t>The following table sets forth the components of the Company’s accounts payable and accrued liabilities in the consolidated balance sheets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4380" w:type="dxa"/>
            <w:vAlign w:val="bottom"/>
          </w:tcPr>
          <w:p>
            <w:pPr>
              <w:spacing w:after="0"/>
              <w:rPr>
                <w:sz w:val="20"/>
                <w:szCs w:val="20"/>
                <w:color w:val="auto"/>
              </w:rPr>
            </w:pPr>
          </w:p>
        </w:tc>
        <w:tc>
          <w:tcPr>
            <w:tcW w:w="468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8"/>
        </w:trPr>
        <w:tc>
          <w:tcPr>
            <w:tcW w:w="43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Accrued utilities and supplies</w:t>
            </w:r>
          </w:p>
        </w:tc>
        <w:tc>
          <w:tcPr>
            <w:tcW w:w="4680" w:type="dxa"/>
            <w:vAlign w:val="bottom"/>
            <w:gridSpan w:val="2"/>
          </w:tcPr>
          <w:p>
            <w:pPr>
              <w:jc w:val="right"/>
              <w:ind w:right="871"/>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704</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 trade</w:t>
            </w:r>
          </w:p>
        </w:tc>
        <w:tc>
          <w:tcPr>
            <w:tcW w:w="3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r>
      <w:tr>
        <w:trPr>
          <w:trHeight w:val="213"/>
        </w:trPr>
        <w:tc>
          <w:tcPr>
            <w:tcW w:w="438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3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1,445</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r>
      <w:tr>
        <w:trPr>
          <w:trHeight w:val="21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3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1,281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r>
      <w:tr>
        <w:trPr>
          <w:trHeight w:val="247"/>
        </w:trPr>
        <w:tc>
          <w:tcPr>
            <w:tcW w:w="4380" w:type="dxa"/>
            <w:vAlign w:val="bottom"/>
            <w:tcBorders>
              <w:top w:val="single" w:sz="8" w:color="CCEEFF"/>
            </w:tcBorders>
          </w:tcPr>
          <w:p>
            <w:pPr>
              <w:spacing w:after="0"/>
              <w:rPr>
                <w:sz w:val="21"/>
                <w:szCs w:val="21"/>
                <w:color w:val="auto"/>
              </w:rPr>
            </w:pPr>
          </w:p>
        </w:tc>
        <w:tc>
          <w:tcPr>
            <w:tcW w:w="3640" w:type="dxa"/>
            <w:vAlign w:val="bottom"/>
            <w:tcBorders>
              <w:top w:val="single" w:sz="8" w:color="CCEEFF"/>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accounts payable and accrued liabilities</w:t>
            </w:r>
          </w:p>
        </w:tc>
        <w:tc>
          <w:tcPr>
            <w:tcW w:w="4680" w:type="dxa"/>
            <w:vAlign w:val="bottom"/>
            <w:gridSpan w:val="2"/>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3,999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5,678</w:t>
            </w:r>
          </w:p>
        </w:tc>
      </w:tr>
      <w:tr>
        <w:trPr>
          <w:trHeight w:val="406"/>
        </w:trPr>
        <w:tc>
          <w:tcPr>
            <w:tcW w:w="4380" w:type="dxa"/>
            <w:vAlign w:val="bottom"/>
            <w:tcBorders>
              <w:top w:val="single" w:sz="8" w:color="CCEEFF"/>
            </w:tcBorders>
          </w:tcPr>
          <w:p>
            <w:pPr>
              <w:spacing w:after="0"/>
              <w:rPr>
                <w:sz w:val="24"/>
                <w:szCs w:val="24"/>
                <w:color w:val="auto"/>
              </w:rPr>
            </w:pPr>
          </w:p>
        </w:tc>
        <w:tc>
          <w:tcPr>
            <w:tcW w:w="3640" w:type="dxa"/>
            <w:vAlign w:val="bottom"/>
            <w:tcBorders>
              <w:top w:val="single" w:sz="8" w:color="CCEEFF"/>
            </w:tcBorders>
          </w:tcPr>
          <w:p>
            <w:pPr>
              <w:jc w:val="right"/>
              <w:ind w:right="2211"/>
              <w:spacing w:after="0"/>
              <w:rPr>
                <w:sz w:val="20"/>
                <w:szCs w:val="20"/>
                <w:color w:val="auto"/>
              </w:rPr>
            </w:pPr>
            <w:r>
              <w:rPr>
                <w:rFonts w:ascii="Arial" w:cs="Arial" w:eastAsia="Arial" w:hAnsi="Arial"/>
                <w:sz w:val="18"/>
                <w:szCs w:val="18"/>
                <w:color w:val="auto"/>
              </w:rPr>
              <w:t>21</w:t>
            </w:r>
          </w:p>
        </w:tc>
        <w:tc>
          <w:tcPr>
            <w:tcW w:w="10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38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Notes and 2020/21 Notes</w:t>
      </w:r>
    </w:p>
    <w:p>
      <w:pPr>
        <w:spacing w:after="0" w:line="220" w:lineRule="exact"/>
        <w:rPr>
          <w:sz w:val="20"/>
          <w:szCs w:val="20"/>
          <w:color w:val="auto"/>
        </w:rPr>
      </w:pPr>
    </w:p>
    <w:p>
      <w:pPr>
        <w:ind w:right="100" w:firstLine="469"/>
        <w:spacing w:after="0" w:line="270" w:lineRule="auto"/>
        <w:rPr>
          <w:sz w:val="20"/>
          <w:szCs w:val="20"/>
          <w:color w:val="auto"/>
        </w:rPr>
      </w:pPr>
      <w:r>
        <w:rPr>
          <w:rFonts w:ascii="Arial" w:cs="Arial" w:eastAsia="Arial" w:hAnsi="Arial"/>
          <w:sz w:val="18"/>
          <w:szCs w:val="18"/>
          <w:color w:val="auto"/>
        </w:rPr>
        <w:t>The following table sets forth information pertaining to the 2020 Notes and 2020/21 Notes which are included in the Company’s consolidated balance sheets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Principal</w:t>
            </w:r>
          </w:p>
        </w:tc>
        <w:tc>
          <w:tcPr>
            <w:tcW w:w="10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Amount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Amount of</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2020/21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Debt</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Debt Issue</w:t>
            </w:r>
          </w:p>
        </w:tc>
        <w:tc>
          <w:tcPr>
            <w:tcW w:w="16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1"/>
              </w:rPr>
              <w:t>Embedded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00" w:type="dxa"/>
            <w:vAlign w:val="bottom"/>
          </w:tcPr>
          <w:p>
            <w:pPr>
              <w:spacing w:after="0"/>
              <w:rPr>
                <w:sz w:val="20"/>
                <w:szCs w:val="20"/>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2020 Notes</w:t>
            </w:r>
          </w:p>
        </w:tc>
        <w:tc>
          <w:tcPr>
            <w:tcW w:w="10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Notes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5"/>
              </w:rPr>
              <w:t>Discount</w:t>
            </w: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1"/>
              </w:rPr>
              <w:t>Costs</w:t>
            </w:r>
          </w:p>
        </w:tc>
        <w:tc>
          <w:tcPr>
            <w:tcW w:w="1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Notes</w:t>
            </w:r>
          </w:p>
        </w:tc>
        <w:tc>
          <w:tcPr>
            <w:tcW w:w="10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Derivative</w:t>
            </w:r>
          </w:p>
        </w:tc>
        <w:tc>
          <w:tcPr>
            <w:tcW w:w="16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8"/>
        </w:trPr>
        <w:tc>
          <w:tcPr>
            <w:tcW w:w="3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13,900</w:t>
            </w: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13,900</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Arial" w:cs="Arial" w:eastAsia="Arial" w:hAnsi="Arial"/>
                <w:sz w:val="18"/>
                <w:szCs w:val="18"/>
                <w:color w:val="auto"/>
              </w:rPr>
              <w:t>Exchange of 2020 Notes for 2020/21 Notes</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(14,100)</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Original issue discount paid with 2020/21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Notes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Arial" w:cs="Arial" w:eastAsia="Arial" w:hAnsi="Arial"/>
                <w:sz w:val="18"/>
                <w:szCs w:val="18"/>
                <w:color w:val="auto"/>
              </w:rPr>
              <w:t>Fair value of 2020/21 embedded derivative</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Change in fair value of 2020/21 Notes</w:t>
            </w: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(2,572)</w:t>
            </w:r>
          </w:p>
        </w:tc>
        <w:tc>
          <w:tcPr>
            <w:tcW w:w="16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embedded derivative</w:t>
            </w: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14,526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14,293</w:t>
            </w:r>
          </w:p>
        </w:tc>
        <w:tc>
          <w:tcPr>
            <w:tcW w:w="360" w:type="dxa"/>
            <w:vAlign w:val="bottom"/>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80" w:firstLine="480"/>
        <w:spacing w:after="0" w:line="269" w:lineRule="auto"/>
        <w:rPr>
          <w:sz w:val="20"/>
          <w:szCs w:val="20"/>
          <w:color w:val="auto"/>
        </w:rPr>
      </w:pPr>
      <w:r>
        <w:rPr>
          <w:rFonts w:ascii="Arial" w:cs="Arial" w:eastAsia="Arial" w:hAnsi="Arial"/>
          <w:sz w:val="17"/>
          <w:szCs w:val="17"/>
          <w:color w:val="auto"/>
        </w:rPr>
        <w:t>On June 20, 2017, the Company issued the 2020 Notes in exchange for its 12.0% convertible senior secured notes due 2017 (the "2017 Notes"), plus an amount in cash equal to the accrued and unpaid interest. The 2020 Notes had a maturity date of March 15, 2020 and were secured by a first lien on substantially all of our assets. The 2020 Notes had an interest rate equal to 12% per annum (with 2% potentially payable as PIK Interest (as defined and described below) at our option), payable on March 31, June 30, September 30 and December 31 of each year. To the extent that the Company paid any portion of the interest due on the 2020 Notes as PIK Interest, the maximum aggregate principal amount of the 2020 Notes that would have been convertible into shares of the Company's common stock increased.</w:t>
      </w:r>
    </w:p>
    <w:p>
      <w:pPr>
        <w:spacing w:after="0" w:line="180" w:lineRule="exact"/>
        <w:rPr>
          <w:sz w:val="20"/>
          <w:szCs w:val="20"/>
          <w:color w:val="auto"/>
        </w:rPr>
      </w:pPr>
    </w:p>
    <w:p>
      <w:pPr>
        <w:ind w:firstLine="480"/>
        <w:spacing w:after="0" w:line="258" w:lineRule="auto"/>
        <w:rPr>
          <w:sz w:val="20"/>
          <w:szCs w:val="20"/>
          <w:color w:val="auto"/>
        </w:rPr>
      </w:pPr>
      <w:r>
        <w:rPr>
          <w:rFonts w:ascii="Arial" w:cs="Arial" w:eastAsia="Arial" w:hAnsi="Arial"/>
          <w:sz w:val="18"/>
          <w:szCs w:val="18"/>
          <w:color w:val="auto"/>
        </w:rPr>
        <w:t>Under certain circumstances, the Company had the option to pay a portion of the interest due on the 2020 Notes by either (a) increasing the principal amount of the 2020 Notes by the amount of interest then due or (b) issuing additional 2020 Notes with a principal amount equal to the amount of interest then due (interest paid in the manner set forth in (a) or (b) being referred to as “PIK Interest”).</w:t>
      </w:r>
    </w:p>
    <w:p>
      <w:pPr>
        <w:spacing w:after="0" w:line="186" w:lineRule="exact"/>
        <w:rPr>
          <w:sz w:val="20"/>
          <w:szCs w:val="20"/>
          <w:color w:val="auto"/>
        </w:rPr>
      </w:pPr>
    </w:p>
    <w:p>
      <w:pPr>
        <w:ind w:right="600" w:firstLine="480"/>
        <w:spacing w:after="0" w:line="270" w:lineRule="auto"/>
        <w:rPr>
          <w:sz w:val="20"/>
          <w:szCs w:val="20"/>
          <w:color w:val="auto"/>
        </w:rPr>
      </w:pPr>
      <w:r>
        <w:rPr>
          <w:rFonts w:ascii="Arial" w:cs="Arial" w:eastAsia="Arial" w:hAnsi="Arial"/>
          <w:sz w:val="18"/>
          <w:szCs w:val="18"/>
          <w:color w:val="auto"/>
        </w:rPr>
        <w:t>Additional shares of the Company's common stock could also have become issuable pursuant to the 2020 Notes in the event the Company was required to make certain make-whole payments as provided in the 2020 Notes Indenture.</w:t>
      </w:r>
    </w:p>
    <w:p>
      <w:pPr>
        <w:spacing w:after="0" w:line="175" w:lineRule="exact"/>
        <w:rPr>
          <w:sz w:val="20"/>
          <w:szCs w:val="20"/>
          <w:color w:val="auto"/>
        </w:rPr>
      </w:pPr>
    </w:p>
    <w:p>
      <w:pPr>
        <w:ind w:right="120" w:firstLine="480"/>
        <w:spacing w:after="0" w:line="300" w:lineRule="auto"/>
        <w:rPr>
          <w:sz w:val="20"/>
          <w:szCs w:val="20"/>
          <w:color w:val="auto"/>
        </w:rPr>
      </w:pPr>
      <w:r>
        <w:rPr>
          <w:rFonts w:ascii="Arial" w:cs="Arial" w:eastAsia="Arial" w:hAnsi="Arial"/>
          <w:sz w:val="17"/>
          <w:szCs w:val="17"/>
          <w:color w:val="auto"/>
        </w:rPr>
        <w:t>The 2020 Notes were convertible into shares of the Company's common stock, subject to certain terms and conditions. The initial conversion price of the 2020 Notes was equal to $14.72 per share of common stock, or 0.0679 shares of common stock per $1 principal amount of 2020 Notes.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2020/21 Notes</w:t>
      </w:r>
    </w:p>
    <w:p>
      <w:pPr>
        <w:spacing w:after="0" w:line="220" w:lineRule="exact"/>
        <w:rPr>
          <w:sz w:val="20"/>
          <w:szCs w:val="20"/>
          <w:color w:val="auto"/>
        </w:rPr>
      </w:pPr>
    </w:p>
    <w:p>
      <w:pPr>
        <w:ind w:right="60" w:firstLine="480"/>
        <w:spacing w:after="0" w:line="282" w:lineRule="auto"/>
        <w:rPr>
          <w:sz w:val="20"/>
          <w:szCs w:val="20"/>
          <w:color w:val="auto"/>
        </w:rPr>
      </w:pPr>
      <w:r>
        <w:rPr>
          <w:rFonts w:ascii="Arial" w:cs="Arial" w:eastAsia="Arial" w:hAnsi="Arial"/>
          <w:sz w:val="16"/>
          <w:szCs w:val="16"/>
          <w:color w:val="auto"/>
        </w:rPr>
        <w:t>On January 10, 2020, the Company entered into an Exchange and Purchase Agreement (as amended, the “2020/21 Purchase Agreement”) with the guarantors party thereto (the "Guarantors"), the holder of the 2020 Notes and Whitebox Advisors LLC ("Whitebox"), in its capacity as representative of the holder. Pursuant to the terms of the 2020/21 Purchase Agreement, the holder of the 2020 Notes, subject to certain conditions, agreed to exchange all of the outstanding principal amount of the 2020 Notes, which was approximately $14.1 million including unpaid accrued interest, for approximately $14.4 million in aggregate principal amount of the Company's newly created 2020/21 Notes (the “2020/21 Exchange”). Pursuant to the 2020/21 Purchase Agreement, the Company also granted an option to purchase up to an additional aggregate principal amount of approximately $7.1 million of 2020/21 Notes (the “2020/21 Option Notes”), at a purchase price equal to the aggregate principal amount of such 2020/21 Option Notes purchased less an original issue discount of 2.0%, having identical terms (other than with respect to the issue date and restrictions on transfer relating to compliance with applicable securities law) to the 2020/21 Notes issued, at any time during the period beginning on the date of closing of the 2020/21 Exchange and ending on the later of (a) 180 days thereafter, and (b) 30 days following June 3, 2020. The right to purchase 2020/21 Option Notes expired on July 3, 2020. On January 10, 2020, the Company completed the 2020/21 Exchange and cancelled the 2020 Notes. In addition, the Company entered into an Indenture by and among the Company, the guarantors named therein (the “2020/21 Notes Guarantors”) and FSB, as trustee and as collateral trustee (the “Original Indenture”), as supplemented by that certain First Supplemental Indenture, dated as of April 7, 2020 (the “First Supplemental Indenture” and, together with the Original Indenture, the “2020/21 Notes Indenture”), pursuant to which the Company issued the 2020/21 Notes. The Company recognized an approximately $0.7 million loss. See "</w:t>
      </w:r>
      <w:r>
        <w:rPr>
          <w:rFonts w:ascii="Arial" w:cs="Arial" w:eastAsia="Arial" w:hAnsi="Arial"/>
          <w:sz w:val="16"/>
          <w:szCs w:val="16"/>
          <w:i w:val="1"/>
          <w:iCs w:val="1"/>
          <w:color w:val="auto"/>
        </w:rPr>
        <w:t>(Loss) on</w:t>
      </w:r>
      <w:r>
        <w:rPr>
          <w:rFonts w:ascii="Arial" w:cs="Arial" w:eastAsia="Arial" w:hAnsi="Arial"/>
          <w:sz w:val="16"/>
          <w:szCs w:val="16"/>
          <w:color w:val="auto"/>
        </w:rPr>
        <w:t xml:space="preserve"> </w:t>
      </w:r>
      <w:r>
        <w:rPr>
          <w:rFonts w:ascii="Arial" w:cs="Arial" w:eastAsia="Arial" w:hAnsi="Arial"/>
          <w:sz w:val="16"/>
          <w:szCs w:val="16"/>
          <w:i w:val="1"/>
          <w:iCs w:val="1"/>
          <w:color w:val="auto"/>
        </w:rPr>
        <w:t>modification of 2020 Notes</w:t>
      </w:r>
      <w:r>
        <w:rPr>
          <w:rFonts w:ascii="Arial" w:cs="Arial" w:eastAsia="Arial" w:hAnsi="Arial"/>
          <w:sz w:val="16"/>
          <w:szCs w:val="16"/>
          <w:color w:val="auto"/>
        </w:rPr>
        <w:t>" within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-1532255</wp:posOffset>
            </wp:positionV>
            <wp:extent cx="279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53" w:lineRule="exact"/>
        <w:rPr>
          <w:sz w:val="20"/>
          <w:szCs w:val="20"/>
          <w:color w:val="auto"/>
        </w:rPr>
      </w:pPr>
    </w:p>
    <w:p>
      <w:pPr>
        <w:ind w:firstLine="480"/>
        <w:spacing w:after="0" w:line="267" w:lineRule="auto"/>
        <w:rPr>
          <w:sz w:val="20"/>
          <w:szCs w:val="20"/>
          <w:color w:val="auto"/>
        </w:rPr>
      </w:pPr>
      <w:r>
        <w:rPr>
          <w:rFonts w:ascii="Arial" w:cs="Arial" w:eastAsia="Arial" w:hAnsi="Arial"/>
          <w:sz w:val="17"/>
          <w:szCs w:val="17"/>
          <w:color w:val="auto"/>
        </w:rPr>
        <w:t>The 2020/21 Notes will mature on December 31, 2020, provided that the maturity date will automatically be extended to April 1, 2021 if the aggregate outstanding principal balance of the 2020/21 Notes (including any 2020/21 Option Notes) as of December 15, 2020 is less than $7 million. The 2020/21 Notes bear interest at a rate equal to 12% per annum (with 4% payable as PIK Interest (as defined and described below)), payable on March 31, June 30, September 30 and December 31 of each year. Under certain circumstances, the Company will have the option to pay a portion of the interest due on the 2020/21 Notes by either (a) increasing the principal amount of the 2020/21 Notes by the amount of interest then due or (b) issuing additional 2020/21 Notes with a principal amount equal to the amount of interest then due (interest paid in the manner set forth in (a) or (b) being referred to as “PIK Interest”). In the event the Company pays any portion of the interest due on the 2020/21 Notes as PIK Interest, the maximum aggregate principal amount of 2020/21 Notes that could be convertible into shares of the Company’s common stock will be increased.</w:t>
      </w:r>
    </w:p>
    <w:p>
      <w:pPr>
        <w:spacing w:after="0" w:line="182" w:lineRule="exact"/>
        <w:rPr>
          <w:sz w:val="20"/>
          <w:szCs w:val="20"/>
          <w:color w:val="auto"/>
        </w:rPr>
      </w:pPr>
    </w:p>
    <w:p>
      <w:pPr>
        <w:ind w:right="200" w:firstLine="480"/>
        <w:spacing w:after="0" w:line="286" w:lineRule="auto"/>
        <w:rPr>
          <w:sz w:val="20"/>
          <w:szCs w:val="20"/>
          <w:color w:val="auto"/>
        </w:rPr>
      </w:pPr>
      <w:r>
        <w:rPr>
          <w:rFonts w:ascii="Arial" w:cs="Arial" w:eastAsia="Arial" w:hAnsi="Arial"/>
          <w:sz w:val="16"/>
          <w:szCs w:val="16"/>
          <w:color w:val="auto"/>
        </w:rPr>
        <w:t>The 2020/21 Notes are convertible into shares of the Company’s common stock at the conversion price, subject to certain terms and conditions. The initial conversion price of the 2020/21 Notes is equal to $2.442 per share of the Company’s common stock (the “2020/21 Notes Conversion Price”), or</w:t>
      </w:r>
    </w:p>
    <w:p>
      <w:pPr>
        <w:spacing w:after="0" w:line="1"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0.4095 shares of the Company’s common stock per $1 principal amount of 2020/21 Notes. The Company and the holders may also mutually agree on other conversions of the 2020/21 Notes into shares of the Company’s common stock on a monthly basis (a “Contractual Conversion”) pursuant to the terms of the 2020/21 Notes Indenture. The 2020/21 Notes Conversion Price in a Contractual Conversion will be reduced to the lesser of the then-applicable 2020/21 Notes Conversion Price or a 10% discount to the average of the daily volume weighted average price of the Company’s common stock for the three forward trading days prior to the date of the Contractual Conversion.</w:t>
      </w:r>
    </w:p>
    <w:p>
      <w:pPr>
        <w:spacing w:after="0" w:line="194" w:lineRule="exact"/>
        <w:rPr>
          <w:sz w:val="20"/>
          <w:szCs w:val="20"/>
          <w:color w:val="auto"/>
        </w:rPr>
      </w:pPr>
    </w:p>
    <w:p>
      <w:pPr>
        <w:ind w:right="200" w:firstLine="480"/>
        <w:spacing w:after="0" w:line="251" w:lineRule="auto"/>
        <w:rPr>
          <w:sz w:val="20"/>
          <w:szCs w:val="20"/>
          <w:color w:val="auto"/>
        </w:rPr>
      </w:pPr>
      <w:r>
        <w:rPr>
          <w:rFonts w:ascii="Arial" w:cs="Arial" w:eastAsia="Arial" w:hAnsi="Arial"/>
          <w:sz w:val="18"/>
          <w:szCs w:val="18"/>
          <w:color w:val="auto"/>
        </w:rPr>
        <w:t>Each holder has agreed not to convert its 2020/21 Notes into shares of the Company’s common stock to the extent that, after giving effect to such conversion, the number of shares of the Company’s common stock beneficially owned by such holder and its affiliates would exceed 4.99% of the Company’s common stock outstanding at the time of such conversion (the “4.99% Ownership Limitation”); provided that a holder may, at its option and upon 61 days’ prior notice to the Company, increase such threshold to 9.99% (the “9.99% Ownership Limitation”). If a conversion of 2020/21 Notes by a holder would exceed the 4.99% Ownership Limitation or the 9.99% Ownership Limitation, as applicable, the 2020/21 Purchase Agreement contains a provision granting the holder a fully funded prepaid warrant for such common stock with a term of nine months, subject to a six-month extension, which it can draw down from time to time.</w:t>
      </w:r>
    </w:p>
    <w:p>
      <w:pPr>
        <w:spacing w:after="0" w:line="193" w:lineRule="exact"/>
        <w:rPr>
          <w:sz w:val="20"/>
          <w:szCs w:val="20"/>
          <w:color w:val="auto"/>
        </w:rPr>
      </w:pPr>
    </w:p>
    <w:p>
      <w:pPr>
        <w:ind w:right="80" w:firstLine="480"/>
        <w:spacing w:after="0" w:line="296" w:lineRule="auto"/>
        <w:rPr>
          <w:sz w:val="20"/>
          <w:szCs w:val="20"/>
          <w:color w:val="auto"/>
        </w:rPr>
      </w:pPr>
      <w:r>
        <w:rPr>
          <w:rFonts w:ascii="Arial" w:cs="Arial" w:eastAsia="Arial" w:hAnsi="Arial"/>
          <w:sz w:val="16"/>
          <w:szCs w:val="16"/>
          <w:color w:val="auto"/>
        </w:rPr>
        <w:t>The 2020/21 Notes may be redeemed in whole or in part, at the Company’s option, for cash at any time June 3, 2020 and upon 120 days’ notice to the holders of the 2020/21 Notes. A Redemption Make-Whole Payment (as defined in the 2020/21 Notes Indenture) applies only to a redemption of 2020/21 Notes that occurs on or after December 31, 2020. Following a notice of redemption of the 2020/21 Notes by the Company, the holders may elect to convert the 2020/21 Notes into shares of the Company’s common stock at the same conversion price as applicable to a Contractual Conversion.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180" w:firstLine="480"/>
        <w:spacing w:after="0" w:line="255" w:lineRule="auto"/>
        <w:rPr>
          <w:sz w:val="20"/>
          <w:szCs w:val="20"/>
          <w:color w:val="auto"/>
        </w:rPr>
      </w:pPr>
      <w:r>
        <w:rPr>
          <w:rFonts w:ascii="Arial" w:cs="Arial" w:eastAsia="Arial" w:hAnsi="Arial"/>
          <w:sz w:val="18"/>
          <w:szCs w:val="18"/>
          <w:color w:val="auto"/>
        </w:rPr>
        <w:t>The 2020/21 Notes do not contain any anti-dilution adjustments for future equity issuances that are below the 2020/21 Notes Conversion Price, and adjustments to the 2020/21 Notes Conversion Price will only generally be made in the event that there is a dividend or distribution paid on shares of the Company’s common stock, a subdivision, combination or reclassification of the Company’s common stock, or at the discretion of the Board of Directors of the Company in limited circumstances and subject to certain conditions.</w:t>
      </w:r>
    </w:p>
    <w:p>
      <w:pPr>
        <w:spacing w:after="0" w:line="188" w:lineRule="exact"/>
        <w:rPr>
          <w:sz w:val="20"/>
          <w:szCs w:val="20"/>
          <w:color w:val="auto"/>
        </w:rPr>
      </w:pPr>
    </w:p>
    <w:p>
      <w:pPr>
        <w:ind w:right="320" w:firstLine="480"/>
        <w:spacing w:after="0" w:line="270" w:lineRule="auto"/>
        <w:rPr>
          <w:sz w:val="20"/>
          <w:szCs w:val="20"/>
          <w:color w:val="auto"/>
        </w:rPr>
      </w:pPr>
      <w:r>
        <w:rPr>
          <w:rFonts w:ascii="Arial" w:cs="Arial" w:eastAsia="Arial" w:hAnsi="Arial"/>
          <w:sz w:val="18"/>
          <w:szCs w:val="18"/>
          <w:color w:val="auto"/>
        </w:rPr>
        <w:t>The 2020/21 Notes are secured by a lien on substantially all of the assets of the Company and the 2020/21 Notes Guarantors, including intellectual property and real property, and are guaranteed by the Company’s existing subsidiaries.</w:t>
      </w:r>
    </w:p>
    <w:p>
      <w:pPr>
        <w:spacing w:after="0" w:line="175" w:lineRule="exact"/>
        <w:rPr>
          <w:sz w:val="20"/>
          <w:szCs w:val="20"/>
          <w:color w:val="auto"/>
        </w:rPr>
      </w:pPr>
    </w:p>
    <w:p>
      <w:pPr>
        <w:ind w:right="100" w:firstLine="480"/>
        <w:spacing w:after="0" w:line="270" w:lineRule="auto"/>
        <w:rPr>
          <w:sz w:val="20"/>
          <w:szCs w:val="20"/>
          <w:color w:val="auto"/>
        </w:rPr>
      </w:pPr>
      <w:r>
        <w:rPr>
          <w:rFonts w:ascii="Arial" w:cs="Arial" w:eastAsia="Arial" w:hAnsi="Arial"/>
          <w:sz w:val="18"/>
          <w:szCs w:val="18"/>
          <w:color w:val="auto"/>
        </w:rPr>
        <w:t>Additional shares of the Company's common stock could also become issuable pursuant to the 2020/21 Notes in the event the Company is required to make certain make-whole payments as provided in the 2020/21 Notes Indenture.</w:t>
      </w:r>
    </w:p>
    <w:p>
      <w:pPr>
        <w:spacing w:after="0" w:line="175" w:lineRule="exact"/>
        <w:rPr>
          <w:sz w:val="20"/>
          <w:szCs w:val="20"/>
          <w:color w:val="auto"/>
        </w:rPr>
      </w:pPr>
    </w:p>
    <w:p>
      <w:pPr>
        <w:ind w:right="300" w:firstLine="480"/>
        <w:spacing w:after="0" w:line="270" w:lineRule="auto"/>
        <w:rPr>
          <w:sz w:val="20"/>
          <w:szCs w:val="20"/>
          <w:color w:val="auto"/>
        </w:rPr>
      </w:pPr>
      <w:r>
        <w:rPr>
          <w:rFonts w:ascii="Arial" w:cs="Arial" w:eastAsia="Arial" w:hAnsi="Arial"/>
          <w:sz w:val="18"/>
          <w:szCs w:val="18"/>
          <w:color w:val="auto"/>
        </w:rPr>
        <w:t>Under certain circumstances, the Company may file one or more registration statements on Form S-3 or amend filings in order to register shares of common stock for sale or resale, as necessary in connection with the 2020/21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Payable - Other</w:t>
      </w:r>
    </w:p>
    <w:p>
      <w:pPr>
        <w:spacing w:after="0" w:line="220" w:lineRule="exact"/>
        <w:rPr>
          <w:sz w:val="20"/>
          <w:szCs w:val="20"/>
          <w:color w:val="auto"/>
        </w:rPr>
      </w:pPr>
    </w:p>
    <w:p>
      <w:pPr>
        <w:ind w:right="140" w:firstLine="480"/>
        <w:spacing w:after="0" w:line="306" w:lineRule="auto"/>
        <w:rPr>
          <w:sz w:val="20"/>
          <w:szCs w:val="20"/>
          <w:color w:val="auto"/>
        </w:rPr>
      </w:pPr>
      <w:r>
        <w:rPr>
          <w:rFonts w:ascii="Arial" w:cs="Arial" w:eastAsia="Arial" w:hAnsi="Arial"/>
          <w:sz w:val="16"/>
          <w:szCs w:val="16"/>
          <w:color w:val="auto"/>
        </w:rPr>
        <w:t>During the first quarter of 2020, the Company purchased equipment under a financing lease. During the fourth quarter 2019, the Company purchased equipment and financed part of its insurance obligation. The equipment notes and financing lease pay interest between 4% and 21%, have total monthly payments of $0.1 million and mature at various dates from August 2020 to February 2025. The equipment loans are secured by the related equipment.</w:t>
      </w:r>
    </w:p>
    <w:p>
      <w:pPr>
        <w:spacing w:after="0" w:line="150" w:lineRule="exact"/>
        <w:rPr>
          <w:sz w:val="20"/>
          <w:szCs w:val="20"/>
          <w:color w:val="auto"/>
        </w:rPr>
      </w:pPr>
    </w:p>
    <w:p>
      <w:pPr>
        <w:ind w:right="60" w:firstLine="480"/>
        <w:spacing w:after="0" w:line="286" w:lineRule="auto"/>
        <w:rPr>
          <w:sz w:val="20"/>
          <w:szCs w:val="20"/>
          <w:color w:val="auto"/>
        </w:rPr>
      </w:pPr>
      <w:r>
        <w:rPr>
          <w:rFonts w:ascii="Arial" w:cs="Arial" w:eastAsia="Arial" w:hAnsi="Arial"/>
          <w:sz w:val="16"/>
          <w:szCs w:val="16"/>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 The SBA Loans will mature in April 2022 and bear interest at a rate equal to 1% per annum, subject to the potential for partial or full loan forgiveness as dictated by U.S. federal law. Principal and interest are deferred until November 2020 and interest continues to accrue during the deferral period. The SBA Loans are payable monthly beginning November 5, 2020, with aggregate payments totaling $0.06 million per month, including interest and principal. The SBA Loans must be used for payroll, rent payments, mortgage interest payments and utilities payments as governed by the SBA PPP and are subject to partial or full forgiveness for the initial eight-week period following the loan disbursement if all proceeds are used for eligible purposes and within certain thresholds, the Company maintains certain employment levels and the Company maintains certain compensation levels.</w:t>
      </w:r>
    </w:p>
    <w:p>
      <w:pPr>
        <w:spacing w:after="0" w:line="16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balance of these loans at June 30, 2020 and December 31, 2019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December 31,</w:t>
            </w:r>
          </w:p>
        </w:tc>
      </w:tr>
      <w:tr>
        <w:trPr>
          <w:trHeight w:val="231"/>
        </w:trPr>
        <w:tc>
          <w:tcPr>
            <w:tcW w:w="37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June 30, 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1"/>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r>
      <w:tr>
        <w:trPr>
          <w:trHeight w:val="208"/>
        </w:trPr>
        <w:tc>
          <w:tcPr>
            <w:tcW w:w="372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8"/>
                <w:szCs w:val="18"/>
                <w:color w:val="auto"/>
              </w:rPr>
              <w:t>SBA Loans</w:t>
            </w:r>
          </w:p>
        </w:tc>
        <w:tc>
          <w:tcPr>
            <w:tcW w:w="4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w:t>
            </w:r>
          </w:p>
        </w:tc>
      </w:tr>
      <w:tr>
        <w:trPr>
          <w:trHeight w:val="213"/>
        </w:trPr>
        <w:tc>
          <w:tcPr>
            <w:tcW w:w="3720" w:type="dxa"/>
            <w:vAlign w:val="bottom"/>
          </w:tcPr>
          <w:p>
            <w:pPr>
              <w:spacing w:after="0"/>
              <w:rPr>
                <w:sz w:val="20"/>
                <w:szCs w:val="20"/>
                <w:color w:val="auto"/>
              </w:rPr>
            </w:pPr>
            <w:r>
              <w:rPr>
                <w:rFonts w:ascii="Arial" w:cs="Arial" w:eastAsia="Arial" w:hAnsi="Arial"/>
                <w:sz w:val="18"/>
                <w:szCs w:val="18"/>
                <w:color w:val="auto"/>
              </w:rPr>
              <w:t>Insurance</w:t>
            </w: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428</w:t>
            </w:r>
          </w:p>
        </w:tc>
      </w:tr>
      <w:tr>
        <w:trPr>
          <w:trHeight w:val="207"/>
        </w:trPr>
        <w:tc>
          <w:tcPr>
            <w:tcW w:w="37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8"/>
                <w:szCs w:val="18"/>
                <w:color w:val="auto"/>
              </w:rPr>
              <w:t>Total notes payable - other</w:t>
            </w: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749</w:t>
            </w:r>
          </w:p>
        </w:tc>
      </w:tr>
      <w:tr>
        <w:trPr>
          <w:trHeight w:val="21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w:t>
            </w:r>
          </w:p>
        </w:tc>
      </w:tr>
      <w:tr>
        <w:trPr>
          <w:trHeight w:val="207"/>
        </w:trPr>
        <w:tc>
          <w:tcPr>
            <w:tcW w:w="3720" w:type="dxa"/>
            <w:vAlign w:val="bottom"/>
            <w:tcBorders>
              <w:top w:val="single" w:sz="8" w:color="CCEEFF"/>
            </w:tcBorders>
          </w:tcPr>
          <w:p>
            <w:pPr>
              <w:spacing w:after="0"/>
              <w:rPr>
                <w:sz w:val="17"/>
                <w:szCs w:val="17"/>
                <w:color w:val="auto"/>
              </w:rPr>
            </w:pPr>
          </w:p>
        </w:tc>
        <w:tc>
          <w:tcPr>
            <w:tcW w:w="4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253"/>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4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w:t>
            </w:r>
          </w:p>
        </w:tc>
      </w:tr>
      <w:tr>
        <w:trPr>
          <w:trHeight w:val="619"/>
        </w:trPr>
        <w:tc>
          <w:tcPr>
            <w:tcW w:w="3720" w:type="dxa"/>
            <w:vAlign w:val="bottom"/>
            <w:tcBorders>
              <w:top w:val="single" w:sz="8" w:color="CCEEFF"/>
            </w:tcBorders>
          </w:tcPr>
          <w:p>
            <w:pPr>
              <w:spacing w:after="0"/>
              <w:rPr>
                <w:sz w:val="24"/>
                <w:szCs w:val="24"/>
                <w:color w:val="auto"/>
              </w:rPr>
            </w:pPr>
          </w:p>
        </w:tc>
        <w:tc>
          <w:tcPr>
            <w:tcW w:w="4220" w:type="dxa"/>
            <w:vAlign w:val="bottom"/>
            <w:tcBorders>
              <w:top w:val="single" w:sz="8" w:color="CCEEFF"/>
            </w:tcBorders>
          </w:tcPr>
          <w:p>
            <w:pPr>
              <w:jc w:val="right"/>
              <w:ind w:right="2131"/>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r>
      <w:tr>
        <w:trPr>
          <w:trHeight w:val="115"/>
        </w:trPr>
        <w:tc>
          <w:tcPr>
            <w:tcW w:w="372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6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9680" w:type="dxa"/>
            <w:vAlign w:val="bottom"/>
          </w:tcPr>
          <w:p>
            <w:pPr>
              <w:jc w:val="center"/>
              <w:ind w:left="1491"/>
              <w:spacing w:after="0"/>
              <w:rPr>
                <w:sz w:val="20"/>
                <w:szCs w:val="20"/>
                <w:color w:val="auto"/>
              </w:rPr>
            </w:pPr>
            <w:r>
              <w:rPr>
                <w:rFonts w:ascii="Arial" w:cs="Arial" w:eastAsia="Arial" w:hAnsi="Arial"/>
                <w:sz w:val="18"/>
                <w:szCs w:val="18"/>
                <w:b w:val="1"/>
                <w:bCs w:val="1"/>
                <w:color w:val="auto"/>
                <w:w w:val="99"/>
              </w:rPr>
              <w:t>GEVO, INC.</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9680" w:type="dxa"/>
            <w:vAlign w:val="bottom"/>
          </w:tcPr>
          <w:p>
            <w:pPr>
              <w:jc w:val="center"/>
              <w:ind w:left="1491"/>
              <w:spacing w:after="0"/>
              <w:rPr>
                <w:sz w:val="20"/>
                <w:szCs w:val="20"/>
                <w:color w:val="auto"/>
              </w:rPr>
            </w:pPr>
            <w:r>
              <w:rPr>
                <w:rFonts w:ascii="Arial" w:cs="Arial" w:eastAsia="Arial" w:hAnsi="Arial"/>
                <w:sz w:val="18"/>
                <w:szCs w:val="18"/>
                <w:b w:val="1"/>
                <w:bCs w:val="1"/>
                <w:color w:val="auto"/>
                <w:w w:val="87"/>
              </w:rPr>
              <w:t>Notes to Consolidated Financial Statements</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680" w:type="dxa"/>
            <w:vAlign w:val="bottom"/>
          </w:tcPr>
          <w:p>
            <w:pPr>
              <w:jc w:val="center"/>
              <w:ind w:left="1471"/>
              <w:spacing w:after="0"/>
              <w:rPr>
                <w:sz w:val="20"/>
                <w:szCs w:val="20"/>
                <w:color w:val="auto"/>
              </w:rPr>
            </w:pPr>
            <w:r>
              <w:rPr>
                <w:rFonts w:ascii="Arial" w:cs="Arial" w:eastAsia="Arial" w:hAnsi="Arial"/>
                <w:sz w:val="18"/>
                <w:szCs w:val="18"/>
                <w:b w:val="1"/>
                <w:bCs w:val="1"/>
                <w:color w:val="auto"/>
                <w:w w:val="89"/>
              </w:rPr>
              <w:t>(unaudited)</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9680" w:type="dxa"/>
            <w:vAlign w:val="bottom"/>
          </w:tcPr>
          <w:p>
            <w:pPr>
              <w:ind w:left="480"/>
              <w:spacing w:after="0"/>
              <w:rPr>
                <w:sz w:val="20"/>
                <w:szCs w:val="20"/>
                <w:color w:val="auto"/>
              </w:rPr>
            </w:pPr>
            <w:r>
              <w:rPr>
                <w:rFonts w:ascii="Arial" w:cs="Arial" w:eastAsia="Arial" w:hAnsi="Arial"/>
                <w:sz w:val="18"/>
                <w:szCs w:val="18"/>
                <w:color w:val="auto"/>
              </w:rPr>
              <w:t>Future payments for Loans Payable - Other are as follows (in thousands):</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96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9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9680" w:type="dxa"/>
            <w:vAlign w:val="bottom"/>
          </w:tcPr>
          <w:p>
            <w:pPr>
              <w:spacing w:after="0"/>
              <w:rPr>
                <w:sz w:val="20"/>
                <w:szCs w:val="20"/>
                <w:color w:val="auto"/>
              </w:rPr>
            </w:pPr>
            <w:r>
              <w:rPr>
                <w:rFonts w:ascii="Arial" w:cs="Arial" w:eastAsia="Arial" w:hAnsi="Arial"/>
                <w:sz w:val="18"/>
                <w:szCs w:val="18"/>
                <w:color w:val="auto"/>
              </w:rPr>
              <w:t>2020 (remaining)</w:t>
            </w: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r>
      <w:tr>
        <w:trPr>
          <w:trHeight w:val="213"/>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8"/>
                <w:szCs w:val="18"/>
                <w:color w:val="auto"/>
              </w:rPr>
            </w:pPr>
          </w:p>
        </w:tc>
      </w:tr>
      <w:tr>
        <w:trPr>
          <w:trHeight w:val="213"/>
        </w:trPr>
        <w:tc>
          <w:tcPr>
            <w:tcW w:w="9680" w:type="dxa"/>
            <w:vAlign w:val="bottom"/>
          </w:tcPr>
          <w:p>
            <w:pPr>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r>
      <w:tr>
        <w:trPr>
          <w:trHeight w:val="213"/>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r>
      <w:tr>
        <w:trPr>
          <w:trHeight w:val="213"/>
        </w:trPr>
        <w:tc>
          <w:tcPr>
            <w:tcW w:w="9680" w:type="dxa"/>
            <w:vAlign w:val="bottom"/>
          </w:tcPr>
          <w:p>
            <w:pPr>
              <w:spacing w:after="0"/>
              <w:rPr>
                <w:sz w:val="20"/>
                <w:szCs w:val="20"/>
                <w:color w:val="auto"/>
              </w:rPr>
            </w:pPr>
            <w:r>
              <w:rPr>
                <w:rFonts w:ascii="Arial" w:cs="Arial" w:eastAsia="Arial" w:hAnsi="Arial"/>
                <w:sz w:val="18"/>
                <w:szCs w:val="18"/>
                <w:color w:val="auto"/>
              </w:rPr>
              <w:t>2024 and thereafter</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07"/>
        </w:trPr>
        <w:tc>
          <w:tcPr>
            <w:tcW w:w="9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9680" w:type="dxa"/>
            <w:vAlign w:val="bottom"/>
          </w:tcPr>
          <w:p>
            <w:pPr>
              <w:spacing w:after="0"/>
              <w:rPr>
                <w:sz w:val="18"/>
                <w:szCs w:val="18"/>
                <w:color w:val="auto"/>
              </w:rPr>
            </w:pPr>
          </w:p>
        </w:tc>
        <w:tc>
          <w:tcPr>
            <w:tcW w:w="5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Plans</w:t>
      </w:r>
    </w:p>
    <w:p>
      <w:pPr>
        <w:spacing w:after="0" w:line="224" w:lineRule="exact"/>
        <w:rPr>
          <w:sz w:val="20"/>
          <w:szCs w:val="20"/>
          <w:color w:val="auto"/>
        </w:rPr>
      </w:pPr>
    </w:p>
    <w:p>
      <w:pPr>
        <w:ind w:right="20" w:firstLine="480"/>
        <w:spacing w:after="0" w:line="292" w:lineRule="auto"/>
        <w:rPr>
          <w:sz w:val="20"/>
          <w:szCs w:val="20"/>
          <w:color w:val="auto"/>
        </w:rPr>
      </w:pPr>
      <w:r>
        <w:rPr>
          <w:rFonts w:ascii="Arial" w:cs="Arial" w:eastAsia="Arial" w:hAnsi="Arial"/>
          <w:sz w:val="16"/>
          <w:szCs w:val="16"/>
          <w:i w:val="1"/>
          <w:iCs w:val="1"/>
          <w:color w:val="auto"/>
        </w:rPr>
        <w:t>2010 Stock Incentive Plan</w:t>
      </w:r>
      <w:r>
        <w:rPr>
          <w:rFonts w:ascii="Arial" w:cs="Arial" w:eastAsia="Arial" w:hAnsi="Arial"/>
          <w:sz w:val="16"/>
          <w:szCs w:val="16"/>
          <w:color w:val="auto"/>
        </w:rPr>
        <w:t>. In February 2011, the Company’s stockholders approved the Gevo, Inc. 2010 Stock Incentive Plan (as amended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restated to date, the "2010 Plan"). The 2010 Plan provided for the grant of non-qualified stock options, incentive stock options, stock appreciation rights, restricted stock awards, restricted stock units and other equity awards to employees and directors of the Company. On June 10, 2019, the 2010 Plan was amended and restated, which increased the number of shares of common stock reserved for issuance to 3,266,661 shares. On June 3, 2020, the 2010 Plan was amended and restated, which increased the number of shares of common stock reserved for issuance by 3,713,413 shares to a total of 6,980,074 shares.</w:t>
      </w:r>
    </w:p>
    <w:p>
      <w:pPr>
        <w:spacing w:after="0" w:line="162" w:lineRule="exact"/>
        <w:rPr>
          <w:sz w:val="20"/>
          <w:szCs w:val="20"/>
          <w:color w:val="auto"/>
        </w:rPr>
      </w:pPr>
    </w:p>
    <w:p>
      <w:pPr>
        <w:ind w:right="220" w:firstLine="480"/>
        <w:spacing w:after="0" w:line="287" w:lineRule="auto"/>
        <w:rPr>
          <w:sz w:val="20"/>
          <w:szCs w:val="20"/>
          <w:color w:val="auto"/>
        </w:rPr>
      </w:pPr>
      <w:r>
        <w:rPr>
          <w:rFonts w:ascii="Arial" w:cs="Arial" w:eastAsia="Arial" w:hAnsi="Arial"/>
          <w:sz w:val="16"/>
          <w:szCs w:val="16"/>
          <w:color w:val="auto"/>
        </w:rPr>
        <w:t>In February 2020, the Company issued 109,337 shares of restricted common stock, vesting over three years, and 1,258 shares of restricted common stock, vesting over two years, to certain of its employees in relation to restricted stock awards granted on February 27, 2020. In March 2020, the Company withheld 4,055 shares of common stock to settle income taxes related to the vested restricted stock awards for certain employees. In April 2020, the Company issued 239,155 shares of restricted common stock in relation to restricted stock awards granted to its employees on April 1, 2020 in connection with the 20% salary reduction discussed in Footnote 1, which vested on May 15, 2020. Also in April 2020, the Company issued 29,032 of restricted stock units in exchange for services rendered which vested immediately. During the three months ended June 30, 2020, the Company withheld 286,324 shares of common stock to settle income taxes related to the vested restricted stock awards for certain employees.</w:t>
      </w:r>
    </w:p>
    <w:p>
      <w:pPr>
        <w:spacing w:after="0" w:line="168"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At June 30, 2020, an additional 5,202,941 shares were available for issuance upon the exercise of outstanding stock option awards or the grant of stock appreciation rights and restricted stock awards under the 2010 Plan.</w:t>
      </w:r>
    </w:p>
    <w:p>
      <w:pPr>
        <w:spacing w:after="0" w:line="175" w:lineRule="exact"/>
        <w:rPr>
          <w:sz w:val="20"/>
          <w:szCs w:val="20"/>
          <w:color w:val="auto"/>
        </w:rPr>
      </w:pPr>
    </w:p>
    <w:p>
      <w:pPr>
        <w:ind w:right="260" w:firstLine="480"/>
        <w:spacing w:after="0" w:line="306" w:lineRule="auto"/>
        <w:rPr>
          <w:sz w:val="20"/>
          <w:szCs w:val="20"/>
          <w:color w:val="auto"/>
        </w:rPr>
      </w:pPr>
      <w:r>
        <w:rPr>
          <w:rFonts w:ascii="Arial" w:cs="Arial" w:eastAsia="Arial" w:hAnsi="Arial"/>
          <w:sz w:val="16"/>
          <w:szCs w:val="16"/>
          <w:color w:val="auto"/>
        </w:rPr>
        <w:t>During July 2020, the Company issued 115,156 shares of restricted common stock in relation to restricted stock awards granted to its employees on July 1, 2020 in connection with the 20% salary reduction vesting on July 31, 2020. In addition, on July 6, 2020, the Company issued 3,989,140 shares of restricted common stock to employees and directors and 101,730 restricted stock units in exchange for services rendered, vesting over two years.</w:t>
      </w:r>
    </w:p>
    <w:p>
      <w:pPr>
        <w:spacing w:after="0" w:line="150" w:lineRule="exact"/>
        <w:rPr>
          <w:sz w:val="20"/>
          <w:szCs w:val="20"/>
          <w:color w:val="auto"/>
        </w:rPr>
      </w:pPr>
    </w:p>
    <w:p>
      <w:pPr>
        <w:ind w:right="60" w:firstLine="480"/>
        <w:spacing w:after="0" w:line="271" w:lineRule="auto"/>
        <w:rPr>
          <w:sz w:val="20"/>
          <w:szCs w:val="20"/>
          <w:color w:val="auto"/>
        </w:rPr>
      </w:pPr>
      <w:r>
        <w:rPr>
          <w:rFonts w:ascii="Arial" w:cs="Arial" w:eastAsia="Arial" w:hAnsi="Arial"/>
          <w:sz w:val="17"/>
          <w:szCs w:val="17"/>
          <w:i w:val="1"/>
          <w:iCs w:val="1"/>
          <w:color w:val="auto"/>
        </w:rPr>
        <w:t>Employee Stock Purchase Plan</w:t>
      </w:r>
      <w:r>
        <w:rPr>
          <w:rFonts w:ascii="Arial" w:cs="Arial" w:eastAsia="Arial" w:hAnsi="Arial"/>
          <w:sz w:val="17"/>
          <w:szCs w:val="17"/>
          <w:color w:val="auto"/>
        </w:rPr>
        <w:t>. In February 2011, the Company’s stockholders approved the Employee Stock Purchase Plan (the "ESPP").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periods for the ESPP are from January 1 to June 30 and from July 1 to December 31 of each calendar year. The Company has reserved 190 shares of common stock for issuance under the ESPP, of which 190 shares as of June 30, 2020 are available for future issuance. The purchase price of the common stock under the ESPP is 85% of the lower of the fair market value of a share of common stock on the first or last day of the purchase period. There were no purchases of common stock under the ESPP during the six months ended June 30, 2020 or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4" w:lineRule="exact"/>
        <w:rPr>
          <w:sz w:val="20"/>
          <w:szCs w:val="20"/>
          <w:color w:val="auto"/>
        </w:rPr>
      </w:pPr>
    </w:p>
    <w:p>
      <w:pPr>
        <w:ind w:right="280" w:firstLine="469"/>
        <w:spacing w:after="0" w:line="270" w:lineRule="auto"/>
        <w:rPr>
          <w:sz w:val="20"/>
          <w:szCs w:val="20"/>
          <w:color w:val="auto"/>
        </w:rPr>
      </w:pPr>
      <w:r>
        <w:rPr>
          <w:rFonts w:ascii="Arial" w:cs="Arial" w:eastAsia="Arial" w:hAnsi="Arial"/>
          <w:sz w:val="18"/>
          <w:szCs w:val="18"/>
          <w:color w:val="auto"/>
        </w:rPr>
        <w:t>The Company records stock-based compensation expense during the requisite service period for share-based payment awards granted to employees and non-employees.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Company’s stock-based compensation expense (in thousands)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p>
        </w:tc>
        <w:tc>
          <w:tcPr>
            <w:tcW w:w="272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3"/>
              </w:rPr>
              <w:t>Three Months Ended June 30,</w:t>
            </w:r>
          </w:p>
        </w:tc>
        <w:tc>
          <w:tcPr>
            <w:tcW w:w="140" w:type="dxa"/>
            <w:vAlign w:val="bottom"/>
          </w:tcPr>
          <w:p>
            <w:pPr>
              <w:spacing w:after="0"/>
              <w:rPr>
                <w:sz w:val="20"/>
                <w:szCs w:val="20"/>
                <w:color w:val="auto"/>
              </w:rPr>
            </w:pPr>
          </w:p>
        </w:tc>
        <w:tc>
          <w:tcPr>
            <w:tcW w:w="240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8"/>
        </w:trPr>
        <w:tc>
          <w:tcPr>
            <w:tcW w:w="59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9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jc w:val="right"/>
              <w:ind w:right="639"/>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135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r>
      <w:tr>
        <w:trPr>
          <w:trHeight w:val="213"/>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appreciation rights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3"/>
        </w:trPr>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07"/>
        </w:trPr>
        <w:tc>
          <w:tcPr>
            <w:tcW w:w="598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w:t>
            </w:r>
          </w:p>
        </w:tc>
        <w:tc>
          <w:tcPr>
            <w:tcW w:w="800" w:type="dxa"/>
            <w:vAlign w:val="bottom"/>
            <w:shd w:val="clear" w:color="auto" w:fill="CCEEFF"/>
          </w:tcPr>
          <w:p>
            <w:pPr>
              <w:jc w:val="right"/>
              <w:ind w:right="639"/>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501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6" w:lineRule="exact"/>
        <w:rPr>
          <w:sz w:val="20"/>
          <w:szCs w:val="20"/>
          <w:color w:val="auto"/>
        </w:rPr>
      </w:pPr>
    </w:p>
    <w:p>
      <w:pPr>
        <w:ind w:right="760" w:firstLine="480"/>
        <w:spacing w:after="0" w:line="270" w:lineRule="auto"/>
        <w:rPr>
          <w:sz w:val="20"/>
          <w:szCs w:val="20"/>
          <w:color w:val="auto"/>
        </w:rPr>
      </w:pPr>
      <w:r>
        <w:rPr>
          <w:rFonts w:ascii="Arial" w:cs="Arial" w:eastAsia="Arial" w:hAnsi="Arial"/>
          <w:sz w:val="18"/>
          <w:szCs w:val="18"/>
          <w:i w:val="1"/>
          <w:iCs w:val="1"/>
          <w:color w:val="auto"/>
        </w:rPr>
        <w:t>Stock Option Award Activity</w:t>
      </w:r>
      <w:r>
        <w:rPr>
          <w:rFonts w:ascii="Arial" w:cs="Arial" w:eastAsia="Arial" w:hAnsi="Arial"/>
          <w:sz w:val="18"/>
          <w:szCs w:val="18"/>
          <w:color w:val="auto"/>
        </w:rPr>
        <w:t>. Stock option activity under the Company’s stock incentive plans at June 30, 2020 and changes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3"/>
        </w:trPr>
        <w:tc>
          <w:tcPr>
            <w:tcW w:w="4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r>
      <w:tr>
        <w:trPr>
          <w:trHeight w:val="231"/>
        </w:trPr>
        <w:tc>
          <w:tcPr>
            <w:tcW w:w="4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r>
      <w:tr>
        <w:trPr>
          <w:trHeight w:val="208"/>
        </w:trPr>
        <w:tc>
          <w:tcPr>
            <w:tcW w:w="46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8"/>
                <w:szCs w:val="18"/>
                <w:color w:val="auto"/>
              </w:rPr>
              <w:t>Options outstanding at December 31, 2019</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1,561</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928.79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8"/>
                <w:szCs w:val="18"/>
                <w:color w:val="auto"/>
              </w:rPr>
              <w:t>Canceled or forfeited</w:t>
            </w:r>
          </w:p>
        </w:tc>
        <w:tc>
          <w:tcPr>
            <w:tcW w:w="260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166.44</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46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June 30, 2020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877.93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194"/>
        </w:trPr>
        <w:tc>
          <w:tcPr>
            <w:tcW w:w="466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5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2020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877.93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194"/>
        </w:trPr>
        <w:tc>
          <w:tcPr>
            <w:tcW w:w="466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5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at June 30, 2020</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6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877.93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619"/>
        </w:trPr>
        <w:tc>
          <w:tcPr>
            <w:tcW w:w="466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jc w:val="right"/>
              <w:ind w:right="171"/>
              <w:spacing w:after="0"/>
              <w:rPr>
                <w:sz w:val="20"/>
                <w:szCs w:val="20"/>
                <w:color w:val="auto"/>
              </w:rPr>
            </w:pPr>
            <w:r>
              <w:rPr>
                <w:rFonts w:ascii="Arial" w:cs="Arial" w:eastAsia="Arial" w:hAnsi="Arial"/>
                <w:sz w:val="18"/>
                <w:szCs w:val="18"/>
                <w:color w:val="auto"/>
              </w:rPr>
              <w:t>26</w:t>
            </w: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6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Non-vested restricted stock awards at June 30, 2020 and changes during the three months ended June 30, 2020 were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w:t>
            </w:r>
          </w:p>
        </w:tc>
      </w:tr>
      <w:tr>
        <w:trPr>
          <w:trHeight w:val="213"/>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3"/>
        </w:trPr>
        <w:tc>
          <w:tcPr>
            <w:tcW w:w="800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Grant-Date</w:t>
            </w:r>
          </w:p>
        </w:tc>
      </w:tr>
      <w:tr>
        <w:trPr>
          <w:trHeight w:val="231"/>
        </w:trPr>
        <w:tc>
          <w:tcPr>
            <w:tcW w:w="8000" w:type="dxa"/>
            <w:vAlign w:val="bottom"/>
          </w:tcPr>
          <w:p>
            <w:pPr>
              <w:spacing w:after="0"/>
              <w:rPr>
                <w:sz w:val="20"/>
                <w:szCs w:val="20"/>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r>
      <w:tr>
        <w:trPr>
          <w:trHeight w:val="208"/>
        </w:trPr>
        <w:tc>
          <w:tcPr>
            <w:tcW w:w="80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2019</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1,308,613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349,750</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(900,180)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Canceled or forfeited</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(6,974)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07"/>
        </w:trPr>
        <w:tc>
          <w:tcPr>
            <w:tcW w:w="800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Non-vested at June 30, 2020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751,209</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0"/>
        </w:trPr>
        <w:tc>
          <w:tcPr>
            <w:tcW w:w="8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300" w:firstLine="480"/>
        <w:spacing w:after="0" w:line="258" w:lineRule="auto"/>
        <w:rPr>
          <w:sz w:val="20"/>
          <w:szCs w:val="20"/>
          <w:color w:val="auto"/>
        </w:rPr>
      </w:pPr>
      <w:r>
        <w:rPr>
          <w:rFonts w:ascii="Arial" w:cs="Arial" w:eastAsia="Arial" w:hAnsi="Arial"/>
          <w:sz w:val="18"/>
          <w:szCs w:val="18"/>
          <w:color w:val="auto"/>
        </w:rPr>
        <w:t>The total fair value of restricted stock that vested during the six months ended June 30, 2020 totaled $1.4 million. As of June 30, 2020, the total unrecognized compensation expense, net of estimated forfeitures, relating to restricted stock awards was $1.3 million, which is expected to be recognized over the remaining weighted-average period of approximately 1.0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4" w:lineRule="exact"/>
        <w:rPr>
          <w:sz w:val="20"/>
          <w:szCs w:val="20"/>
          <w:color w:val="auto"/>
        </w:rPr>
      </w:pPr>
    </w:p>
    <w:p>
      <w:pPr>
        <w:jc w:val="both"/>
        <w:ind w:right="400" w:firstLine="469"/>
        <w:spacing w:after="0" w:line="306" w:lineRule="auto"/>
        <w:rPr>
          <w:sz w:val="20"/>
          <w:szCs w:val="20"/>
          <w:color w:val="auto"/>
        </w:rPr>
      </w:pPr>
      <w:r>
        <w:rPr>
          <w:rFonts w:ascii="Arial" w:cs="Arial" w:eastAsia="Arial" w:hAnsi="Arial"/>
          <w:sz w:val="16"/>
          <w:szCs w:val="16"/>
          <w:i w:val="1"/>
          <w:iCs w:val="1"/>
          <w:color w:val="auto"/>
        </w:rPr>
        <w:t>Legal Matters</w:t>
      </w:r>
      <w:r>
        <w:rPr>
          <w:rFonts w:ascii="Arial" w:cs="Arial" w:eastAsia="Arial" w:hAnsi="Arial"/>
          <w:sz w:val="16"/>
          <w:szCs w:val="16"/>
          <w:color w:val="auto"/>
        </w:rPr>
        <w:t>. From time to time, the Company has been, and may again become, involved in legal proceedings arising in the ordinary course of</w:t>
      </w:r>
      <w:r>
        <w:rPr>
          <w:rFonts w:ascii="Arial" w:cs="Arial" w:eastAsia="Arial" w:hAnsi="Arial"/>
          <w:sz w:val="16"/>
          <w:szCs w:val="16"/>
          <w:i w:val="1"/>
          <w:iCs w:val="1"/>
          <w:color w:val="auto"/>
        </w:rPr>
        <w:t xml:space="preserve"> </w:t>
      </w:r>
      <w:r>
        <w:rPr>
          <w:rFonts w:ascii="Arial" w:cs="Arial" w:eastAsia="Arial" w:hAnsi="Arial"/>
          <w:sz w:val="16"/>
          <w:szCs w:val="16"/>
          <w:color w:val="auto"/>
        </w:rPr>
        <w:t>its business. The Company is not presently a party to any litigation that it believes to be material and is not aware of any pending or threatened litigation against the Company that it believes could have a material adverse effect on its business, operating results, financial condition or cash flows.</w:t>
      </w:r>
    </w:p>
    <w:p>
      <w:pPr>
        <w:spacing w:after="0" w:line="177" w:lineRule="exact"/>
        <w:rPr>
          <w:sz w:val="20"/>
          <w:szCs w:val="20"/>
          <w:color w:val="auto"/>
        </w:rPr>
      </w:pPr>
    </w:p>
    <w:p>
      <w:pPr>
        <w:ind w:right="120" w:firstLine="480"/>
        <w:spacing w:after="0" w:line="333" w:lineRule="auto"/>
        <w:rPr>
          <w:sz w:val="20"/>
          <w:szCs w:val="20"/>
          <w:color w:val="auto"/>
        </w:rPr>
      </w:pPr>
      <w:r>
        <w:rPr>
          <w:rFonts w:ascii="Arial" w:cs="Arial" w:eastAsia="Arial" w:hAnsi="Arial"/>
          <w:sz w:val="16"/>
          <w:szCs w:val="16"/>
          <w:i w:val="1"/>
          <w:iCs w:val="1"/>
          <w:color w:val="auto"/>
        </w:rPr>
        <w:t>Indemnifications</w:t>
      </w:r>
      <w:r>
        <w:rPr>
          <w:rFonts w:ascii="Arial" w:cs="Arial" w:eastAsia="Arial" w:hAnsi="Arial"/>
          <w:sz w:val="16"/>
          <w:szCs w:val="16"/>
          <w:color w:val="auto"/>
        </w:rPr>
        <w:t>. In the ordinary course of its business, the Company makes certain indemnities under which it may be required to make payments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 to certain transactions. As of June 30, 2020 and December 31, 2019, the Company did not have any liabilities associated with indemnities.</w:t>
      </w:r>
    </w:p>
    <w:p>
      <w:pPr>
        <w:spacing w:after="0" w:line="157" w:lineRule="exact"/>
        <w:rPr>
          <w:sz w:val="20"/>
          <w:szCs w:val="20"/>
          <w:color w:val="auto"/>
        </w:rPr>
      </w:pPr>
    </w:p>
    <w:p>
      <w:pPr>
        <w:ind w:right="80" w:firstLine="480"/>
        <w:spacing w:after="0" w:line="289" w:lineRule="auto"/>
        <w:rPr>
          <w:sz w:val="20"/>
          <w:szCs w:val="20"/>
          <w:color w:val="auto"/>
        </w:rPr>
      </w:pPr>
      <w:r>
        <w:rPr>
          <w:rFonts w:ascii="Arial" w:cs="Arial" w:eastAsia="Arial" w:hAnsi="Arial"/>
          <w:sz w:val="16"/>
          <w:szCs w:val="16"/>
          <w:color w:val="auto"/>
        </w:rPr>
        <w:t>In addition, the Company, as permitted under Delaware law and in accordance with its amended and restated certificate of incorporation and amended and restated bylaws, in each case, as amended to date,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for losses for any known contingent liability, including those that may arise from indemnification provisions, when future payment is probable. No such losses have been recorded to date.</w:t>
      </w:r>
    </w:p>
    <w:p>
      <w:pPr>
        <w:spacing w:after="0" w:line="165" w:lineRule="exact"/>
        <w:rPr>
          <w:sz w:val="20"/>
          <w:szCs w:val="20"/>
          <w:color w:val="auto"/>
        </w:rPr>
      </w:pPr>
    </w:p>
    <w:p>
      <w:pPr>
        <w:ind w:right="60" w:firstLine="480"/>
        <w:spacing w:after="0" w:line="269"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June 30, 2020.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4" w:lineRule="exact"/>
        <w:rPr>
          <w:sz w:val="20"/>
          <w:szCs w:val="20"/>
          <w:color w:val="auto"/>
        </w:rPr>
      </w:pPr>
    </w:p>
    <w:p>
      <w:pPr>
        <w:ind w:firstLine="469"/>
        <w:spacing w:after="0" w:line="253" w:lineRule="auto"/>
        <w:rPr>
          <w:sz w:val="20"/>
          <w:szCs w:val="20"/>
          <w:color w:val="auto"/>
        </w:rPr>
      </w:pPr>
      <w:r>
        <w:rPr>
          <w:rFonts w:ascii="Arial" w:cs="Arial" w:eastAsia="Arial" w:hAnsi="Arial"/>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inputs include quoted market prices in an active market for identical assets or liabilities.</w:t>
      </w:r>
    </w:p>
    <w:p>
      <w:pPr>
        <w:spacing w:after="0" w:line="220" w:lineRule="exact"/>
        <w:rPr>
          <w:sz w:val="20"/>
          <w:szCs w:val="20"/>
          <w:color w:val="auto"/>
        </w:rPr>
      </w:pPr>
    </w:p>
    <w:p>
      <w:pPr>
        <w:ind w:right="240" w:firstLine="469"/>
        <w:spacing w:after="0" w:line="333" w:lineRule="auto"/>
        <w:rPr>
          <w:sz w:val="20"/>
          <w:szCs w:val="20"/>
          <w:color w:val="auto"/>
        </w:rPr>
      </w:pPr>
      <w:r>
        <w:rPr>
          <w:rFonts w:ascii="Arial" w:cs="Arial" w:eastAsia="Arial" w:hAnsi="Arial"/>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3 – inputs are unobservable and corroborated by little or no market data.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20" w:firstLine="441"/>
        <w:spacing w:after="0" w:line="258" w:lineRule="auto"/>
        <w:rPr>
          <w:sz w:val="20"/>
          <w:szCs w:val="20"/>
          <w:color w:val="auto"/>
        </w:rPr>
      </w:pPr>
      <w:r>
        <w:rPr>
          <w:rFonts w:ascii="Arial" w:cs="Arial" w:eastAsia="Arial" w:hAnsi="Arial"/>
          <w:sz w:val="18"/>
          <w:szCs w:val="18"/>
          <w:color w:val="auto"/>
        </w:rPr>
        <w:t>These tables present the carrying value and fair value, by fair value hierarchy, of our financial instruments, excluding cash and cash equivalents, accounts receivable and accounts payable, which approximate fair value due to their short-term nature, at June 30, 2020 and December 31, 2019, respectively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10"/>
          </w:tcPr>
          <w:p>
            <w:pPr>
              <w:jc w:val="center"/>
              <w:ind w:right="200"/>
              <w:spacing w:after="0"/>
              <w:rPr>
                <w:sz w:val="20"/>
                <w:szCs w:val="20"/>
                <w:color w:val="auto"/>
              </w:rPr>
            </w:pPr>
            <w:r>
              <w:rPr>
                <w:rFonts w:ascii="Arial" w:cs="Arial" w:eastAsia="Arial" w:hAnsi="Arial"/>
                <w:sz w:val="18"/>
                <w:szCs w:val="18"/>
                <w:b w:val="1"/>
                <w:bCs w:val="1"/>
                <w:color w:val="auto"/>
                <w:w w:val="89"/>
              </w:rPr>
              <w:t>Fair Value Measurements at June 30, 2020</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w w:val="86"/>
              </w:rPr>
              <w:t>Quoted Prices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7"/>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Inputs</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60"/>
              <w:spacing w:after="0"/>
              <w:rPr>
                <w:sz w:val="20"/>
                <w:szCs w:val="20"/>
                <w:color w:val="auto"/>
              </w:rPr>
            </w:pPr>
            <w:r>
              <w:rPr>
                <w:rFonts w:ascii="Arial" w:cs="Arial" w:eastAsia="Arial" w:hAnsi="Arial"/>
                <w:sz w:val="18"/>
                <w:szCs w:val="18"/>
                <w:color w:val="auto"/>
              </w:rPr>
              <w:t>Derivative Warrant Liability</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2020/21 Notes Embedded Derivative Liability</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45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00" w:type="dxa"/>
            <w:vAlign w:val="bottom"/>
          </w:tcPr>
          <w:p>
            <w:pPr>
              <w:ind w:left="480"/>
              <w:spacing w:after="0"/>
              <w:rPr>
                <w:sz w:val="20"/>
                <w:szCs w:val="20"/>
                <w:color w:val="auto"/>
              </w:rPr>
            </w:pPr>
            <w:r>
              <w:rPr>
                <w:rFonts w:ascii="Arial" w:cs="Arial" w:eastAsia="Arial" w:hAnsi="Arial"/>
                <w:sz w:val="18"/>
                <w:szCs w:val="18"/>
                <w:color w:val="auto"/>
              </w:rPr>
              <w:t>Total Recurring Fair Value Measurements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60"/>
              <w:spacing w:after="0"/>
              <w:rPr>
                <w:sz w:val="20"/>
                <w:szCs w:val="20"/>
                <w:color w:val="auto"/>
              </w:rPr>
            </w:pPr>
            <w:r>
              <w:rPr>
                <w:rFonts w:ascii="Arial" w:cs="Arial" w:eastAsia="Arial" w:hAnsi="Arial"/>
                <w:sz w:val="18"/>
                <w:szCs w:val="18"/>
                <w:color w:val="auto"/>
              </w:rPr>
              <w:t>Corn and finished goods inventory</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gridSpan w:val="11"/>
          </w:tcPr>
          <w:p>
            <w:pPr>
              <w:jc w:val="center"/>
              <w:ind w:right="100"/>
              <w:spacing w:after="0"/>
              <w:rPr>
                <w:sz w:val="20"/>
                <w:szCs w:val="20"/>
                <w:color w:val="auto"/>
              </w:rPr>
            </w:pPr>
            <w:r>
              <w:rPr>
                <w:rFonts w:ascii="Arial" w:cs="Arial" w:eastAsia="Arial" w:hAnsi="Arial"/>
                <w:sz w:val="18"/>
                <w:szCs w:val="18"/>
                <w:b w:val="1"/>
                <w:bCs w:val="1"/>
                <w:color w:val="auto"/>
                <w:w w:val="89"/>
              </w:rPr>
              <w:t>Fair Value Measurements at December 31, 2019</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100"/>
              <w:spacing w:after="0" w:line="189" w:lineRule="exact"/>
              <w:rPr>
                <w:sz w:val="20"/>
                <w:szCs w:val="20"/>
                <w:color w:val="auto"/>
              </w:rPr>
            </w:pPr>
            <w:r>
              <w:rPr>
                <w:rFonts w:ascii="Arial" w:cs="Arial" w:eastAsia="Arial" w:hAnsi="Arial"/>
                <w:sz w:val="18"/>
                <w:szCs w:val="18"/>
                <w:b w:val="1"/>
                <w:bCs w:val="1"/>
                <w:color w:val="auto"/>
                <w:w w:val="86"/>
              </w:rPr>
              <w:t>Quoted Prices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Fair Value at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77"/>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Inputs</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w:t>
            </w:r>
          </w:p>
        </w:tc>
        <w:tc>
          <w:tcPr>
            <w:tcW w:w="0" w:type="dxa"/>
            <w:vAlign w:val="bottom"/>
          </w:tcPr>
          <w:p>
            <w:pPr>
              <w:spacing w:after="0"/>
              <w:rPr>
                <w:sz w:val="1"/>
                <w:szCs w:val="1"/>
                <w:color w:val="auto"/>
              </w:rPr>
            </w:pPr>
          </w:p>
        </w:tc>
      </w:tr>
      <w:tr>
        <w:trPr>
          <w:trHeight w:val="231"/>
        </w:trPr>
        <w:tc>
          <w:tcPr>
            <w:tcW w:w="45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(Level 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w:t>
            </w:r>
          </w:p>
        </w:tc>
        <w:tc>
          <w:tcPr>
            <w:tcW w:w="1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60"/>
              <w:spacing w:after="0"/>
              <w:rPr>
                <w:sz w:val="20"/>
                <w:szCs w:val="20"/>
                <w:color w:val="auto"/>
              </w:rPr>
            </w:pPr>
            <w:r>
              <w:rPr>
                <w:rFonts w:ascii="Arial" w:cs="Arial" w:eastAsia="Arial" w:hAnsi="Arial"/>
                <w:sz w:val="18"/>
                <w:szCs w:val="18"/>
                <w:color w:val="auto"/>
              </w:rPr>
              <w:t>Derivative Warrant Liability</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Nonrecurring</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500" w:type="dxa"/>
            <w:vAlign w:val="bottom"/>
          </w:tcPr>
          <w:p>
            <w:pPr>
              <w:ind w:left="160"/>
              <w:spacing w:after="0"/>
              <w:rPr>
                <w:sz w:val="20"/>
                <w:szCs w:val="20"/>
                <w:color w:val="auto"/>
              </w:rPr>
            </w:pPr>
            <w:r>
              <w:rPr>
                <w:rFonts w:ascii="Arial" w:cs="Arial" w:eastAsia="Arial" w:hAnsi="Arial"/>
                <w:sz w:val="18"/>
                <w:szCs w:val="18"/>
                <w:color w:val="auto"/>
              </w:rPr>
              <w:t>Corn and finished goods inventory</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80" w:type="dxa"/>
            <w:vAlign w:val="bottom"/>
            <w:vMerge w:val="restart"/>
          </w:tcPr>
          <w:p>
            <w:pPr>
              <w:jc w:val="right"/>
              <w:ind w:right="171"/>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50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provides changes to those fair value measurements using Level 3 inputs for the three months ended June 30, 2020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40" w:type="dxa"/>
            <w:vAlign w:val="bottom"/>
            <w:gridSpan w:val="6"/>
          </w:tcPr>
          <w:p>
            <w:pPr>
              <w:ind w:left="340"/>
              <w:spacing w:after="0"/>
              <w:rPr>
                <w:sz w:val="20"/>
                <w:szCs w:val="20"/>
                <w:color w:val="auto"/>
              </w:rPr>
            </w:pPr>
            <w:r>
              <w:rPr>
                <w:rFonts w:ascii="Arial" w:cs="Arial" w:eastAsia="Arial" w:hAnsi="Arial"/>
                <w:sz w:val="18"/>
                <w:szCs w:val="18"/>
                <w:b w:val="1"/>
                <w:bCs w:val="1"/>
                <w:color w:val="auto"/>
              </w:rPr>
              <w:t>Fair Value Measurements Using</w:t>
            </w:r>
          </w:p>
        </w:tc>
      </w:tr>
      <w:tr>
        <w:trPr>
          <w:trHeight w:val="213"/>
        </w:trPr>
        <w:tc>
          <w:tcPr>
            <w:tcW w:w="8000" w:type="dxa"/>
            <w:vAlign w:val="bottom"/>
          </w:tcPr>
          <w:p>
            <w:pPr>
              <w:spacing w:after="0"/>
              <w:rPr>
                <w:sz w:val="18"/>
                <w:szCs w:val="18"/>
                <w:color w:val="auto"/>
              </w:rPr>
            </w:pPr>
          </w:p>
        </w:tc>
        <w:tc>
          <w:tcPr>
            <w:tcW w:w="3240" w:type="dxa"/>
            <w:vAlign w:val="bottom"/>
            <w:gridSpan w:val="6"/>
          </w:tcPr>
          <w:p>
            <w:pPr>
              <w:ind w:left="340"/>
              <w:spacing w:after="0"/>
              <w:rPr>
                <w:sz w:val="20"/>
                <w:szCs w:val="20"/>
                <w:color w:val="auto"/>
              </w:rPr>
            </w:pPr>
            <w:r>
              <w:rPr>
                <w:rFonts w:ascii="Arial" w:cs="Arial" w:eastAsia="Arial" w:hAnsi="Arial"/>
                <w:sz w:val="18"/>
                <w:szCs w:val="18"/>
                <w:b w:val="1"/>
                <w:bCs w:val="1"/>
                <w:color w:val="auto"/>
              </w:rPr>
              <w:t>Significant Unobservable Inputs</w:t>
            </w:r>
          </w:p>
        </w:tc>
      </w:tr>
      <w:tr>
        <w:trPr>
          <w:trHeight w:val="231"/>
        </w:trPr>
        <w:tc>
          <w:tcPr>
            <w:tcW w:w="80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1151"/>
              <w:spacing w:after="0"/>
              <w:rPr>
                <w:sz w:val="20"/>
                <w:szCs w:val="20"/>
                <w:color w:val="auto"/>
              </w:rPr>
            </w:pPr>
            <w:r>
              <w:rPr>
                <w:rFonts w:ascii="Arial" w:cs="Arial" w:eastAsia="Arial" w:hAnsi="Arial"/>
                <w:sz w:val="18"/>
                <w:szCs w:val="18"/>
                <w:b w:val="1"/>
                <w:bCs w:val="1"/>
                <w:color w:val="auto"/>
                <w:w w:val="95"/>
              </w:rPr>
              <w:t>(Level 3)</w:t>
            </w:r>
          </w:p>
        </w:tc>
        <w:tc>
          <w:tcPr>
            <w:tcW w:w="100" w:type="dxa"/>
            <w:vAlign w:val="bottom"/>
          </w:tcPr>
          <w:p>
            <w:pPr>
              <w:spacing w:after="0"/>
              <w:rPr>
                <w:sz w:val="20"/>
                <w:szCs w:val="20"/>
                <w:color w:val="auto"/>
              </w:rPr>
            </w:pPr>
          </w:p>
        </w:tc>
      </w:tr>
      <w:tr>
        <w:trPr>
          <w:trHeight w:val="403"/>
        </w:trPr>
        <w:tc>
          <w:tcPr>
            <w:tcW w:w="8000" w:type="dxa"/>
            <w:vAlign w:val="bottom"/>
          </w:tcPr>
          <w:p>
            <w:pPr>
              <w:spacing w:after="0"/>
              <w:rPr>
                <w:sz w:val="24"/>
                <w:szCs w:val="24"/>
                <w:color w:val="auto"/>
              </w:rPr>
            </w:pPr>
          </w:p>
        </w:tc>
        <w:tc>
          <w:tcPr>
            <w:tcW w:w="1180" w:type="dxa"/>
            <w:vAlign w:val="bottom"/>
          </w:tcPr>
          <w:p>
            <w:pPr>
              <w:ind w:left="340"/>
              <w:spacing w:after="0"/>
              <w:rPr>
                <w:sz w:val="20"/>
                <w:szCs w:val="20"/>
                <w:color w:val="auto"/>
              </w:rPr>
            </w:pPr>
            <w:r>
              <w:rPr>
                <w:rFonts w:ascii="Arial" w:cs="Arial" w:eastAsia="Arial" w:hAnsi="Arial"/>
                <w:sz w:val="18"/>
                <w:szCs w:val="18"/>
                <w:b w:val="1"/>
                <w:bCs w:val="1"/>
                <w:color w:val="auto"/>
                <w:w w:val="95"/>
              </w:rPr>
              <w:t>Derivative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2020/21 Notes</w:t>
            </w:r>
          </w:p>
        </w:tc>
      </w:tr>
      <w:tr>
        <w:trPr>
          <w:trHeight w:val="213"/>
        </w:trPr>
        <w:tc>
          <w:tcPr>
            <w:tcW w:w="800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Warrant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Embedded</w:t>
            </w:r>
          </w:p>
        </w:tc>
      </w:tr>
      <w:tr>
        <w:trPr>
          <w:trHeight w:val="231"/>
        </w:trPr>
        <w:tc>
          <w:tcPr>
            <w:tcW w:w="8000" w:type="dxa"/>
            <w:vAlign w:val="bottom"/>
          </w:tcPr>
          <w:p>
            <w:pPr>
              <w:spacing w:after="0"/>
              <w:rPr>
                <w:sz w:val="20"/>
                <w:szCs w:val="20"/>
                <w:color w:val="auto"/>
              </w:rPr>
            </w:pP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Liability</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Derivative</w:t>
            </w:r>
          </w:p>
        </w:tc>
      </w:tr>
      <w:tr>
        <w:trPr>
          <w:trHeight w:val="208"/>
        </w:trPr>
        <w:tc>
          <w:tcPr>
            <w:tcW w:w="80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Balance, December 31, 2019</w:t>
            </w:r>
          </w:p>
        </w:tc>
        <w:tc>
          <w:tcPr>
            <w:tcW w:w="1180" w:type="dxa"/>
            <w:vAlign w:val="bottom"/>
          </w:tcPr>
          <w:p>
            <w:pPr>
              <w:jc w:val="right"/>
              <w:ind w:right="1016"/>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Arial" w:cs="Arial" w:eastAsia="Arial" w:hAnsi="Arial"/>
                <w:sz w:val="18"/>
                <w:szCs w:val="18"/>
                <w:color w:val="auto"/>
              </w:rPr>
              <w:t>Issue of 2020/21 Notes embedded derivative liability</w:t>
            </w:r>
          </w:p>
        </w:tc>
        <w:tc>
          <w:tcPr>
            <w:tcW w:w="1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2,848</w:t>
            </w:r>
          </w:p>
        </w:tc>
      </w:tr>
      <w:tr>
        <w:trPr>
          <w:trHeight w:val="213"/>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(gains) included in earnings</w:t>
            </w:r>
          </w:p>
        </w:tc>
        <w:tc>
          <w:tcPr>
            <w:tcW w:w="1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(2,572)</w:t>
            </w:r>
          </w:p>
        </w:tc>
      </w:tr>
      <w:tr>
        <w:trPr>
          <w:trHeight w:val="247"/>
        </w:trPr>
        <w:tc>
          <w:tcPr>
            <w:tcW w:w="8000" w:type="dxa"/>
            <w:vAlign w:val="bottom"/>
            <w:tcBorders>
              <w:top w:val="single" w:sz="8" w:color="CCEEFF"/>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2020</w:t>
            </w:r>
          </w:p>
        </w:tc>
        <w:tc>
          <w:tcPr>
            <w:tcW w:w="1180" w:type="dxa"/>
            <w:vAlign w:val="bottom"/>
            <w:shd w:val="clear" w:color="auto" w:fill="CCEEFF"/>
          </w:tcPr>
          <w:p>
            <w:pPr>
              <w:jc w:val="right"/>
              <w:ind w:right="1016"/>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r>
      <w:tr>
        <w:trPr>
          <w:trHeight w:val="406"/>
        </w:trPr>
        <w:tc>
          <w:tcPr>
            <w:tcW w:w="800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There were no transfers to or from Level 3 in the three months ended June 30, 2020.</w:t>
            </w:r>
          </w:p>
        </w:tc>
        <w:tc>
          <w:tcPr>
            <w:tcW w:w="1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200" w:lineRule="exact"/>
        <w:rPr>
          <w:sz w:val="20"/>
          <w:szCs w:val="20"/>
          <w:color w:val="auto"/>
        </w:rPr>
      </w:pPr>
    </w:p>
    <w:p>
      <w:pPr>
        <w:ind w:right="60" w:firstLine="469"/>
        <w:spacing w:after="0" w:line="258"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The Company records its corn inventory at fair value only when the Company’s cost of corn purchased exceeds the market value for corn.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determines the market value of corn and dry distiller’s grain based upon Level 1 inputs using quoted market prices. The Company records its ethanol, isobutanol and hydrocarbon inventory at market using Level 2 inputs.</w:t>
      </w:r>
    </w:p>
    <w:p>
      <w:pPr>
        <w:spacing w:after="0" w:line="186" w:lineRule="exact"/>
        <w:rPr>
          <w:sz w:val="20"/>
          <w:szCs w:val="20"/>
          <w:color w:val="auto"/>
        </w:rPr>
      </w:pPr>
    </w:p>
    <w:p>
      <w:pPr>
        <w:ind w:right="120" w:firstLine="469"/>
        <w:spacing w:after="0" w:line="274" w:lineRule="auto"/>
        <w:rPr>
          <w:sz w:val="20"/>
          <w:szCs w:val="20"/>
          <w:color w:val="auto"/>
        </w:rPr>
      </w:pPr>
      <w:r>
        <w:rPr>
          <w:rFonts w:ascii="Arial" w:cs="Arial" w:eastAsia="Arial" w:hAnsi="Arial"/>
          <w:sz w:val="17"/>
          <w:szCs w:val="17"/>
          <w:color w:val="auto"/>
        </w:rPr>
        <w:t xml:space="preserve">2020/21 </w:t>
      </w:r>
      <w:r>
        <w:rPr>
          <w:rFonts w:ascii="Arial" w:cs="Arial" w:eastAsia="Arial" w:hAnsi="Arial"/>
          <w:sz w:val="17"/>
          <w:szCs w:val="17"/>
          <w:i w:val="1"/>
          <w:iCs w:val="1"/>
          <w:color w:val="auto"/>
        </w:rPr>
        <w:t>Notes Embedded Derivative</w:t>
      </w:r>
      <w:r>
        <w:rPr>
          <w:rFonts w:ascii="Arial" w:cs="Arial" w:eastAsia="Arial" w:hAnsi="Arial"/>
          <w:sz w:val="17"/>
          <w:szCs w:val="17"/>
          <w:color w:val="auto"/>
        </w:rPr>
        <w:t>. The Company had estimated the fair value of the embedded derivative on a stand-alone basis to be $0.3 million at June 30, 2020 based upon Level 3 inputs. Changes in the fair value of the embedded derivative is recognized each reporting period as a “</w:t>
      </w:r>
      <w:r>
        <w:rPr>
          <w:rFonts w:ascii="Arial" w:cs="Arial" w:eastAsia="Arial" w:hAnsi="Arial"/>
          <w:sz w:val="17"/>
          <w:szCs w:val="17"/>
          <w:i w:val="1"/>
          <w:iCs w:val="1"/>
          <w:color w:val="auto"/>
        </w:rPr>
        <w:t>Change in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of 2020/21 Notes embedded derivative</w:t>
      </w:r>
      <w:r>
        <w:rPr>
          <w:rFonts w:ascii="Arial" w:cs="Arial" w:eastAsia="Arial" w:hAnsi="Arial"/>
          <w:sz w:val="17"/>
          <w:szCs w:val="17"/>
          <w:color w:val="auto"/>
        </w:rPr>
        <w:t>” in the consolidated Statements of Operations and Statements of Cash Flows. See Note 7,</w:t>
      </w:r>
      <w:r>
        <w:rPr>
          <w:rFonts w:ascii="Arial" w:cs="Arial" w:eastAsia="Arial" w:hAnsi="Arial"/>
          <w:sz w:val="17"/>
          <w:szCs w:val="17"/>
          <w:i w:val="1"/>
          <w:iCs w:val="1"/>
          <w:color w:val="auto"/>
        </w:rPr>
        <w:t xml:space="preserve"> Embedded Derivatives</w:t>
      </w:r>
      <w:r>
        <w:rPr>
          <w:rFonts w:ascii="Arial" w:cs="Arial" w:eastAsia="Arial" w:hAnsi="Arial"/>
          <w:sz w:val="17"/>
          <w:szCs w:val="17"/>
          <w:color w:val="auto"/>
        </w:rPr>
        <w:t>, for the fair value inputs used to estimate the fair value of the embedded derivative.</w:t>
      </w:r>
    </w:p>
    <w:p>
      <w:pPr>
        <w:spacing w:after="0" w:line="175" w:lineRule="exact"/>
        <w:rPr>
          <w:sz w:val="20"/>
          <w:szCs w:val="20"/>
          <w:color w:val="auto"/>
        </w:rPr>
      </w:pPr>
    </w:p>
    <w:p>
      <w:pPr>
        <w:ind w:right="360" w:firstLine="480"/>
        <w:spacing w:after="0" w:line="281" w:lineRule="auto"/>
        <w:rPr>
          <w:sz w:val="20"/>
          <w:szCs w:val="20"/>
          <w:color w:val="auto"/>
        </w:rPr>
      </w:pPr>
      <w:r>
        <w:rPr>
          <w:rFonts w:ascii="Arial" w:cs="Arial" w:eastAsia="Arial" w:hAnsi="Arial"/>
          <w:sz w:val="17"/>
          <w:szCs w:val="17"/>
          <w:i w:val="1"/>
          <w:iCs w:val="1"/>
          <w:color w:val="auto"/>
        </w:rPr>
        <w:t>Derivative Warrant Liability</w:t>
      </w:r>
      <w:r>
        <w:rPr>
          <w:rFonts w:ascii="Arial" w:cs="Arial" w:eastAsia="Arial" w:hAnsi="Arial"/>
          <w:sz w:val="17"/>
          <w:szCs w:val="17"/>
          <w:color w:val="auto"/>
        </w:rPr>
        <w:t>. The Company valued the Series F Warrants and Series K Warrants using a Monte-Carlo model (Level 3)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using Black-Scholes models comprised of some inputs requiring the use of Monte-Carlo models (Level 3). The Company has estimated the fair value of the derivative warrant liability to be $0 and $.01 million as of June 30, 2020 and December 31, 2019, respectively.</w:t>
      </w:r>
    </w:p>
    <w:p>
      <w:pPr>
        <w:spacing w:after="0" w:line="167" w:lineRule="exact"/>
        <w:rPr>
          <w:sz w:val="20"/>
          <w:szCs w:val="20"/>
          <w:color w:val="auto"/>
        </w:rPr>
      </w:pPr>
    </w:p>
    <w:p>
      <w:pPr>
        <w:jc w:val="both"/>
        <w:ind w:right="420" w:firstLine="469"/>
        <w:spacing w:after="0" w:line="258" w:lineRule="auto"/>
        <w:rPr>
          <w:sz w:val="20"/>
          <w:szCs w:val="20"/>
          <w:color w:val="auto"/>
        </w:rPr>
      </w:pPr>
      <w:r>
        <w:rPr>
          <w:rFonts w:ascii="Arial" w:cs="Arial" w:eastAsia="Arial" w:hAnsi="Arial"/>
          <w:sz w:val="18"/>
          <w:szCs w:val="18"/>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Segments</w:t>
      </w:r>
    </w:p>
    <w:p>
      <w:pPr>
        <w:spacing w:after="0" w:line="224" w:lineRule="exact"/>
        <w:rPr>
          <w:sz w:val="20"/>
          <w:szCs w:val="20"/>
          <w:color w:val="auto"/>
        </w:rPr>
      </w:pPr>
    </w:p>
    <w:p>
      <w:pPr>
        <w:jc w:val="both"/>
        <w:ind w:right="100" w:firstLine="469"/>
        <w:spacing w:after="0" w:line="258" w:lineRule="auto"/>
        <w:rPr>
          <w:sz w:val="20"/>
          <w:szCs w:val="20"/>
          <w:color w:val="auto"/>
        </w:rPr>
      </w:pPr>
      <w:r>
        <w:rPr>
          <w:rFonts w:ascii="Arial" w:cs="Arial" w:eastAsia="Arial" w:hAnsi="Arial"/>
          <w:sz w:val="18"/>
          <w:szCs w:val="18"/>
          <w:color w:val="auto"/>
        </w:rPr>
        <w:t>The Company has determined that it has two operating segments: (i) Gevo segment; and (ii) Gevo Development/Agri-Energy segment. The Company organizes its business segments based on the nature of the products and services offered through each of its consolidated legal entities. Transactions between segments are eliminated in consolidation.</w:t>
      </w:r>
    </w:p>
    <w:p>
      <w:pPr>
        <w:spacing w:after="0" w:line="186" w:lineRule="exact"/>
        <w:rPr>
          <w:sz w:val="20"/>
          <w:szCs w:val="20"/>
          <w:color w:val="auto"/>
        </w:rPr>
      </w:pPr>
    </w:p>
    <w:p>
      <w:pPr>
        <w:ind w:right="180" w:firstLine="469"/>
        <w:spacing w:after="0" w:line="274" w:lineRule="auto"/>
        <w:rPr>
          <w:sz w:val="20"/>
          <w:szCs w:val="20"/>
          <w:color w:val="auto"/>
        </w:rPr>
      </w:pPr>
      <w:r>
        <w:rPr>
          <w:rFonts w:ascii="Arial" w:cs="Arial" w:eastAsia="Arial" w:hAnsi="Arial"/>
          <w:sz w:val="17"/>
          <w:szCs w:val="17"/>
          <w:b w:val="1"/>
          <w:bCs w:val="1"/>
          <w:i w:val="1"/>
          <w:iCs w:val="1"/>
          <w:color w:val="auto"/>
        </w:rPr>
        <w:t>Gevo Segment</w:t>
      </w:r>
      <w:r>
        <w:rPr>
          <w:rFonts w:ascii="Arial" w:cs="Arial" w:eastAsia="Arial" w:hAnsi="Arial"/>
          <w:sz w:val="17"/>
          <w:szCs w:val="17"/>
          <w:color w:val="auto"/>
        </w:rPr>
        <w:t>. The Gevo segment is responsible for all research and development activities related to the future production of isobutanol,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development of our proprietary biocatalysts, the production and sale of bio jet fuel, the Company’s retrofit process and the next generation of chemicals and biofuels that will be based on the Company’s isobutanol technology. The Gevo segment also develops, maintains and protects its intellectual property portfolio, develops future markets for its isobutanol and provides corporate oversight services.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980" w:firstLine="469"/>
        <w:spacing w:after="0" w:line="270" w:lineRule="auto"/>
        <w:rPr>
          <w:sz w:val="20"/>
          <w:szCs w:val="20"/>
          <w:color w:val="auto"/>
        </w:rPr>
      </w:pPr>
      <w:r>
        <w:rPr>
          <w:rFonts w:ascii="Arial" w:cs="Arial" w:eastAsia="Arial" w:hAnsi="Arial"/>
          <w:sz w:val="18"/>
          <w:szCs w:val="18"/>
          <w:b w:val="1"/>
          <w:bCs w:val="1"/>
          <w:i w:val="1"/>
          <w:iCs w:val="1"/>
          <w:color w:val="auto"/>
        </w:rPr>
        <w:t>Gevo Development/Agri-Energy Segment</w:t>
      </w:r>
      <w:r>
        <w:rPr>
          <w:rFonts w:ascii="Arial" w:cs="Arial" w:eastAsia="Arial" w:hAnsi="Arial"/>
          <w:sz w:val="18"/>
          <w:szCs w:val="18"/>
          <w:color w:val="auto"/>
        </w:rPr>
        <w:t>. The Gevo Development/Agri-Energy segment is currently responsible for the operation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Luverne Facility and the production of ethanol, isobutanol and related products.</w:t>
      </w:r>
    </w:p>
    <w:p>
      <w:pPr>
        <w:spacing w:after="0" w:line="175" w:lineRule="exact"/>
        <w:rPr>
          <w:sz w:val="20"/>
          <w:szCs w:val="20"/>
          <w:color w:val="auto"/>
        </w:rPr>
      </w:pPr>
    </w:p>
    <w:p>
      <w:pPr>
        <w:jc w:val="both"/>
        <w:ind w:right="40" w:firstLine="480"/>
        <w:spacing w:after="0" w:line="281" w:lineRule="auto"/>
        <w:rPr>
          <w:sz w:val="20"/>
          <w:szCs w:val="20"/>
          <w:color w:val="auto"/>
        </w:rPr>
      </w:pPr>
      <w:r>
        <w:rPr>
          <w:rFonts w:ascii="Arial" w:cs="Arial" w:eastAsia="Arial" w:hAnsi="Arial"/>
          <w:sz w:val="17"/>
          <w:szCs w:val="17"/>
          <w:color w:val="auto"/>
        </w:rPr>
        <w:t>The Company’s chief operating decision maker is provided with and reviews the financial results of each of the Company’s consolidated legal entities, Gevo, Inc., Gevo Development, LLC and Agri-Energy, LLC. The Company organizes its business segments based on the nature of the products and services offered through each of its consolidated legal entities. All revenue is earned and all assets are held in the U.S.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40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08"/>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440" w:type="dxa"/>
            <w:vAlign w:val="bottom"/>
          </w:tcPr>
          <w:p>
            <w:pPr>
              <w:ind w:left="160"/>
              <w:spacing w:after="0"/>
              <w:rPr>
                <w:sz w:val="20"/>
                <w:szCs w:val="20"/>
                <w:color w:val="auto"/>
              </w:rPr>
            </w:pPr>
            <w:r>
              <w:rPr>
                <w:rFonts w:ascii="Arial" w:cs="Arial" w:eastAsia="Arial" w:hAnsi="Arial"/>
                <w:sz w:val="18"/>
                <w:szCs w:val="18"/>
                <w:color w:val="auto"/>
              </w:rPr>
              <w:t>Gevo</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897</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1,022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r>
      <w:tr>
        <w:trPr>
          <w:trHeight w:val="213"/>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10,658</w:t>
            </w:r>
          </w:p>
        </w:tc>
      </w:tr>
      <w:tr>
        <w:trPr>
          <w:trHeight w:val="207"/>
        </w:trPr>
        <w:tc>
          <w:tcPr>
            <w:tcW w:w="44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11,489</w:t>
            </w:r>
          </w:p>
        </w:tc>
      </w:tr>
      <w:tr>
        <w:trPr>
          <w:trHeight w:val="194"/>
        </w:trPr>
        <w:tc>
          <w:tcPr>
            <w:tcW w:w="44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Arial" w:cs="Arial" w:eastAsia="Arial" w:hAnsi="Arial"/>
                <w:sz w:val="18"/>
                <w:szCs w:val="18"/>
                <w:color w:val="auto"/>
              </w:rPr>
              <w:t>Gevo</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(2,808)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(2,960)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(5,689)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(5,633)</w:t>
            </w:r>
          </w:p>
        </w:tc>
      </w:tr>
      <w:tr>
        <w:trPr>
          <w:trHeight w:val="213"/>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(6,488)</w:t>
            </w:r>
          </w:p>
        </w:tc>
      </w:tr>
      <w:tr>
        <w:trPr>
          <w:trHeight w:val="207"/>
        </w:trPr>
        <w:tc>
          <w:tcPr>
            <w:tcW w:w="44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(13,233)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(12,121)</w:t>
            </w:r>
          </w:p>
        </w:tc>
      </w:tr>
      <w:tr>
        <w:trPr>
          <w:trHeight w:val="194"/>
        </w:trPr>
        <w:tc>
          <w:tcPr>
            <w:tcW w:w="44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Arial" w:cs="Arial" w:eastAsia="Arial" w:hAnsi="Arial"/>
                <w:sz w:val="18"/>
                <w:szCs w:val="18"/>
                <w:color w:val="auto"/>
              </w:rPr>
              <w:t>Gevo</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1,081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r>
      <w:tr>
        <w:trPr>
          <w:trHeight w:val="213"/>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7"/>
        </w:trPr>
        <w:tc>
          <w:tcPr>
            <w:tcW w:w="44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1,522</w:t>
            </w:r>
          </w:p>
        </w:tc>
      </w:tr>
      <w:tr>
        <w:trPr>
          <w:trHeight w:val="194"/>
        </w:trPr>
        <w:tc>
          <w:tcPr>
            <w:tcW w:w="44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Arial" w:cs="Arial" w:eastAsia="Arial" w:hAnsi="Arial"/>
                <w:sz w:val="18"/>
                <w:szCs w:val="18"/>
                <w:color w:val="auto"/>
              </w:rPr>
              <w:t>Gevo</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13"/>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1,559</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w:t>
            </w:r>
          </w:p>
        </w:tc>
      </w:tr>
      <w:tr>
        <w:trPr>
          <w:trHeight w:val="207"/>
        </w:trPr>
        <w:tc>
          <w:tcPr>
            <w:tcW w:w="44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3,221</w:t>
            </w:r>
          </w:p>
        </w:tc>
      </w:tr>
      <w:tr>
        <w:trPr>
          <w:trHeight w:val="194"/>
        </w:trPr>
        <w:tc>
          <w:tcPr>
            <w:tcW w:w="44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plant, property and equipment: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Arial" w:cs="Arial" w:eastAsia="Arial" w:hAnsi="Arial"/>
                <w:sz w:val="18"/>
                <w:szCs w:val="18"/>
                <w:color w:val="auto"/>
              </w:rPr>
              <w:t>Gevo</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3"/>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 Development / Agri-Energy</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w:t>
            </w:r>
          </w:p>
        </w:tc>
      </w:tr>
      <w:tr>
        <w:trPr>
          <w:trHeight w:val="207"/>
        </w:trPr>
        <w:tc>
          <w:tcPr>
            <w:tcW w:w="44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4,143</w:t>
            </w:r>
          </w:p>
        </w:tc>
      </w:tr>
      <w:tr>
        <w:trPr>
          <w:trHeight w:val="194"/>
        </w:trPr>
        <w:tc>
          <w:tcPr>
            <w:tcW w:w="44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 by geographic area</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3,841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10,658</w:t>
            </w:r>
          </w:p>
        </w:tc>
      </w:tr>
      <w:tr>
        <w:trPr>
          <w:trHeight w:val="213"/>
        </w:trPr>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r>
      <w:tr>
        <w:trPr>
          <w:trHeight w:val="207"/>
        </w:trPr>
        <w:tc>
          <w:tcPr>
            <w:tcW w:w="44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11,489</w:t>
            </w:r>
          </w:p>
        </w:tc>
      </w:tr>
      <w:tr>
        <w:trPr>
          <w:trHeight w:val="646"/>
        </w:trPr>
        <w:tc>
          <w:tcPr>
            <w:tcW w:w="444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jc w:val="right"/>
              <w:ind w:right="171"/>
              <w:spacing w:after="0"/>
              <w:rPr>
                <w:sz w:val="20"/>
                <w:szCs w:val="20"/>
                <w:color w:val="auto"/>
              </w:rPr>
            </w:pPr>
            <w:r>
              <w:rPr>
                <w:rFonts w:ascii="Arial" w:cs="Arial" w:eastAsia="Arial" w:hAnsi="Arial"/>
                <w:sz w:val="18"/>
                <w:szCs w:val="18"/>
                <w:color w:val="auto"/>
              </w:rPr>
              <w:t>31</w:t>
            </w: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4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4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0"/>
        </w:trPr>
        <w:tc>
          <w:tcPr>
            <w:tcW w:w="3280" w:type="dxa"/>
            <w:vAlign w:val="bottom"/>
          </w:tcPr>
          <w:p>
            <w:pPr>
              <w:spacing w:after="0"/>
              <w:rPr>
                <w:sz w:val="24"/>
                <w:szCs w:val="24"/>
                <w:color w:val="auto"/>
              </w:rPr>
            </w:pPr>
          </w:p>
        </w:tc>
        <w:tc>
          <w:tcPr>
            <w:tcW w:w="4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GEVO, INC.</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3280" w:type="dxa"/>
            <w:vAlign w:val="bottom"/>
          </w:tcPr>
          <w:p>
            <w:pPr>
              <w:spacing w:after="0"/>
              <w:rPr>
                <w:sz w:val="18"/>
                <w:szCs w:val="18"/>
                <w:color w:val="auto"/>
              </w:rPr>
            </w:pPr>
          </w:p>
        </w:tc>
        <w:tc>
          <w:tcPr>
            <w:tcW w:w="4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Notes to Consolidated Financial Statements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49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(unaudited)</w:t>
            </w: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32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5"/>
              </w:rPr>
              <w:t>June 30,</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1"/>
        </w:trPr>
        <w:tc>
          <w:tcPr>
            <w:tcW w:w="32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08"/>
        </w:trPr>
        <w:tc>
          <w:tcPr>
            <w:tcW w:w="328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8"/>
                <w:szCs w:val="18"/>
                <w:color w:val="auto"/>
              </w:rPr>
              <w:t>Total assets</w:t>
            </w: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Gevo</w:t>
            </w:r>
          </w:p>
        </w:tc>
        <w:tc>
          <w:tcPr>
            <w:tcW w:w="4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76,800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91,861</w:t>
            </w:r>
          </w:p>
        </w:tc>
      </w:tr>
      <w:tr>
        <w:trPr>
          <w:trHeight w:val="213"/>
        </w:trPr>
        <w:tc>
          <w:tcPr>
            <w:tcW w:w="3280" w:type="dxa"/>
            <w:vAlign w:val="bottom"/>
          </w:tcPr>
          <w:p>
            <w:pPr>
              <w:ind w:left="160"/>
              <w:spacing w:after="0"/>
              <w:rPr>
                <w:sz w:val="20"/>
                <w:szCs w:val="20"/>
                <w:color w:val="auto"/>
              </w:rPr>
            </w:pPr>
            <w:r>
              <w:rPr>
                <w:rFonts w:ascii="Arial" w:cs="Arial" w:eastAsia="Arial" w:hAnsi="Arial"/>
                <w:sz w:val="18"/>
                <w:szCs w:val="18"/>
                <w:color w:val="auto"/>
              </w:rPr>
              <w:t>Gevo Development / Agri-Energy</w:t>
            </w: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138,872</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143,349</w:t>
            </w:r>
          </w:p>
        </w:tc>
      </w:tr>
      <w:tr>
        <w:trPr>
          <w:trHeight w:val="213"/>
        </w:trPr>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Intercompany eliminations (1)</w:t>
            </w:r>
          </w:p>
        </w:tc>
        <w:tc>
          <w:tcPr>
            <w:tcW w:w="4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(135,571)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(141,851)</w:t>
            </w:r>
          </w:p>
        </w:tc>
      </w:tr>
      <w:tr>
        <w:trPr>
          <w:trHeight w:val="247"/>
        </w:trPr>
        <w:tc>
          <w:tcPr>
            <w:tcW w:w="3280" w:type="dxa"/>
            <w:vAlign w:val="bottom"/>
            <w:tcBorders>
              <w:top w:val="single" w:sz="8" w:color="CCEEFF"/>
            </w:tcBorders>
          </w:tcPr>
          <w:p>
            <w:pPr>
              <w:spacing w:after="0"/>
              <w:rPr>
                <w:sz w:val="21"/>
                <w:szCs w:val="21"/>
                <w:color w:val="auto"/>
              </w:rPr>
            </w:pPr>
          </w:p>
        </w:tc>
        <w:tc>
          <w:tcPr>
            <w:tcW w:w="472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3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Consolidated (2)</w:t>
            </w:r>
          </w:p>
        </w:tc>
        <w:tc>
          <w:tcPr>
            <w:tcW w:w="4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80,101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93,359</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9" w:lineRule="exact"/>
        <w:rPr>
          <w:sz w:val="20"/>
          <w:szCs w:val="20"/>
          <w:color w:val="auto"/>
        </w:rPr>
      </w:pPr>
    </w:p>
    <w:p>
      <w:pPr>
        <w:ind w:left="400" w:right="380" w:hanging="260"/>
        <w:spacing w:after="0" w:line="255" w:lineRule="auto"/>
        <w:tabs>
          <w:tab w:leader="none" w:pos="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Includes intercompany sales of $0.1 million during the six months ended June 30, 2020 and $0.4 million for the year ended December 31, 2019 for hydrocarbon sales.</w:t>
      </w:r>
    </w:p>
    <w:p>
      <w:pPr>
        <w:ind w:left="400" w:hanging="260"/>
        <w:spacing w:after="0"/>
        <w:tabs>
          <w:tab w:leader="none" w:pos="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other significant non-cash items relate to the activities of Gevo.</w:t>
      </w: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280" w:hanging="273"/>
        <w:spacing w:after="0"/>
        <w:tabs>
          <w:tab w:leader="none" w:pos="2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Offering</w:t>
      </w:r>
    </w:p>
    <w:p>
      <w:pPr>
        <w:spacing w:after="0" w:line="220" w:lineRule="exact"/>
        <w:rPr>
          <w:sz w:val="20"/>
          <w:szCs w:val="20"/>
          <w:color w:val="auto"/>
        </w:rPr>
      </w:pPr>
    </w:p>
    <w:p>
      <w:pPr>
        <w:ind w:right="20" w:firstLine="480"/>
        <w:spacing w:after="0" w:line="258" w:lineRule="auto"/>
        <w:rPr>
          <w:sz w:val="20"/>
          <w:szCs w:val="20"/>
          <w:color w:val="auto"/>
        </w:rPr>
      </w:pPr>
      <w:r>
        <w:rPr>
          <w:rFonts w:ascii="Arial" w:cs="Arial" w:eastAsia="Arial" w:hAnsi="Arial"/>
          <w:sz w:val="18"/>
          <w:szCs w:val="18"/>
          <w:color w:val="auto"/>
        </w:rPr>
        <w:t>On July 6, 2020, Gevo completed a public offering (the “Offering”) of (i) 20,896,666 Series 1 units (the “Series 1 Units”) at a price of $0.60 per Series 1 Unit, and (ii) 9,103,334 Series 2 units (the “Series 2 Units”) at a price of $0.59 per Series 2 Unit. The Offering was made under a registration statement on Form S-1 filed with the Securities and Exchange Commission, declared effective on June 30, 2020.</w:t>
      </w:r>
    </w:p>
    <w:p>
      <w:pPr>
        <w:spacing w:after="0" w:line="186" w:lineRule="exact"/>
        <w:rPr>
          <w:sz w:val="20"/>
          <w:szCs w:val="20"/>
          <w:color w:val="auto"/>
        </w:rPr>
      </w:pPr>
    </w:p>
    <w:p>
      <w:pPr>
        <w:ind w:right="40" w:firstLine="480"/>
        <w:spacing w:after="0" w:line="268" w:lineRule="auto"/>
        <w:rPr>
          <w:sz w:val="20"/>
          <w:szCs w:val="20"/>
          <w:color w:val="auto"/>
        </w:rPr>
      </w:pPr>
      <w:r>
        <w:rPr>
          <w:rFonts w:ascii="Arial" w:cs="Arial" w:eastAsia="Arial" w:hAnsi="Arial"/>
          <w:sz w:val="17"/>
          <w:szCs w:val="17"/>
          <w:color w:val="auto"/>
        </w:rPr>
        <w:t>Each Series 1 Unit consists of one share of the Company’s common stock and one Series 2020-A warrant to purchase one share of the Company’s commons stock (each, a “Series 2020-A Warrant”). Each Series 2 Unit consists of a pre-funded Series 2020-B warrant to purchase one share of the Company’s common stock (each, a “Series 2020-B Warrant” and, together with the Series 2020-A Warrants, the “Warrants”) and one Series 2020-A Warrant. The Series 2020-A Warrants are exercisable beginning on the date of original issuance and will expire five years from the date of issuance, at an exercise price of $0.60 per share. The pre-funded Series 2020-B Warrants are exercisable beginning on the date of issuance at a nominal exercise price of $0.01 per share of common stock any time until the Series 2020-B Warrants are exercised in full. In connection with the Offering, the Company issued Series 2020-A Warrants to purchase an aggregate of 30,000,000 shares of common stock.</w:t>
      </w:r>
    </w:p>
    <w:p>
      <w:pPr>
        <w:spacing w:after="0" w:line="180" w:lineRule="exact"/>
        <w:rPr>
          <w:sz w:val="20"/>
          <w:szCs w:val="20"/>
          <w:color w:val="auto"/>
        </w:rPr>
      </w:pPr>
    </w:p>
    <w:p>
      <w:pPr>
        <w:ind w:right="320" w:firstLine="480"/>
        <w:spacing w:after="0" w:line="258" w:lineRule="auto"/>
        <w:rPr>
          <w:sz w:val="20"/>
          <w:szCs w:val="20"/>
          <w:color w:val="auto"/>
        </w:rPr>
      </w:pPr>
      <w:r>
        <w:rPr>
          <w:rFonts w:ascii="Arial" w:cs="Arial" w:eastAsia="Arial" w:hAnsi="Arial"/>
          <w:sz w:val="18"/>
          <w:szCs w:val="18"/>
          <w:color w:val="auto"/>
        </w:rPr>
        <w:t>The net proceeds to the Company from the Offering were approximately $16.2 million, after deducting placement agent fees and other estimated offering expenses payable by the Company, and not including any future proceeds from the exercise of the Warrants. The Company intends to use the net proceeds from the Offering to fund working capital and for other general corporate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2020/21 Notes</w:t>
      </w:r>
    </w:p>
    <w:p>
      <w:pPr>
        <w:spacing w:after="0" w:line="220" w:lineRule="exact"/>
        <w:rPr>
          <w:sz w:val="20"/>
          <w:szCs w:val="20"/>
          <w:color w:val="auto"/>
        </w:rPr>
      </w:pPr>
    </w:p>
    <w:p>
      <w:pPr>
        <w:ind w:right="500" w:firstLine="480"/>
        <w:spacing w:after="0" w:line="306" w:lineRule="auto"/>
        <w:rPr>
          <w:sz w:val="20"/>
          <w:szCs w:val="20"/>
          <w:color w:val="auto"/>
        </w:rPr>
      </w:pPr>
      <w:r>
        <w:rPr>
          <w:rFonts w:ascii="Arial" w:cs="Arial" w:eastAsia="Arial" w:hAnsi="Arial"/>
          <w:sz w:val="16"/>
          <w:szCs w:val="16"/>
          <w:color w:val="auto"/>
        </w:rPr>
        <w:t>On July 10, 2020, certain holders of the 2020/21 Notes converted $2.0 million in aggregate principal amount of 2020/21 Notes (including the conversion of an additional $0.3 million for make-whole payment) into an aggregate of 4,169,428 shares of common stock pursuant to the terms of the 2020/21 Indenture. There was $12.5 million principal outstanding for the 2020/21 Notes upon completion of the conversion of the 2020/21 Notes.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ind w:left="20" w:firstLine="480"/>
        <w:spacing w:after="0" w:line="280" w:lineRule="auto"/>
        <w:rPr>
          <w:sz w:val="20"/>
          <w:szCs w:val="20"/>
          <w:color w:val="auto"/>
        </w:rPr>
      </w:pPr>
      <w:r>
        <w:rPr>
          <w:rFonts w:ascii="Arial" w:cs="Arial" w:eastAsia="Arial" w:hAnsi="Arial"/>
          <w:sz w:val="16"/>
          <w:szCs w:val="16"/>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the impact of the novel coronavirus ("COVID-19") pandemic on our business, our financial condition, our results of operation and liquidity, risks and uncertainties related to our ability to sell our products, our ability to expand or continue production of isobutanol, renewable hydrocarbon products and ethanol at our production facility in Luverne Minnesota (the “Luverne Facility”), our ability to meet our production, financial and operational guidance, our strategy to pursue low-carbon renewable fuels for sale into California and elsewhere, our ability to replace our fossil-based energy sources with renewable energy sources at our production facilities, our ability and plans to construct a commercial hydrocarbon facility to produce renewable premium gasoline and jet fuel, our ability to raise additional funds to continue operations and/or expand our production capabilities, our ability to perform under our existing renewable hydrocarbon offtake agreements and other supply agreements we may enter into in the future, our ability to enter into additional hydrocarbon supply agreements, our ability to obtain project finance debt and third-party equity for our renewable natural gas project, our ability to produce isobutanol, renewable hydrocarbon products and ethanol on a commercial level and at a profit, achievement of advances in our technology platform, the success of our upgraded production facility, the availability of suitable and cost-competitive feedstocks, our ability to gain market acceptance for our products, the expected cost-competitiveness and relative performance attributes of our isobutanol, renewable hydrocarbon products and ethanol,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7. “Management’s Discussion and Analysis of Financial Condition and Results of Operations” our Annual Report on Form 10-K for the year ended December 31, 2019 (our “Annual Report”), and subsequent reports on Form 10-Q, including Item 1A. "Risk Factors" of this Report. All forward-looking statements in this Report are qualified entirely by the cautionary statements included in this Report and such other filings. These risks and uncertainties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the context requires otherwise, in this Report the terms “we,” “us,” “our” and the “Company” refer to Gevo, Inc. and its subsidiaries.</w:t>
      </w:r>
    </w:p>
    <w:p>
      <w:pPr>
        <w:spacing w:after="0" w:line="231" w:lineRule="exact"/>
        <w:rPr>
          <w:sz w:val="20"/>
          <w:szCs w:val="20"/>
          <w:color w:val="auto"/>
        </w:rPr>
      </w:pPr>
    </w:p>
    <w:p>
      <w:pPr>
        <w:ind w:left="20" w:right="60" w:firstLine="309"/>
        <w:spacing w:after="0" w:line="306" w:lineRule="auto"/>
        <w:rPr>
          <w:sz w:val="20"/>
          <w:szCs w:val="20"/>
          <w:color w:val="auto"/>
        </w:rPr>
      </w:pPr>
      <w:r>
        <w:rPr>
          <w:rFonts w:ascii="Arial" w:cs="Arial" w:eastAsia="Arial" w:hAnsi="Arial"/>
          <w:sz w:val="16"/>
          <w:szCs w:val="16"/>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Annual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4" w:lineRule="exact"/>
        <w:rPr>
          <w:sz w:val="20"/>
          <w:szCs w:val="20"/>
          <w:color w:val="auto"/>
        </w:rPr>
      </w:pPr>
    </w:p>
    <w:p>
      <w:pPr>
        <w:ind w:left="20" w:right="20" w:firstLine="480"/>
        <w:spacing w:after="0" w:line="267" w:lineRule="auto"/>
        <w:rPr>
          <w:sz w:val="20"/>
          <w:szCs w:val="20"/>
          <w:color w:val="auto"/>
        </w:rPr>
      </w:pPr>
      <w:r>
        <w:rPr>
          <w:rFonts w:ascii="Arial" w:cs="Arial" w:eastAsia="Arial" w:hAnsi="Arial"/>
          <w:sz w:val="17"/>
          <w:szCs w:val="17"/>
          <w:color w:val="auto"/>
        </w:rPr>
        <w:t>We are a growth-oriented renewable fuels company that is commercializing the next generation of renewable low-carbon liquid transportation fuels with the potential to achieve a “net zero” greenhouse gas (“GHG”) footprint and address global needs of reducing GHG emissions with sustainable alternatives to petroleum fuels. As next generation renewable fuels, our hydrocarbon transportation fuels have the advantage of being “drop-in” substitutes for conventional fuels that are derived from crude oil, working seamlessly and without modification in existing fossil-fuel based engines, supply chains and storage infrastructure. In addition to the potential of net zero carbon emissions across the whole fuel life-cycle, our renewable fuels eliminate other pollutants associated with the burning of traditional fossil fuels such as particulates and sulfur, while delivering superior performance. We believe that the world is substantially under-supplied with low-carbon, drop-in renewable fuels that can be immediately used in existing transportation engines and infrastructure, and we are uniquely positioned to grow in serving that demand.</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81280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firstLine="480"/>
        <w:spacing w:after="0" w:line="251" w:lineRule="auto"/>
        <w:rPr>
          <w:sz w:val="20"/>
          <w:szCs w:val="20"/>
          <w:color w:val="auto"/>
        </w:rPr>
      </w:pPr>
      <w:r>
        <w:rPr>
          <w:rFonts w:ascii="Arial" w:cs="Arial" w:eastAsia="Arial" w:hAnsi="Arial"/>
          <w:sz w:val="18"/>
          <w:szCs w:val="18"/>
          <w:color w:val="auto"/>
        </w:rPr>
        <w:t>We use low-carbon, renewable resource-based carbohydrates as raw materials. In the near-term, our feedstocks will primarily consist of non-food corn. As our technology is applied globally, feedstocks can consist of sugar cane, molasses or other cellulosic sugars derived from wood, agricultural residues and waste. Our patented fermentation yeast biocatalyst produces isobutanol, a four-carbon alcohol, via the fermentation of renewable plant biomass carbohydrates. The resulting renewable isobutanol has a variety of direct applications but, more importantly to our fundamental strategy, serves as a building block to make renewable isooctane (which we refer to as renewable premium gasoline) and renewable jet fuel using simple and common chemical conversion processes. We also reduce or eliminate fossil-based process energy inputs by replacing them with renewable energy such as wind-powered electricity and renewable natural gas (“RNG”).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0" w:lineRule="exact"/>
        <w:rPr>
          <w:sz w:val="20"/>
          <w:szCs w:val="20"/>
          <w:color w:val="auto"/>
        </w:rPr>
      </w:pPr>
    </w:p>
    <w:p>
      <w:pPr>
        <w:jc w:val="both"/>
        <w:ind w:right="80" w:firstLine="480"/>
        <w:spacing w:after="0" w:line="296" w:lineRule="auto"/>
        <w:rPr>
          <w:sz w:val="20"/>
          <w:szCs w:val="20"/>
          <w:color w:val="auto"/>
        </w:rPr>
      </w:pPr>
      <w:r>
        <w:rPr>
          <w:rFonts w:ascii="Arial" w:cs="Arial" w:eastAsia="Arial" w:hAnsi="Arial"/>
          <w:sz w:val="16"/>
          <w:szCs w:val="16"/>
          <w:color w:val="auto"/>
        </w:rPr>
        <w:t>The COVID-19 pandemic has had an adverse impact on global commercial activity, including the global transportation industry and our supply chain, and has contributed to significant volatility in the financial markets. In light of the current and potential future disruption to our own business operations and those of our customers, suppliers and other third parties with whom we do business, we considered the impact of the COVID-19 pandemic on our business. This analysis considered our business' resilience and continuity plans, financial modeling and stress testing of liquidity and financial resources.</w:t>
      </w:r>
    </w:p>
    <w:p>
      <w:pPr>
        <w:spacing w:after="0" w:line="160" w:lineRule="exact"/>
        <w:rPr>
          <w:sz w:val="20"/>
          <w:szCs w:val="20"/>
          <w:color w:val="auto"/>
        </w:rPr>
      </w:pPr>
    </w:p>
    <w:p>
      <w:pPr>
        <w:ind w:right="20" w:firstLine="480"/>
        <w:spacing w:after="0" w:line="253" w:lineRule="auto"/>
        <w:rPr>
          <w:sz w:val="20"/>
          <w:szCs w:val="20"/>
          <w:color w:val="auto"/>
        </w:rPr>
      </w:pPr>
      <w:r>
        <w:rPr>
          <w:rFonts w:ascii="Arial" w:cs="Arial" w:eastAsia="Arial" w:hAnsi="Arial"/>
          <w:sz w:val="18"/>
          <w:szCs w:val="18"/>
          <w:color w:val="auto"/>
        </w:rPr>
        <w:t>We expect that the impact of the COVID-19 pandemic on general economic activity will negatively impact our revenue and operating results for at least the remainder of 2020. The suspension of ethanol production at our Luverne Facility for the foreseeable future and reduction in our workforce during the first quarter of 2020 due to the impact of COVID-19 had an adverse impact on our financial results for the second quarter of 2020 reducing revenue by 81% compared to the same period in 2019. We expect that the suspension of ethanol production at the Luverne Facility and reduction in workforce will allow us to reduce our cash burn during 2020.</w:t>
      </w:r>
    </w:p>
    <w:p>
      <w:pPr>
        <w:spacing w:after="0" w:line="190" w:lineRule="exact"/>
        <w:rPr>
          <w:sz w:val="20"/>
          <w:szCs w:val="20"/>
          <w:color w:val="auto"/>
        </w:rPr>
      </w:pPr>
    </w:p>
    <w:p>
      <w:pPr>
        <w:ind w:right="40" w:firstLine="480"/>
        <w:spacing w:after="0" w:line="255" w:lineRule="auto"/>
        <w:rPr>
          <w:sz w:val="20"/>
          <w:szCs w:val="20"/>
          <w:color w:val="auto"/>
        </w:rPr>
      </w:pPr>
      <w:r>
        <w:rPr>
          <w:rFonts w:ascii="Arial" w:cs="Arial" w:eastAsia="Arial" w:hAnsi="Arial"/>
          <w:sz w:val="18"/>
          <w:szCs w:val="18"/>
          <w:color w:val="auto"/>
        </w:rPr>
        <w:t>As an increasing percentage of our employees work remotely, we face the risk that unusual working arrangements could impact the effectiveness of our operations or controls. A potential COVID-19 infection of any of our key employees could materially and adversely impact our operations. In addition, it is possible that COVID-19 restrictions could create difficulty for satisfying our legal or regulatory filing or other obligations, including with the SEC and other regulators.</w:t>
      </w:r>
    </w:p>
    <w:p>
      <w:pPr>
        <w:spacing w:after="0" w:line="188" w:lineRule="exact"/>
        <w:rPr>
          <w:sz w:val="20"/>
          <w:szCs w:val="20"/>
          <w:color w:val="auto"/>
        </w:rPr>
      </w:pPr>
    </w:p>
    <w:p>
      <w:pPr>
        <w:ind w:right="200" w:firstLine="480"/>
        <w:spacing w:after="0" w:line="271" w:lineRule="auto"/>
        <w:rPr>
          <w:sz w:val="20"/>
          <w:szCs w:val="20"/>
          <w:color w:val="auto"/>
        </w:rPr>
      </w:pPr>
      <w:r>
        <w:rPr>
          <w:rFonts w:ascii="Arial" w:cs="Arial" w:eastAsia="Arial" w:hAnsi="Arial"/>
          <w:sz w:val="17"/>
          <w:szCs w:val="17"/>
          <w:color w:val="auto"/>
        </w:rPr>
        <w:t>There is also a risk that COVID-19 could have a material adverse impact on customer demand and cash flow for the remainder of 2020 and beyond. We will continue to monitor the situation and assess possible implications to our business and our stakeholders and will take appropriate actions to help mitigate adverse consequences. The extent to which COVID-19 impacts our business and financial position will depend on future developments, which are difficult to predict, including the severity, duration and scope of the COVID-19 outbreak as well as the types of measures imposed by governmental authorities to contain the virus or address its impact and the duration of those actions and measures.</w:t>
      </w:r>
    </w:p>
    <w:p>
      <w:pPr>
        <w:spacing w:after="0" w:line="177" w:lineRule="exact"/>
        <w:rPr>
          <w:sz w:val="20"/>
          <w:szCs w:val="20"/>
          <w:color w:val="auto"/>
        </w:rPr>
      </w:pPr>
    </w:p>
    <w:p>
      <w:pPr>
        <w:ind w:right="20" w:firstLine="480"/>
        <w:spacing w:after="0" w:line="266" w:lineRule="auto"/>
        <w:rPr>
          <w:sz w:val="20"/>
          <w:szCs w:val="20"/>
          <w:color w:val="auto"/>
        </w:rPr>
      </w:pPr>
      <w:r>
        <w:rPr>
          <w:rFonts w:ascii="Arial" w:cs="Arial" w:eastAsia="Arial" w:hAnsi="Arial"/>
          <w:sz w:val="17"/>
          <w:szCs w:val="17"/>
          <w:color w:val="auto"/>
        </w:rPr>
        <w:t>We have considered multiple scenarios, with both positive and negative inputs, as part of the significant estimates and assumptions that are inherent in our financial statements and are based on trends in customer behavior and the economic environment throughout the quarter ended June 30, 2020 and beyond as the COVID-19 pandemic has impacted the industries in which we operate. These estimates and assumptions include the collectability of billed and unbilled receivables, the estimation of revenue and tangible and intangible assets. With regard to collectability, we believe we may face atypical delays in client payments going forward but we have not experienced delays in collection as of June 30, 2020. In addition, we believe that the demand for certain discretionary lines of business may decrease, and that such decrease will impact our financial results in succeeding periods. Non-discretionary lines of business may also be adversely affected, for example because reduced economic activity or disruption in hydrocarbon markets reduces demand for or the extent of alcohol-to-jet ("ATJ"), isooctane and isooctene. We believe that these trends and uncertainties are comparable to those faced by other registrants as a result of the pandemic.</w:t>
      </w:r>
    </w:p>
    <w:p>
      <w:pPr>
        <w:spacing w:after="0" w:line="185" w:lineRule="exact"/>
        <w:rPr>
          <w:sz w:val="20"/>
          <w:szCs w:val="20"/>
          <w:color w:val="auto"/>
        </w:rPr>
      </w:pPr>
    </w:p>
    <w:p>
      <w:pPr>
        <w:ind w:right="180" w:firstLine="480"/>
        <w:spacing w:after="0" w:line="268" w:lineRule="auto"/>
        <w:rPr>
          <w:sz w:val="20"/>
          <w:szCs w:val="20"/>
          <w:color w:val="auto"/>
        </w:rPr>
      </w:pPr>
      <w:r>
        <w:rPr>
          <w:rFonts w:ascii="Arial" w:cs="Arial" w:eastAsia="Arial" w:hAnsi="Arial"/>
          <w:sz w:val="17"/>
          <w:szCs w:val="17"/>
          <w:color w:val="auto"/>
        </w:rPr>
        <w:t>In response to the impact of the COVID-19 pandemic, each of Patrick R. Gruber, our Chief Executive Officer, Christopher M. Ryan, our President, Chief Operating Officer and Chief Technology Officer, L. Lynn Smull, our Chief Financial Officer, Timothy J. Cesarek, our Chief Commercial Officer, Geoffrey T. Williams, Jr., our General Counsel and Secretary, and Carolyn M. Romero, our Vice President - Controller and Principal Accounting Officer (collectively, the “Officers”) accepted 20% reductions to their base salaries as of April 1, 2020 and will continue until July 31, 2020. In connection with the 20% salary reduction, the Officers were granted Company stock in the form of restricted stock awards in an amount equal to the 20% reduction. Certain remaining employees that earn above a certain dollar threshold also agreed to take a 20% salary reduction effective April 1, 2020 and will continue through July 31, 2020, with the 20% portion to be paid in the form of restricted stock awards.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3" w:lineRule="exact"/>
        <w:rPr>
          <w:sz w:val="20"/>
          <w:szCs w:val="20"/>
          <w:color w:val="auto"/>
        </w:rPr>
      </w:pPr>
    </w:p>
    <w:p>
      <w:pPr>
        <w:ind w:right="120" w:firstLine="480"/>
        <w:spacing w:after="0" w:line="246" w:lineRule="auto"/>
        <w:rPr>
          <w:sz w:val="20"/>
          <w:szCs w:val="20"/>
          <w:color w:val="auto"/>
        </w:rPr>
      </w:pPr>
      <w:r>
        <w:rPr>
          <w:rFonts w:ascii="Arial" w:cs="Arial" w:eastAsia="Arial" w:hAnsi="Arial"/>
          <w:sz w:val="21"/>
          <w:szCs w:val="21"/>
          <w:color w:val="auto"/>
        </w:rPr>
        <w:t>In addition, the effectiveness of external parties, including governmental and non-governmental organizations, in combating the spread and severity of COVID 19 could have a material impact on demand for our business. Further, steps taken by market counter parties such as commercial airlines could have an impact on their ability to perform agreements to which we are a party, which could impact our business. The rapid development and fluidity of this situation precludes any prediction as to the ultimate adverse impact of COVID 19 on our business.</w:t>
      </w:r>
    </w:p>
    <w:p>
      <w:pPr>
        <w:spacing w:after="0" w:line="184" w:lineRule="exact"/>
        <w:rPr>
          <w:sz w:val="20"/>
          <w:szCs w:val="20"/>
          <w:color w:val="auto"/>
        </w:rPr>
      </w:pPr>
    </w:p>
    <w:p>
      <w:pPr>
        <w:ind w:right="80" w:firstLine="480"/>
        <w:spacing w:after="0" w:line="292" w:lineRule="auto"/>
        <w:rPr>
          <w:sz w:val="20"/>
          <w:szCs w:val="20"/>
          <w:color w:val="auto"/>
        </w:rPr>
      </w:pPr>
      <w:r>
        <w:rPr>
          <w:rFonts w:ascii="Arial" w:cs="Arial" w:eastAsia="Arial" w:hAnsi="Arial"/>
          <w:sz w:val="16"/>
          <w:szCs w:val="16"/>
          <w:color w:val="auto"/>
        </w:rPr>
        <w:t>COVID-19 has materially disrupted, and could continue to materially disrupt, our own business operations and the services we provide, as well as the business operations of our customers, suppliers and other third parties with whom we interact. As an increasing percentage of our colleagues work remotely, we face the risk that unusual working arrangements could impact the effectiveness of our operations or controls. A potential COVID-19 infection of any of our key colleagues could materially and adversely impact our operations. In addition, it is possible that COVID-19 restrictions could create difficulty for satisfying our legal or regulatory filing or other obligations, including with the SEC and other regulators.</w:t>
      </w:r>
    </w:p>
    <w:p>
      <w:pPr>
        <w:spacing w:after="0" w:line="162" w:lineRule="exact"/>
        <w:rPr>
          <w:sz w:val="20"/>
          <w:szCs w:val="20"/>
          <w:color w:val="auto"/>
        </w:rPr>
      </w:pPr>
    </w:p>
    <w:p>
      <w:pPr>
        <w:ind w:right="60" w:firstLine="480"/>
        <w:spacing w:after="0" w:line="252" w:lineRule="auto"/>
        <w:rPr>
          <w:sz w:val="20"/>
          <w:szCs w:val="20"/>
          <w:color w:val="auto"/>
        </w:rPr>
      </w:pPr>
      <w:r>
        <w:rPr>
          <w:rFonts w:ascii="Arial" w:cs="Arial" w:eastAsia="Arial" w:hAnsi="Arial"/>
          <w:sz w:val="18"/>
          <w:szCs w:val="18"/>
          <w:color w:val="auto"/>
        </w:rPr>
        <w:t>In addition, in connection with the impact that the COVID-19 pandemic has had on the economy and on the resulting disruption to the airline industry specifically, we and Delta Air Lines, Inc. (“Delta”) amended portions of our previously disclosed Fuel Sales Agreement (the “Delta Agreement”) on April 22, 2020 (the “Delta Amendment”). The Delta Amendment provides that Delta may terminate the Delta Agreement if we do not notify Delta by June 30, 2024 that the facility for the production, refining and delivery of ATJ with a nameplate capacity of up to 12 million gallons per year (the “Facility”) has achieved commercial operation and the ability to produce and deliver the ATJ purchased pursuant to the Delta Agreement (the date upon which such operation occurs is referred to as the “Commencement Date”).</w:t>
      </w:r>
    </w:p>
    <w:p>
      <w:pPr>
        <w:spacing w:after="0" w:line="190" w:lineRule="exact"/>
        <w:rPr>
          <w:sz w:val="20"/>
          <w:szCs w:val="20"/>
          <w:color w:val="auto"/>
        </w:rPr>
      </w:pPr>
    </w:p>
    <w:p>
      <w:pPr>
        <w:ind w:right="80" w:firstLine="480"/>
        <w:spacing w:after="0" w:line="296" w:lineRule="auto"/>
        <w:rPr>
          <w:sz w:val="20"/>
          <w:szCs w:val="20"/>
          <w:color w:val="auto"/>
        </w:rPr>
      </w:pPr>
      <w:r>
        <w:rPr>
          <w:rFonts w:ascii="Arial" w:cs="Arial" w:eastAsia="Arial" w:hAnsi="Arial"/>
          <w:sz w:val="16"/>
          <w:szCs w:val="16"/>
          <w:color w:val="auto"/>
        </w:rPr>
        <w:t>The Delta Amendment also revises the credit support terms in the Delta Agreement to state that we and Delta will work to mutually agree upon credit support terms for the take or pay that are acceptable to our lender to enable us to obtain third party financing prior to the earlier of the time that we obtain financing for construction of the Facility or otherwise issue a notice to commence construction of the Facility. If we and Delta are unable to agree on reasonable credit support terms, we may terminate the Delta Agreement. The balance of Delta’s credit support obligations were deleted.</w:t>
      </w:r>
    </w:p>
    <w:p>
      <w:pPr>
        <w:spacing w:after="0" w:line="179" w:lineRule="exact"/>
        <w:rPr>
          <w:sz w:val="20"/>
          <w:szCs w:val="20"/>
          <w:color w:val="auto"/>
        </w:rPr>
      </w:pPr>
    </w:p>
    <w:p>
      <w:pPr>
        <w:ind w:right="60" w:firstLine="480"/>
        <w:spacing w:after="0" w:line="257" w:lineRule="auto"/>
        <w:rPr>
          <w:sz w:val="20"/>
          <w:szCs w:val="20"/>
          <w:color w:val="auto"/>
        </w:rPr>
      </w:pPr>
      <w:r>
        <w:rPr>
          <w:rFonts w:ascii="Arial" w:cs="Arial" w:eastAsia="Arial" w:hAnsi="Arial"/>
          <w:sz w:val="20"/>
          <w:szCs w:val="20"/>
          <w:color w:val="auto"/>
        </w:rPr>
        <w:t>In addition, the Delta Amendment revises the ATJ pricing in the Delta Agreement to the extent that if Brent Crude is below a certain cutoff price as of the date that is 60 days prior to the Commencement Date (the “Commencement Notice Date”), then the pricing adjusts based upon a formula related to the Brent crude prices as of the Commencement Notice Date. The Delta Amendment also provides that, if as of the Commencement Notice Date, the Brent Crude price is below the price adjustment range, Delta may eliminate the take-or-pay requirements of the Delta Agreement, which includes eliminating Delta’s obligation to take-or-pay the 10 million gallons per year of ATJ. Instead, the Delta Agreement would require us and Delta to agree at that time on the volumes and price of any ATJ to be sold under the Delta Agreement.</w:t>
      </w:r>
    </w:p>
    <w:p>
      <w:pPr>
        <w:spacing w:after="0" w:line="197" w:lineRule="exact"/>
        <w:rPr>
          <w:sz w:val="20"/>
          <w:szCs w:val="20"/>
          <w:color w:val="auto"/>
        </w:rPr>
      </w:pPr>
    </w:p>
    <w:p>
      <w:pPr>
        <w:ind w:firstLine="480"/>
        <w:spacing w:after="0" w:line="254" w:lineRule="auto"/>
        <w:rPr>
          <w:sz w:val="20"/>
          <w:szCs w:val="20"/>
          <w:color w:val="auto"/>
        </w:rPr>
      </w:pPr>
      <w:r>
        <w:rPr>
          <w:rFonts w:ascii="Arial" w:cs="Arial" w:eastAsia="Arial" w:hAnsi="Arial"/>
          <w:sz w:val="20"/>
          <w:szCs w:val="20"/>
          <w:color w:val="auto"/>
        </w:rPr>
        <w:t>The rapidly evolving changes in financial markets could have a material impact on our ability to obtain financing, which could impact our liquidity. In April 2020, we entered into two loan agreements with Live Oak Banking Company, pursuant to which we obtained two loans from the Small Business Administration's Paycheck Protection Program (“SBA PPP”) totaling $1.0 million in the aggregate (the "SBA Loans"). The SBA Loans will mature in April 2022 and bear interest at a rate equal to 1% per annum, subject to the potential for partial or full loan forgiveness as dictated by U.S. federal law. Principal and interest are deferred until November 2020 and interest continues to accrue during the deferral period. The SBA Loans are payable monthly beginning November 5, 2020, with aggregate payments totaling $0.06 million per month, including interest and principal. The SBA Loans must be used for payroll, rent payments, mortgage interest payments and utilities payments as governed by the SBA PPP and are subject to partial or full forgiveness for the initial eight-week period following the loan disbursement if all proceeds are used for eligible purposes and within certain thresholds, we maintain certain employment levels and the we maintain certain compensation levels. No assurance can be given that we will obtain forgiveness of the loan in whole or in part. The loan contains customary events of default relating to, among other things, payment defaults, making materially false and misleading representations to the lender or breaching the terms of the loan documents.</w:t>
      </w:r>
    </w:p>
    <w:p>
      <w:pPr>
        <w:spacing w:after="0" w:line="179"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In addition, during the three months ended June 30, 2020, we issued 917,345 shares of common stock under the at-the-market offering program for net proceeds of $1.2 million, net of commissions and offering related expenses.</w:t>
      </w:r>
    </w:p>
    <w:p>
      <w:pPr>
        <w:spacing w:after="0" w:line="175" w:lineRule="exact"/>
        <w:rPr>
          <w:sz w:val="20"/>
          <w:szCs w:val="20"/>
          <w:color w:val="auto"/>
        </w:rPr>
      </w:pPr>
    </w:p>
    <w:p>
      <w:pPr>
        <w:ind w:firstLine="480"/>
        <w:spacing w:after="0" w:line="270" w:lineRule="auto"/>
        <w:rPr>
          <w:sz w:val="20"/>
          <w:szCs w:val="20"/>
          <w:color w:val="auto"/>
        </w:rPr>
      </w:pPr>
      <w:r>
        <w:rPr>
          <w:rFonts w:ascii="Arial" w:cs="Arial" w:eastAsia="Arial" w:hAnsi="Arial"/>
          <w:sz w:val="18"/>
          <w:szCs w:val="18"/>
          <w:color w:val="auto"/>
        </w:rPr>
        <w:t>Furthermore, on July 6, 2020, we completed a public offering (the “Offering”) of (i) 20,896,666 Series 1 units (the “Series 1 Units”) at a price of $0.60 per Series 1 Unit, and (ii) 9,103,334 Series 2 units (the “Series 2 Units”) at a price of $0.59 per Series 2 Unit.</w:t>
      </w:r>
    </w:p>
    <w:p>
      <w:pPr>
        <w:spacing w:after="0" w:line="175" w:lineRule="exact"/>
        <w:rPr>
          <w:sz w:val="20"/>
          <w:szCs w:val="20"/>
          <w:color w:val="auto"/>
        </w:rPr>
      </w:pPr>
    </w:p>
    <w:p>
      <w:pPr>
        <w:ind w:right="300" w:firstLine="480"/>
        <w:spacing w:after="0" w:line="258" w:lineRule="auto"/>
        <w:rPr>
          <w:sz w:val="20"/>
          <w:szCs w:val="20"/>
          <w:color w:val="auto"/>
        </w:rPr>
      </w:pPr>
      <w:r>
        <w:rPr>
          <w:rFonts w:ascii="Arial" w:cs="Arial" w:eastAsia="Arial" w:hAnsi="Arial"/>
          <w:sz w:val="18"/>
          <w:szCs w:val="18"/>
          <w:color w:val="auto"/>
        </w:rPr>
        <w:t>The net proceeds to the Company from the Offering were approximately $16.2 million, after deducting placement agent fees and other estimated offering expenses payable by the Company, and not including any future proceeds from the exercise of the Warrants. The Company intends to use the net proceeds from the Offering to fund working capital and for other general corporate purposes.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160" w:firstLine="480"/>
        <w:spacing w:after="0" w:line="255" w:lineRule="auto"/>
        <w:rPr>
          <w:sz w:val="20"/>
          <w:szCs w:val="20"/>
          <w:color w:val="auto"/>
        </w:rPr>
      </w:pPr>
      <w:r>
        <w:rPr>
          <w:rFonts w:ascii="Arial" w:cs="Arial" w:eastAsia="Arial" w:hAnsi="Arial"/>
          <w:sz w:val="18"/>
          <w:szCs w:val="18"/>
          <w:color w:val="auto"/>
        </w:rPr>
        <w:t>On July 10, 2020, certain holders of our 2020/21 Notes (as defined herein) converted $2 million in aggregate principal amount of 2020/21 Notes (including the conversion of an additional $0.3 million for make-whole payment) into an aggregate of 4,169,428 shares of common stock pursuant to the terms of the 2020/21 Indenture (as defined herein). There was $12.5 million principal outstanding for the 2020/21 Notes upon completion of the conversion of the 2020/21 Notes.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220" w:lineRule="exact"/>
        <w:rPr>
          <w:sz w:val="20"/>
          <w:szCs w:val="20"/>
          <w:color w:val="auto"/>
        </w:rPr>
      </w:pPr>
    </w:p>
    <w:p>
      <w:pPr>
        <w:ind w:right="640" w:firstLine="480"/>
        <w:spacing w:after="0" w:line="258" w:lineRule="auto"/>
        <w:rPr>
          <w:sz w:val="20"/>
          <w:szCs w:val="20"/>
          <w:color w:val="auto"/>
        </w:rPr>
      </w:pPr>
      <w:r>
        <w:rPr>
          <w:rFonts w:ascii="Arial" w:cs="Arial" w:eastAsia="Arial" w:hAnsi="Arial"/>
          <w:sz w:val="18"/>
          <w:szCs w:val="18"/>
          <w:color w:val="auto"/>
        </w:rPr>
        <w:t>During the first quarter of 2020, we suspended our ethanol production at the Luverne Facility. In addition, due to the impact of the COVID-19 pandemic on the global economy and our industry, we also reduced our workforce impacting 26 people at the Luverne Facility and four people at our corporate headquarters.</w:t>
      </w:r>
    </w:p>
    <w:p>
      <w:pPr>
        <w:spacing w:after="0" w:line="186" w:lineRule="exact"/>
        <w:rPr>
          <w:sz w:val="20"/>
          <w:szCs w:val="20"/>
          <w:color w:val="auto"/>
        </w:rPr>
      </w:pPr>
    </w:p>
    <w:p>
      <w:pPr>
        <w:ind w:right="160" w:firstLine="480"/>
        <w:spacing w:after="0" w:line="300" w:lineRule="auto"/>
        <w:rPr>
          <w:sz w:val="20"/>
          <w:szCs w:val="20"/>
          <w:color w:val="auto"/>
        </w:rPr>
      </w:pPr>
      <w:r>
        <w:rPr>
          <w:rFonts w:ascii="Arial" w:cs="Arial" w:eastAsia="Arial" w:hAnsi="Arial"/>
          <w:sz w:val="17"/>
          <w:szCs w:val="17"/>
          <w:color w:val="auto"/>
        </w:rPr>
        <w:t xml:space="preserve">We incurred $0.1 million related to severance costs and $0.2 million related to lease agreements for which we will no longer receive value during the six months ended June 30, 2020, which are recorded as </w:t>
      </w:r>
      <w:r>
        <w:rPr>
          <w:rFonts w:ascii="Arial" w:cs="Arial" w:eastAsia="Arial" w:hAnsi="Arial"/>
          <w:sz w:val="17"/>
          <w:szCs w:val="17"/>
          <w:i w:val="1"/>
          <w:iCs w:val="1"/>
          <w:color w:val="auto"/>
        </w:rPr>
        <w:t>Restructuring expenses</w:t>
      </w:r>
      <w:r>
        <w:rPr>
          <w:rFonts w:ascii="Arial" w:cs="Arial" w:eastAsia="Arial" w:hAnsi="Arial"/>
          <w:sz w:val="17"/>
          <w:szCs w:val="17"/>
          <w:color w:val="auto"/>
        </w:rPr>
        <w:t xml:space="preserve"> on the Consolidated Statements of Operations.</w:t>
      </w:r>
    </w:p>
    <w:p>
      <w:pPr>
        <w:spacing w:after="0" w:line="152" w:lineRule="exact"/>
        <w:rPr>
          <w:sz w:val="20"/>
          <w:szCs w:val="20"/>
          <w:color w:val="auto"/>
        </w:rPr>
      </w:pPr>
    </w:p>
    <w:p>
      <w:pPr>
        <w:ind w:right="80" w:firstLine="480"/>
        <w:spacing w:after="0" w:line="296" w:lineRule="auto"/>
        <w:rPr>
          <w:sz w:val="20"/>
          <w:szCs w:val="20"/>
          <w:color w:val="auto"/>
        </w:rPr>
      </w:pPr>
      <w:r>
        <w:rPr>
          <w:rFonts w:ascii="Arial" w:cs="Arial" w:eastAsia="Arial" w:hAnsi="Arial"/>
          <w:sz w:val="16"/>
          <w:szCs w:val="16"/>
          <w:color w:val="auto"/>
        </w:rPr>
        <w:t>We intend to continue developing our hydrocarbon business, including the planned expansion of the Luverne Facility, and we expect to move forward in securing the project funding needed to expand the Luverne Facility. The expansion is designed to allow us to produce large quantities of low carbon isobutanol, sustainable aviation fuel and renewable isooctane. We also expect to continue engineering efforts for the expansion of isobutanol production and the construction of a commercial renewable hydrocarbon production facility, as well as additional decarbonization projects, at the Luverne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20" w:lineRule="exact"/>
        <w:rPr>
          <w:sz w:val="20"/>
          <w:szCs w:val="20"/>
          <w:color w:val="auto"/>
        </w:rPr>
      </w:pPr>
    </w:p>
    <w:p>
      <w:pPr>
        <w:ind w:right="60" w:firstLine="480"/>
        <w:spacing w:after="0" w:line="253" w:lineRule="auto"/>
        <w:rPr>
          <w:sz w:val="20"/>
          <w:szCs w:val="20"/>
          <w:color w:val="auto"/>
        </w:rPr>
      </w:pPr>
      <w:r>
        <w:rPr>
          <w:rFonts w:ascii="Arial" w:cs="Arial" w:eastAsia="Arial" w:hAnsi="Arial"/>
          <w:sz w:val="18"/>
          <w:szCs w:val="18"/>
          <w:color w:val="auto"/>
        </w:rPr>
        <w:t>For the six months ended June 30, 2020, we incurred a consolidated net loss of $15.3 million and, as of June 30, 2020, we had an accumulated deficit of $473.3 million. Our cash and cash equivalents at June 30, 2020 totaled $6.3 million, which is primarily being used for the following: (i) operating activities at our corporate headquarters in Colorado, including research and development work; (ii) development costs associated with RNG; (iii) exploration of strategic alternatives and new financings; (iv) debt service obligations; and (v) maintaining our Luverne Facility. As of July 31, 2020, our cash and cash equivalents totaled $21.4 million.</w:t>
      </w:r>
    </w:p>
    <w:p>
      <w:pPr>
        <w:spacing w:after="0" w:line="190" w:lineRule="exact"/>
        <w:rPr>
          <w:sz w:val="20"/>
          <w:szCs w:val="20"/>
          <w:color w:val="auto"/>
        </w:rPr>
      </w:pPr>
    </w:p>
    <w:p>
      <w:pPr>
        <w:ind w:firstLine="480"/>
        <w:spacing w:after="0" w:line="271"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facility,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7" w:lineRule="exact"/>
        <w:rPr>
          <w:sz w:val="20"/>
          <w:szCs w:val="20"/>
          <w:color w:val="auto"/>
        </w:rPr>
      </w:pPr>
    </w:p>
    <w:p>
      <w:pPr>
        <w:ind w:right="40" w:firstLine="480"/>
        <w:spacing w:after="0" w:line="274" w:lineRule="auto"/>
        <w:rPr>
          <w:sz w:val="20"/>
          <w:szCs w:val="20"/>
          <w:color w:val="auto"/>
        </w:rPr>
      </w:pPr>
      <w:r>
        <w:rPr>
          <w:rFonts w:ascii="Arial" w:cs="Arial" w:eastAsia="Arial" w:hAnsi="Arial"/>
          <w:sz w:val="17"/>
          <w:szCs w:val="17"/>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75" w:lineRule="exact"/>
        <w:rPr>
          <w:sz w:val="20"/>
          <w:szCs w:val="20"/>
          <w:color w:val="auto"/>
        </w:rPr>
      </w:pPr>
    </w:p>
    <w:p>
      <w:pPr>
        <w:ind w:right="20" w:firstLine="480"/>
        <w:spacing w:after="0" w:line="287" w:lineRule="auto"/>
        <w:rPr>
          <w:sz w:val="20"/>
          <w:szCs w:val="20"/>
          <w:color w:val="auto"/>
        </w:rPr>
      </w:pPr>
      <w:r>
        <w:rPr>
          <w:rFonts w:ascii="Arial" w:cs="Arial" w:eastAsia="Arial" w:hAnsi="Arial"/>
          <w:sz w:val="16"/>
          <w:szCs w:val="16"/>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expansion of the Luverne Facility or a facility at another suitable location.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may seek to restructure our debt and we will continue to address our cost structure. Notwithstanding, there can be no assurance that we will be able to raise additional funds or achieve or sustain profitability or positive cash flows from operations, especially in light of the impact of the COVID-19 pandemic on us and the financial markets in general.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6"/>
        </w:trPr>
        <w:tc>
          <w:tcPr>
            <w:tcW w:w="61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61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18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5"/>
              </w:rPr>
              <w:t>Three Months Ended June 30,</w:t>
            </w:r>
          </w:p>
        </w:tc>
        <w:tc>
          <w:tcPr>
            <w:tcW w:w="260" w:type="dxa"/>
            <w:vAlign w:val="bottom"/>
          </w:tcPr>
          <w:p>
            <w:pPr>
              <w:spacing w:after="0"/>
              <w:rPr>
                <w:sz w:val="24"/>
                <w:szCs w:val="24"/>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1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160"/>
              <w:spacing w:after="0"/>
              <w:rPr>
                <w:sz w:val="20"/>
                <w:szCs w:val="20"/>
                <w:color w:val="auto"/>
              </w:rPr>
            </w:pPr>
            <w:r>
              <w:rPr>
                <w:rFonts w:ascii="Arial" w:cs="Arial" w:eastAsia="Arial" w:hAnsi="Arial"/>
                <w:sz w:val="18"/>
                <w:szCs w:val="18"/>
                <w:color w:val="auto"/>
              </w:rPr>
              <w:t>Ethanol sales and related products, net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4,966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Hydrocarbon revenue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3"/>
        </w:trPr>
        <w:tc>
          <w:tcPr>
            <w:tcW w:w="618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988</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5,086</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13"/>
        </w:trPr>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8,452</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(5,808)</w:t>
            </w:r>
          </w:p>
        </w:tc>
        <w:tc>
          <w:tcPr>
            <w:tcW w:w="0" w:type="dxa"/>
            <w:vAlign w:val="bottom"/>
          </w:tcPr>
          <w:p>
            <w:pPr>
              <w:spacing w:after="0"/>
              <w:rPr>
                <w:sz w:val="1"/>
                <w:szCs w:val="1"/>
                <w:color w:val="auto"/>
              </w:rPr>
            </w:pPr>
          </w:p>
        </w:tc>
      </w:tr>
      <w:tr>
        <w:trPr>
          <w:trHeight w:val="220"/>
        </w:trPr>
        <w:tc>
          <w:tcPr>
            <w:tcW w:w="6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loss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07"/>
        </w:trPr>
        <w:tc>
          <w:tcPr>
            <w:tcW w:w="6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160"/>
              <w:spacing w:after="0"/>
              <w:rPr>
                <w:sz w:val="20"/>
                <w:szCs w:val="20"/>
                <w:color w:val="auto"/>
              </w:rPr>
            </w:pPr>
            <w:r>
              <w:rPr>
                <w:rFonts w:ascii="Arial" w:cs="Arial" w:eastAsia="Arial" w:hAnsi="Arial"/>
                <w:sz w:val="18"/>
                <w:szCs w:val="18"/>
                <w:color w:val="auto"/>
              </w:rPr>
              <w:t>Research and development expense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677</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945</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7"/>
        </w:trPr>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2,919</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2,182</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13"/>
        </w:trPr>
        <w:tc>
          <w:tcPr>
            <w:tcW w:w="6180" w:type="dxa"/>
            <w:vAlign w:val="bottom"/>
          </w:tcPr>
          <w:p>
            <w:pPr>
              <w:ind w:left="160"/>
              <w:spacing w:after="0"/>
              <w:rPr>
                <w:sz w:val="20"/>
                <w:szCs w:val="20"/>
                <w:color w:val="auto"/>
              </w:rPr>
            </w:pPr>
            <w:r>
              <w:rPr>
                <w:rFonts w:ascii="Arial" w:cs="Arial" w:eastAsia="Arial" w:hAnsi="Arial"/>
                <w:sz w:val="18"/>
                <w:szCs w:val="18"/>
                <w:color w:val="auto"/>
              </w:rPr>
              <w:t>Restructuring costs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3,601</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3,127</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(5,257)</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(6,493)</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3"/>
        </w:trPr>
        <w:tc>
          <w:tcPr>
            <w:tcW w:w="6180" w:type="dxa"/>
            <w:vAlign w:val="bottom"/>
          </w:tcPr>
          <w:p>
            <w:pPr>
              <w:ind w:left="160"/>
              <w:spacing w:after="0"/>
              <w:rPr>
                <w:sz w:val="20"/>
                <w:szCs w:val="20"/>
                <w:color w:val="auto"/>
              </w:rPr>
            </w:pPr>
            <w:r>
              <w:rPr>
                <w:rFonts w:ascii="Arial" w:cs="Arial" w:eastAsia="Arial" w:hAnsi="Arial"/>
                <w:sz w:val="18"/>
                <w:szCs w:val="18"/>
                <w:color w:val="auto"/>
              </w:rPr>
              <w:t>(Loss) on modification of 2020 Notes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from change in fair value of derivative warrant liability</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9"/>
        </w:trPr>
        <w:tc>
          <w:tcPr>
            <w:tcW w:w="6180" w:type="dxa"/>
            <w:vAlign w:val="bottom"/>
          </w:tcPr>
          <w:p>
            <w:pPr>
              <w:ind w:left="160"/>
              <w:spacing w:after="0" w:line="199" w:lineRule="exact"/>
              <w:rPr>
                <w:sz w:val="20"/>
                <w:szCs w:val="20"/>
                <w:color w:val="auto"/>
              </w:rPr>
            </w:pPr>
            <w:r>
              <w:rPr>
                <w:rFonts w:ascii="Arial" w:cs="Arial" w:eastAsia="Arial" w:hAnsi="Arial"/>
                <w:sz w:val="18"/>
                <w:szCs w:val="18"/>
                <w:color w:val="auto"/>
                <w:w w:val="91"/>
              </w:rPr>
              <w:t>(Loss) gain from change in fair value of 2020/21 Notes and 2020 Notes embedded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180" w:type="dxa"/>
            <w:vAlign w:val="bottom"/>
          </w:tcPr>
          <w:p>
            <w:pPr>
              <w:ind w:left="160"/>
              <w:spacing w:after="0"/>
              <w:rPr>
                <w:sz w:val="20"/>
                <w:szCs w:val="20"/>
                <w:color w:val="auto"/>
              </w:rPr>
            </w:pPr>
            <w:r>
              <w:rPr>
                <w:rFonts w:ascii="Arial" w:cs="Arial" w:eastAsia="Arial" w:hAnsi="Arial"/>
                <w:sz w:val="18"/>
                <w:szCs w:val="18"/>
                <w:color w:val="auto"/>
              </w:rPr>
              <w:t>derivative liability</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(176)</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4"/>
        </w:trPr>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7"/>
        </w:trPr>
        <w:tc>
          <w:tcPr>
            <w:tcW w:w="6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7"/>
        </w:trPr>
        <w:tc>
          <w:tcPr>
            <w:tcW w:w="6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(6,043)</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(7,090)</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60" w:firstLine="480"/>
        <w:spacing w:after="0" w:line="29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from the sale of ethanol, isobutanol and related products for the three months ended June 30, 2020 was $1.0 million, a decrease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$4.1 million compared to the three months ended June 30, 2019. This decrease was primarily the result of terminating ethanol and distiller's grains production at the Luverne Facility in March 2020 as a result of COVID-19 and in response to an unfavorable commodity environment during the three months ended June 30, 2020. During the three months ended June 30, 2020, we sold 0 gallons of ethanol compared to 3.1 million gallons of ethanol sold in the three months ended June 30, 2019. We do not expect to earn revenue while the Luverne Facility's operations are suspended.</w:t>
      </w:r>
    </w:p>
    <w:p>
      <w:pPr>
        <w:spacing w:after="0" w:line="162" w:lineRule="exact"/>
        <w:rPr>
          <w:sz w:val="20"/>
          <w:szCs w:val="20"/>
          <w:color w:val="auto"/>
        </w:rPr>
      </w:pPr>
    </w:p>
    <w:p>
      <w:pPr>
        <w:jc w:val="both"/>
        <w:ind w:right="400" w:firstLine="469"/>
        <w:spacing w:after="0" w:line="258" w:lineRule="auto"/>
        <w:rPr>
          <w:sz w:val="20"/>
          <w:szCs w:val="20"/>
          <w:color w:val="auto"/>
        </w:rPr>
      </w:pPr>
      <w:r>
        <w:rPr>
          <w:rFonts w:ascii="Arial" w:cs="Arial" w:eastAsia="Arial" w:hAnsi="Arial"/>
          <w:sz w:val="18"/>
          <w:szCs w:val="18"/>
          <w:color w:val="auto"/>
        </w:rPr>
        <w:t>Hydrocarbon revenues are comprised of ATJ, isooctane and isooctene sales. Hydrocarbon sales increased by $0.8 million during the three months ended June 30, 2020 as a result of increased shipments of finished products from our demonstration plant located at the South Hampton Resources, Inc. facility near Houston, Texas (the “South Hampton Facility”).</w:t>
      </w:r>
    </w:p>
    <w:p>
      <w:pPr>
        <w:spacing w:after="0" w:line="186" w:lineRule="exact"/>
        <w:rPr>
          <w:sz w:val="20"/>
          <w:szCs w:val="20"/>
          <w:color w:val="auto"/>
        </w:rPr>
      </w:pPr>
    </w:p>
    <w:p>
      <w:pPr>
        <w:jc w:val="both"/>
        <w:ind w:right="260" w:firstLine="469"/>
        <w:spacing w:after="0" w:line="284"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was $2.6 million during the three months ended June 30, 2020, compared with $8.5 million during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2019, a decrease of approximately $5.8 million, primarily the result of terminating ethanol production in March 2020 as a result of COVID-19 and in response to an unfavorable commodity environment. Cost of goods sold included approximately $1.0 million associated with</w:t>
      </w:r>
    </w:p>
    <w:p>
      <w:pPr>
        <w:ind w:right="340"/>
        <w:spacing w:after="0" w:line="255" w:lineRule="auto"/>
        <w:rPr>
          <w:sz w:val="20"/>
          <w:szCs w:val="20"/>
          <w:color w:val="auto"/>
        </w:rPr>
      </w:pPr>
      <w:r>
        <w:rPr>
          <w:rFonts w:ascii="Arial" w:cs="Arial" w:eastAsia="Arial" w:hAnsi="Arial"/>
          <w:sz w:val="18"/>
          <w:szCs w:val="18"/>
          <w:color w:val="auto"/>
        </w:rPr>
        <w:t>the production of isobutanol and related products maintenance of the Luverne Facility and approximately $1.6 million in depreciation expense during the three months ended June 30, 2020.</w:t>
      </w:r>
    </w:p>
    <w:p>
      <w:pPr>
        <w:spacing w:after="0" w:line="188" w:lineRule="exact"/>
        <w:rPr>
          <w:sz w:val="20"/>
          <w:szCs w:val="20"/>
          <w:color w:val="auto"/>
        </w:rPr>
      </w:pPr>
    </w:p>
    <w:p>
      <w:pPr>
        <w:ind w:right="200" w:firstLine="480"/>
        <w:spacing w:after="0" w:line="270" w:lineRule="auto"/>
        <w:rPr>
          <w:sz w:val="20"/>
          <w:szCs w:val="20"/>
          <w:color w:val="auto"/>
        </w:rPr>
      </w:pPr>
      <w:r>
        <w:rPr>
          <w:rFonts w:ascii="Arial" w:cs="Arial" w:eastAsia="Arial" w:hAnsi="Arial"/>
          <w:sz w:val="18"/>
          <w:szCs w:val="18"/>
          <w:color w:val="auto"/>
        </w:rPr>
        <w:t>Until the Luverne Facility restarts production, cost of goods sold will primarily be comprised of costs to process ATJ, isooctane and isooctene at our South Hampton Facility as well as costs to maintain the Luverne Facility.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firstLine="469"/>
        <w:spacing w:after="0" w:line="300"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decreased by approximately $0.3 million during the three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2020, compared with the three months ended June 30, 2019, due primarily to a decrease in personnel and consulting expenses.</w:t>
      </w:r>
    </w:p>
    <w:p>
      <w:pPr>
        <w:spacing w:after="0" w:line="152" w:lineRule="exact"/>
        <w:rPr>
          <w:sz w:val="20"/>
          <w:szCs w:val="20"/>
          <w:color w:val="auto"/>
        </w:rPr>
      </w:pPr>
    </w:p>
    <w:p>
      <w:pPr>
        <w:ind w:right="260" w:firstLine="480"/>
        <w:spacing w:after="0" w:line="258"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increased by approximately $0.7 million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compared with the three months ended June 30, 2019, due primarily to an increase in personnel, consulting and insurance expenses and professional fees.</w:t>
      </w:r>
    </w:p>
    <w:p>
      <w:pPr>
        <w:spacing w:after="0" w:line="186" w:lineRule="exact"/>
        <w:rPr>
          <w:sz w:val="20"/>
          <w:szCs w:val="20"/>
          <w:color w:val="auto"/>
        </w:rPr>
      </w:pPr>
    </w:p>
    <w:p>
      <w:pPr>
        <w:ind w:right="260" w:firstLine="480"/>
        <w:spacing w:after="0" w:line="270"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during the three months ended June 30, 2020 was $0.5 million, a decrease of $0.2 million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due to lower amortization of original issue discounts and debt issuance costs.</w:t>
      </w:r>
    </w:p>
    <w:p>
      <w:pPr>
        <w:spacing w:after="0" w:line="175" w:lineRule="exact"/>
        <w:rPr>
          <w:sz w:val="20"/>
          <w:szCs w:val="20"/>
          <w:color w:val="auto"/>
        </w:rPr>
      </w:pPr>
    </w:p>
    <w:p>
      <w:pPr>
        <w:ind w:right="40" w:firstLine="469"/>
        <w:spacing w:after="0" w:line="270" w:lineRule="auto"/>
        <w:rPr>
          <w:sz w:val="20"/>
          <w:szCs w:val="20"/>
          <w:color w:val="auto"/>
        </w:rPr>
      </w:pPr>
      <w:r>
        <w:rPr>
          <w:rFonts w:ascii="Arial" w:cs="Arial" w:eastAsia="Arial" w:hAnsi="Arial"/>
          <w:sz w:val="18"/>
          <w:szCs w:val="18"/>
          <w:i w:val="1"/>
          <w:iCs w:val="1"/>
          <w:color w:val="auto"/>
        </w:rPr>
        <w:t xml:space="preserve">(Loss) from modification of 2020 Notes. </w:t>
      </w:r>
      <w:r>
        <w:rPr>
          <w:rFonts w:ascii="Arial" w:cs="Arial" w:eastAsia="Arial" w:hAnsi="Arial"/>
          <w:sz w:val="18"/>
          <w:szCs w:val="18"/>
          <w:color w:val="auto"/>
        </w:rPr>
        <w:t>During the three months ended June 30, 2020, we incurred $0.1 million of legal and professional fees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modification of the 2020 Notes into the 2020/21 Notes.</w:t>
      </w:r>
    </w:p>
    <w:p>
      <w:pPr>
        <w:spacing w:after="0" w:line="175" w:lineRule="exact"/>
        <w:rPr>
          <w:sz w:val="20"/>
          <w:szCs w:val="20"/>
          <w:color w:val="auto"/>
        </w:rPr>
      </w:pPr>
    </w:p>
    <w:p>
      <w:pPr>
        <w:ind w:right="60" w:firstLine="469"/>
        <w:spacing w:after="0" w:line="258" w:lineRule="auto"/>
        <w:rPr>
          <w:sz w:val="20"/>
          <w:szCs w:val="20"/>
          <w:color w:val="auto"/>
        </w:rPr>
      </w:pPr>
      <w:r>
        <w:rPr>
          <w:rFonts w:ascii="Arial" w:cs="Arial" w:eastAsia="Arial" w:hAnsi="Arial"/>
          <w:sz w:val="18"/>
          <w:szCs w:val="18"/>
          <w:i w:val="1"/>
          <w:iCs w:val="1"/>
          <w:color w:val="auto"/>
        </w:rPr>
        <w:t xml:space="preserve">(Loss) gain from change in fair value of the 2020/21 Notes and 2020 Notes embedded derivative liability. </w:t>
      </w:r>
      <w:r>
        <w:rPr>
          <w:rFonts w:ascii="Arial" w:cs="Arial" w:eastAsia="Arial" w:hAnsi="Arial"/>
          <w:sz w:val="18"/>
          <w:szCs w:val="18"/>
          <w:color w:val="auto"/>
        </w:rPr>
        <w:t>During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estimated fair value of the 2020/21 Notes embedded derivative liability increased resulting in a non-cash loss of $0.2 million, primarily due to the revaluation of the embedded derivative liability.</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6"/>
        </w:trPr>
        <w:tc>
          <w:tcPr>
            <w:tcW w:w="6320" w:type="dxa"/>
            <w:vAlign w:val="bottom"/>
          </w:tcPr>
          <w:p>
            <w:pPr>
              <w:spacing w:after="0"/>
              <w:rPr>
                <w:sz w:val="20"/>
                <w:szCs w:val="20"/>
                <w:color w:val="auto"/>
              </w:rPr>
            </w:pPr>
            <w:r>
              <w:rPr>
                <w:rFonts w:ascii="Arial" w:cs="Arial" w:eastAsia="Arial" w:hAnsi="Arial"/>
                <w:sz w:val="18"/>
                <w:szCs w:val="18"/>
                <w:b w:val="1"/>
                <w:bCs w:val="1"/>
                <w:i w:val="1"/>
                <w:iCs w:val="1"/>
                <w:color w:val="auto"/>
              </w:rPr>
              <w:t>Comparison of the Six Months Ended June 30, 2020 and 2019</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6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8"/>
              </w:rPr>
              <w:t>Six Months Ended June 30,</w:t>
            </w:r>
          </w:p>
        </w:tc>
        <w:tc>
          <w:tcPr>
            <w:tcW w:w="260" w:type="dxa"/>
            <w:vAlign w:val="bottom"/>
          </w:tcPr>
          <w:p>
            <w:pPr>
              <w:spacing w:after="0"/>
              <w:rPr>
                <w:sz w:val="24"/>
                <w:szCs w:val="24"/>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Ethanol sales and related products, net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3,783</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10,630</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(6,847)</w:t>
            </w: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Hydrocarbon revenue</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7"/>
        </w:trPr>
        <w:tc>
          <w:tcPr>
            <w:tcW w:w="632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4,813</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11,489</w:t>
            </w:r>
          </w:p>
        </w:tc>
        <w:tc>
          <w:tcPr>
            <w:tcW w:w="2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10,783</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17,413</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(6,630)</w:t>
            </w:r>
          </w:p>
        </w:tc>
        <w:tc>
          <w:tcPr>
            <w:tcW w:w="0" w:type="dxa"/>
            <w:vAlign w:val="bottom"/>
          </w:tcPr>
          <w:p>
            <w:pPr>
              <w:spacing w:after="0"/>
              <w:rPr>
                <w:sz w:val="1"/>
                <w:szCs w:val="1"/>
                <w:color w:val="auto"/>
              </w:rPr>
            </w:pPr>
          </w:p>
        </w:tc>
      </w:tr>
      <w:tr>
        <w:trPr>
          <w:trHeight w:val="220"/>
        </w:trPr>
        <w:tc>
          <w:tcPr>
            <w:tcW w:w="63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Gross loss</w:t>
            </w:r>
          </w:p>
        </w:tc>
        <w:tc>
          <w:tcPr>
            <w:tcW w:w="3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(5,970)</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(5,924)</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1,257</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7"/>
        </w:trPr>
        <w:tc>
          <w:tcPr>
            <w:tcW w:w="632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30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5,702</w:t>
            </w:r>
          </w:p>
        </w:tc>
        <w:tc>
          <w:tcPr>
            <w:tcW w:w="3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4,274</w:t>
            </w: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14"/>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costs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7"/>
        </w:trPr>
        <w:tc>
          <w:tcPr>
            <w:tcW w:w="63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20"/>
        </w:trPr>
        <w:tc>
          <w:tcPr>
            <w:tcW w:w="632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(13,233)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(12,121)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07"/>
        </w:trPr>
        <w:tc>
          <w:tcPr>
            <w:tcW w:w="63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(1,086)</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(1,522)</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modification of 2020 Notes</w:t>
            </w:r>
          </w:p>
        </w:tc>
        <w:tc>
          <w:tcPr>
            <w:tcW w:w="3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Gain from change in fair value of derivative warrant liability</w:t>
            </w:r>
          </w:p>
        </w:tc>
        <w:tc>
          <w:tcPr>
            <w:tcW w:w="3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9"/>
        </w:trPr>
        <w:tc>
          <w:tcPr>
            <w:tcW w:w="6320" w:type="dxa"/>
            <w:vAlign w:val="bottom"/>
            <w:shd w:val="clear" w:color="auto" w:fill="CCEEFF"/>
          </w:tcPr>
          <w:p>
            <w:pPr>
              <w:ind w:left="160"/>
              <w:spacing w:after="0" w:line="199" w:lineRule="exact"/>
              <w:rPr>
                <w:sz w:val="20"/>
                <w:szCs w:val="20"/>
                <w:color w:val="auto"/>
              </w:rPr>
            </w:pPr>
            <w:r>
              <w:rPr>
                <w:rFonts w:ascii="Arial" w:cs="Arial" w:eastAsia="Arial" w:hAnsi="Arial"/>
                <w:sz w:val="18"/>
                <w:szCs w:val="18"/>
                <w:color w:val="auto"/>
                <w:w w:val="93"/>
              </w:rPr>
              <w:t>(Loss) gain from change in fair value of 2020/21 Notes and 2020 Notes embedded</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liability</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48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(2,063)</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(1,105)</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(15,296)</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(13,226)</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from the sale of ethanol, isobutanol and related products for the six months ended June 30, 2020 was $4.8 million, a decrease of</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$6.7 million compared to the six months ended June 30, 2019. This decrease was primarily the result of terminating ethanol and distiller's grains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production at the Luverne Facility in March 2020 as a result of COVID-19 and in response to an unfavorable commodity environment during the six months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2020. During the six months ended June 30, 2020, we sold 2.4 million gallons of ethanol compared to 6.8 million gallons of ethanol sold in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six months ended June 30, 2019. We do not expect to earn revenue while the Luverne Facility's operations are suspended.</w:t>
      </w:r>
    </w:p>
    <w:p>
      <w:pPr>
        <w:spacing w:after="0" w:line="207" w:lineRule="exact"/>
        <w:rPr>
          <w:sz w:val="20"/>
          <w:szCs w:val="20"/>
          <w:color w:val="auto"/>
        </w:rPr>
      </w:pPr>
    </w:p>
    <w:p>
      <w:pPr>
        <w:ind w:right="180" w:firstLine="480"/>
        <w:spacing w:after="0" w:line="270" w:lineRule="auto"/>
        <w:rPr>
          <w:sz w:val="20"/>
          <w:szCs w:val="20"/>
          <w:color w:val="auto"/>
        </w:rPr>
      </w:pPr>
      <w:r>
        <w:rPr>
          <w:rFonts w:ascii="Arial" w:cs="Arial" w:eastAsia="Arial" w:hAnsi="Arial"/>
          <w:sz w:val="18"/>
          <w:szCs w:val="18"/>
          <w:color w:val="auto"/>
        </w:rPr>
        <w:t>Hydrocarbon sales increased by $0.2 million during the six months ended June 30, 2020 as a result of increased shipments of finished products from our demonstration plant located at the South Hampton Facility.</w:t>
      </w:r>
    </w:p>
    <w:p>
      <w:pPr>
        <w:spacing w:after="0" w:line="175" w:lineRule="exact"/>
        <w:rPr>
          <w:sz w:val="20"/>
          <w:szCs w:val="20"/>
          <w:color w:val="auto"/>
        </w:rPr>
      </w:pPr>
    </w:p>
    <w:p>
      <w:pPr>
        <w:ind w:right="260" w:firstLine="480"/>
        <w:spacing w:after="0" w:line="253" w:lineRule="auto"/>
        <w:rPr>
          <w:sz w:val="20"/>
          <w:szCs w:val="20"/>
          <w:color w:val="auto"/>
        </w:rPr>
      </w:pPr>
      <w:r>
        <w:rPr>
          <w:rFonts w:ascii="Arial" w:cs="Arial" w:eastAsia="Arial" w:hAnsi="Arial"/>
          <w:sz w:val="18"/>
          <w:szCs w:val="18"/>
          <w:i w:val="1"/>
          <w:iCs w:val="1"/>
          <w:color w:val="auto"/>
        </w:rPr>
        <w:t xml:space="preserve">Cost of goods sold. </w:t>
      </w:r>
      <w:r>
        <w:rPr>
          <w:rFonts w:ascii="Arial" w:cs="Arial" w:eastAsia="Arial" w:hAnsi="Arial"/>
          <w:sz w:val="18"/>
          <w:szCs w:val="18"/>
          <w:color w:val="auto"/>
        </w:rPr>
        <w:t>Cost of goods sold was $10.8 million during the six months ended June 30, 2020, compared with $17.4 million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2019, a decrease of approximately $6.6 million, primarily the result of terminating ethanol production in March 2020 as a result of COVID-19 and in response to an unfavorable commodity environment. Cost of goods sold included approximately $7.6 million associated with the production of ethanol and related products and maintenance of the Luverne Facility and approximately $3.2 million in depreciation expense during the six months ended June 30, 2020.</w:t>
      </w:r>
    </w:p>
    <w:p>
      <w:pPr>
        <w:spacing w:after="0" w:line="190" w:lineRule="exact"/>
        <w:rPr>
          <w:sz w:val="20"/>
          <w:szCs w:val="20"/>
          <w:color w:val="auto"/>
        </w:rPr>
      </w:pPr>
    </w:p>
    <w:p>
      <w:pPr>
        <w:ind w:right="200" w:firstLine="480"/>
        <w:spacing w:after="0" w:line="270" w:lineRule="auto"/>
        <w:rPr>
          <w:sz w:val="20"/>
          <w:szCs w:val="20"/>
          <w:color w:val="auto"/>
        </w:rPr>
      </w:pPr>
      <w:r>
        <w:rPr>
          <w:rFonts w:ascii="Arial" w:cs="Arial" w:eastAsia="Arial" w:hAnsi="Arial"/>
          <w:sz w:val="18"/>
          <w:szCs w:val="18"/>
          <w:color w:val="auto"/>
        </w:rPr>
        <w:t>Until the Luverne Facility restarts production, cost of goods sold will primarily be comprised of costs to process ATJ, isooctane and isooctene at our South Hampton Facility as well as costs to maintain the Luverne Facility.</w:t>
      </w: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3422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40" w:name="page41"/>
    <w:bookmarkEnd w:id="40"/>
    <w:p>
      <w:pPr>
        <w:ind w:right="240" w:firstLine="480"/>
        <w:spacing w:after="0" w:line="300"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decreased by approximately $0.7 million during the six months ended June</w:t>
      </w:r>
      <w:r>
        <w:rPr>
          <w:rFonts w:ascii="Arial" w:cs="Arial" w:eastAsia="Arial" w:hAnsi="Arial"/>
          <w:sz w:val="17"/>
          <w:szCs w:val="17"/>
          <w:i w:val="1"/>
          <w:iCs w:val="1"/>
          <w:color w:val="auto"/>
        </w:rPr>
        <w:t xml:space="preserve"> </w:t>
      </w:r>
      <w:r>
        <w:rPr>
          <w:rFonts w:ascii="Arial" w:cs="Arial" w:eastAsia="Arial" w:hAnsi="Arial"/>
          <w:sz w:val="17"/>
          <w:szCs w:val="17"/>
          <w:color w:val="auto"/>
        </w:rPr>
        <w:t>30, 2020, compared with the six months ended June 30, 2019, due primarily to a decrease in personnel and consulting expenses.</w:t>
      </w:r>
    </w:p>
    <w:p>
      <w:pPr>
        <w:spacing w:after="0" w:line="152" w:lineRule="exact"/>
        <w:rPr>
          <w:sz w:val="20"/>
          <w:szCs w:val="20"/>
          <w:color w:val="auto"/>
        </w:rPr>
      </w:pPr>
    </w:p>
    <w:p>
      <w:pPr>
        <w:jc w:val="both"/>
        <w:ind w:right="500" w:firstLine="480"/>
        <w:spacing w:after="0" w:line="258"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increased by approximately $1.4 million during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compared with the six months ended June 30, 2019, due primarily to an increase in personnel, consulting and insurance expenses and professional fees.</w:t>
      </w:r>
    </w:p>
    <w:p>
      <w:pPr>
        <w:spacing w:after="0" w:line="206" w:lineRule="exact"/>
        <w:rPr>
          <w:sz w:val="20"/>
          <w:szCs w:val="20"/>
          <w:color w:val="auto"/>
        </w:rPr>
      </w:pPr>
    </w:p>
    <w:p>
      <w:pPr>
        <w:ind w:right="80" w:firstLine="480"/>
        <w:spacing w:after="0" w:line="294" w:lineRule="auto"/>
        <w:rPr>
          <w:sz w:val="20"/>
          <w:szCs w:val="20"/>
          <w:color w:val="auto"/>
        </w:rPr>
      </w:pPr>
      <w:r>
        <w:rPr>
          <w:rFonts w:ascii="Arial" w:cs="Arial" w:eastAsia="Arial" w:hAnsi="Arial"/>
          <w:sz w:val="20"/>
          <w:szCs w:val="20"/>
          <w:i w:val="1"/>
          <w:iCs w:val="1"/>
          <w:color w:val="auto"/>
        </w:rPr>
        <w:t xml:space="preserve">Restructuring Costs. </w:t>
      </w:r>
      <w:r>
        <w:rPr>
          <w:rFonts w:ascii="Arial" w:cs="Arial" w:eastAsia="Arial" w:hAnsi="Arial"/>
          <w:sz w:val="20"/>
          <w:szCs w:val="20"/>
          <w:color w:val="auto"/>
        </w:rPr>
        <w:t>During the six months ended June 30, 2020, we incurred $0.3 million of restructuring charges related to</w:t>
      </w:r>
      <w:r>
        <w:rPr>
          <w:rFonts w:ascii="Arial" w:cs="Arial" w:eastAsia="Arial" w:hAnsi="Arial"/>
          <w:sz w:val="20"/>
          <w:szCs w:val="20"/>
          <w:i w:val="1"/>
          <w:iCs w:val="1"/>
          <w:color w:val="auto"/>
        </w:rPr>
        <w:t xml:space="preserve"> </w:t>
      </w:r>
      <w:r>
        <w:rPr>
          <w:rFonts w:ascii="Arial" w:cs="Arial" w:eastAsia="Arial" w:hAnsi="Arial"/>
          <w:sz w:val="20"/>
          <w:szCs w:val="20"/>
          <w:color w:val="auto"/>
        </w:rPr>
        <w:t>the restructuring of Agri-Energy, termination of employees at Agri-Energy and Gevo and renegotiating contracts.</w:t>
      </w:r>
    </w:p>
    <w:p>
      <w:pPr>
        <w:spacing w:after="0" w:line="157" w:lineRule="exact"/>
        <w:rPr>
          <w:sz w:val="20"/>
          <w:szCs w:val="20"/>
          <w:color w:val="auto"/>
        </w:rPr>
      </w:pPr>
    </w:p>
    <w:p>
      <w:pPr>
        <w:jc w:val="both"/>
        <w:ind w:right="380" w:firstLine="480"/>
        <w:spacing w:after="0" w:line="322" w:lineRule="auto"/>
        <w:rPr>
          <w:sz w:val="20"/>
          <w:szCs w:val="20"/>
          <w:color w:val="auto"/>
        </w:rPr>
      </w:pPr>
      <w:r>
        <w:rPr>
          <w:rFonts w:ascii="Arial" w:cs="Arial" w:eastAsia="Arial" w:hAnsi="Arial"/>
          <w:sz w:val="19"/>
          <w:szCs w:val="19"/>
          <w:i w:val="1"/>
          <w:iCs w:val="1"/>
          <w:color w:val="auto"/>
        </w:rPr>
        <w:t>Interest expense</w:t>
      </w:r>
      <w:r>
        <w:rPr>
          <w:rFonts w:ascii="Arial" w:cs="Arial" w:eastAsia="Arial" w:hAnsi="Arial"/>
          <w:sz w:val="19"/>
          <w:szCs w:val="19"/>
          <w:color w:val="auto"/>
        </w:rPr>
        <w:t>. Interest expense during the six months ended June 30, 2020 was $1.1 million, a decrease of $0.4 million</w:t>
      </w:r>
      <w:r>
        <w:rPr>
          <w:rFonts w:ascii="Arial" w:cs="Arial" w:eastAsia="Arial" w:hAnsi="Arial"/>
          <w:sz w:val="19"/>
          <w:szCs w:val="19"/>
          <w:i w:val="1"/>
          <w:iCs w:val="1"/>
          <w:color w:val="auto"/>
        </w:rPr>
        <w:t xml:space="preserve"> </w:t>
      </w:r>
      <w:r>
        <w:rPr>
          <w:rFonts w:ascii="Arial" w:cs="Arial" w:eastAsia="Arial" w:hAnsi="Arial"/>
          <w:sz w:val="19"/>
          <w:szCs w:val="19"/>
          <w:color w:val="auto"/>
        </w:rPr>
        <w:t>compared to the six months ended June 30, 2019, due to lower amortization of original issue discounts and debt issuance costs.</w:t>
      </w:r>
    </w:p>
    <w:p>
      <w:pPr>
        <w:spacing w:after="0" w:line="134" w:lineRule="exact"/>
        <w:rPr>
          <w:sz w:val="20"/>
          <w:szCs w:val="20"/>
          <w:color w:val="auto"/>
        </w:rPr>
      </w:pPr>
    </w:p>
    <w:p>
      <w:pPr>
        <w:ind w:right="300" w:firstLine="480"/>
        <w:spacing w:after="0" w:line="269" w:lineRule="auto"/>
        <w:rPr>
          <w:sz w:val="20"/>
          <w:szCs w:val="20"/>
          <w:color w:val="auto"/>
        </w:rPr>
      </w:pPr>
      <w:r>
        <w:rPr>
          <w:rFonts w:ascii="Arial" w:cs="Arial" w:eastAsia="Arial" w:hAnsi="Arial"/>
          <w:sz w:val="21"/>
          <w:szCs w:val="21"/>
          <w:i w:val="1"/>
          <w:iCs w:val="1"/>
          <w:color w:val="auto"/>
        </w:rPr>
        <w:t xml:space="preserve">(Loss) from modification of 2020 Notes. </w:t>
      </w:r>
      <w:r>
        <w:rPr>
          <w:rFonts w:ascii="Arial" w:cs="Arial" w:eastAsia="Arial" w:hAnsi="Arial"/>
          <w:sz w:val="21"/>
          <w:szCs w:val="21"/>
          <w:color w:val="auto"/>
        </w:rPr>
        <w:t>During the six months ended June 30, 2020, we incurred $0.7 million of legal and</w:t>
      </w:r>
      <w:r>
        <w:rPr>
          <w:rFonts w:ascii="Arial" w:cs="Arial" w:eastAsia="Arial" w:hAnsi="Arial"/>
          <w:sz w:val="21"/>
          <w:szCs w:val="21"/>
          <w:i w:val="1"/>
          <w:iCs w:val="1"/>
          <w:color w:val="auto"/>
        </w:rPr>
        <w:t xml:space="preserve"> </w:t>
      </w:r>
      <w:r>
        <w:rPr>
          <w:rFonts w:ascii="Arial" w:cs="Arial" w:eastAsia="Arial" w:hAnsi="Arial"/>
          <w:sz w:val="21"/>
          <w:szCs w:val="21"/>
          <w:color w:val="auto"/>
        </w:rPr>
        <w:t>professional fees to modify the 2020 Notes into the 2020/21 Notes.</w:t>
      </w:r>
    </w:p>
    <w:p>
      <w:pPr>
        <w:spacing w:after="0" w:line="179" w:lineRule="exact"/>
        <w:rPr>
          <w:sz w:val="20"/>
          <w:szCs w:val="20"/>
          <w:color w:val="auto"/>
        </w:rPr>
      </w:pPr>
    </w:p>
    <w:p>
      <w:pPr>
        <w:ind w:firstLine="480"/>
        <w:spacing w:after="0" w:line="248" w:lineRule="auto"/>
        <w:rPr>
          <w:sz w:val="20"/>
          <w:szCs w:val="20"/>
          <w:color w:val="auto"/>
        </w:rPr>
      </w:pPr>
      <w:r>
        <w:rPr>
          <w:rFonts w:ascii="Arial" w:cs="Arial" w:eastAsia="Arial" w:hAnsi="Arial"/>
          <w:sz w:val="21"/>
          <w:szCs w:val="21"/>
          <w:i w:val="1"/>
          <w:iCs w:val="1"/>
          <w:color w:val="auto"/>
        </w:rPr>
        <w:t xml:space="preserve">(Loss) gain from change in fair value of the 2020/21 Notes and 2020 Notes embedded derivative liability. </w:t>
      </w:r>
      <w:r>
        <w:rPr>
          <w:rFonts w:ascii="Arial" w:cs="Arial" w:eastAsia="Arial" w:hAnsi="Arial"/>
          <w:sz w:val="21"/>
          <w:szCs w:val="21"/>
          <w:color w:val="auto"/>
        </w:rPr>
        <w:t>During the six</w:t>
      </w:r>
      <w:r>
        <w:rPr>
          <w:rFonts w:ascii="Arial" w:cs="Arial" w:eastAsia="Arial" w:hAnsi="Arial"/>
          <w:sz w:val="21"/>
          <w:szCs w:val="21"/>
          <w:i w:val="1"/>
          <w:iCs w:val="1"/>
          <w:color w:val="auto"/>
        </w:rPr>
        <w:t xml:space="preserve"> </w:t>
      </w:r>
      <w:r>
        <w:rPr>
          <w:rFonts w:ascii="Arial" w:cs="Arial" w:eastAsia="Arial" w:hAnsi="Arial"/>
          <w:sz w:val="21"/>
          <w:szCs w:val="21"/>
          <w:color w:val="auto"/>
        </w:rPr>
        <w:t>months ended June 30, 2020, the estimated fair value of the 2020/21 Notes embedded derivative liability increased resulting in a non-cash loss of $0.3 million, primarily due to the revaluation of the embedded derivative liability as a result of the modification of the 2020 Notes.</w:t>
      </w:r>
    </w:p>
    <w:p>
      <w:pPr>
        <w:spacing w:after="0" w:line="200" w:lineRule="exact"/>
        <w:rPr>
          <w:sz w:val="20"/>
          <w:szCs w:val="20"/>
          <w:color w:val="auto"/>
        </w:rPr>
      </w:pPr>
    </w:p>
    <w:p>
      <w:pPr>
        <w:spacing w:after="0" w:line="25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Sources of Our Revenues</w:t>
      </w:r>
    </w:p>
    <w:p>
      <w:pPr>
        <w:spacing w:after="0" w:line="224" w:lineRule="exact"/>
        <w:rPr>
          <w:sz w:val="20"/>
          <w:szCs w:val="20"/>
          <w:color w:val="auto"/>
        </w:rPr>
      </w:pPr>
    </w:p>
    <w:p>
      <w:pPr>
        <w:ind w:right="60" w:firstLine="480"/>
        <w:spacing w:after="0" w:line="255" w:lineRule="auto"/>
        <w:rPr>
          <w:sz w:val="20"/>
          <w:szCs w:val="20"/>
          <w:color w:val="auto"/>
        </w:rPr>
      </w:pPr>
      <w:r>
        <w:rPr>
          <w:rFonts w:ascii="Arial" w:cs="Arial" w:eastAsia="Arial" w:hAnsi="Arial"/>
          <w:sz w:val="18"/>
          <w:szCs w:val="18"/>
          <w:color w:val="auto"/>
        </w:rPr>
        <w:t>Our revenues are primarily derived from: (i) the sale of isobutanol, ethanol and related products; (ii) hydrocarbon sales consisting primarily of the sale of biojet fuel and isooctane derived from our isobutanol for purposes of certification and testing; and (iii) government grants and research and development programs. During the first quarter of 2020, we suspended our ethanol production at the Luverne Facility for the foreseeable future due to the impact of the COVID-19 pandemic on the economy and our industry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Our Cost Structure</w:t>
      </w:r>
    </w:p>
    <w:p>
      <w:pPr>
        <w:spacing w:after="0" w:line="224" w:lineRule="exact"/>
        <w:rPr>
          <w:sz w:val="20"/>
          <w:szCs w:val="20"/>
          <w:color w:val="auto"/>
        </w:rPr>
      </w:pPr>
    </w:p>
    <w:p>
      <w:pPr>
        <w:ind w:right="100" w:firstLine="480"/>
        <w:spacing w:after="0" w:line="274" w:lineRule="auto"/>
        <w:rPr>
          <w:sz w:val="20"/>
          <w:szCs w:val="20"/>
          <w:color w:val="auto"/>
        </w:rPr>
      </w:pPr>
      <w:r>
        <w:rPr>
          <w:rFonts w:ascii="Arial" w:cs="Arial" w:eastAsia="Arial" w:hAnsi="Arial"/>
          <w:sz w:val="17"/>
          <w:szCs w:val="17"/>
          <w:b w:val="1"/>
          <w:bCs w:val="1"/>
          <w:i w:val="1"/>
          <w:iCs w:val="1"/>
          <w:color w:val="auto"/>
        </w:rPr>
        <w:t xml:space="preserve">Cost of Goods Sold. </w:t>
      </w:r>
      <w:r>
        <w:rPr>
          <w:rFonts w:ascii="Arial" w:cs="Arial" w:eastAsia="Arial" w:hAnsi="Arial"/>
          <w:sz w:val="17"/>
          <w:szCs w:val="17"/>
          <w:color w:val="auto"/>
        </w:rPr>
        <w:t>Our cost of goods sold consists primarily of costs directly associated with ethanol production and initial operations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isobutanol at the Luverne Facility such as costs for direct materials, direct labor, depreciation, other operating costs and certain plant overhead costs. Direct materials include corn feedstock, denaturant and process chemicals. Direct labor includes compensation of personnel directly involved in production operations at the Luverne Facility. Other operating costs include utilities and natural gas usage.</w:t>
      </w:r>
    </w:p>
    <w:p>
      <w:pPr>
        <w:spacing w:after="0" w:line="175" w:lineRule="exact"/>
        <w:rPr>
          <w:sz w:val="20"/>
          <w:szCs w:val="20"/>
          <w:color w:val="auto"/>
        </w:rPr>
      </w:pPr>
    </w:p>
    <w:p>
      <w:pPr>
        <w:ind w:right="140" w:firstLine="480"/>
        <w:spacing w:after="0" w:line="271"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Our research and development costs consist of expenses incurred to identify, develop and test our technologies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production of isobutanol and the development of downstream applications thereof. Research and development expenses include personnel costs (including stock-based compensation), consultants and related contract research, facility costs, supplies, depreciation and amortization expense on property, plant and equipment used in product development, license fees paid to third parties for use of their intellectual property and patent rights and other overhead expenses incurred to support our research and development programs.</w:t>
      </w:r>
    </w:p>
    <w:p>
      <w:pPr>
        <w:spacing w:after="0" w:line="177" w:lineRule="exact"/>
        <w:rPr>
          <w:sz w:val="20"/>
          <w:szCs w:val="20"/>
          <w:color w:val="auto"/>
        </w:rPr>
      </w:pPr>
    </w:p>
    <w:p>
      <w:pPr>
        <w:ind w:right="200" w:firstLine="480"/>
        <w:spacing w:after="0" w:line="255"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Selling, general and administrative expenses consist of personnel costs (including stock-based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consulting and service provider expenses (including patent counsel-related costs), legal fees, marketing costs, insurance costs, occupancy-related costs, depreciation and amortization expenses on property, plant and equipment not used in our product development programs or recorded in cost of goods sold, travel and relocation expenses and hiring expenses.</w:t>
      </w:r>
    </w:p>
    <w:p>
      <w:pPr>
        <w:spacing w:after="0" w:line="188" w:lineRule="exact"/>
        <w:rPr>
          <w:sz w:val="20"/>
          <w:szCs w:val="20"/>
          <w:color w:val="auto"/>
        </w:rPr>
      </w:pPr>
    </w:p>
    <w:p>
      <w:pPr>
        <w:ind w:right="560" w:firstLine="480"/>
        <w:spacing w:after="0" w:line="300"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Our 2020/21 Notes have, and the 2020 Notes had, a fixed interest rate of 12%. As of June 30, 2020, the 2020/21 Notes had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principal balance of $14.5 million. As of December 31, 2019, the 2020 Notes had a principal balance of $14.1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4" w:lineRule="exact"/>
        <w:rPr>
          <w:sz w:val="20"/>
          <w:szCs w:val="20"/>
          <w:color w:val="auto"/>
        </w:rPr>
      </w:pPr>
    </w:p>
    <w:p>
      <w:pPr>
        <w:ind w:right="240" w:firstLine="480"/>
        <w:spacing w:after="0" w:line="296" w:lineRule="auto"/>
        <w:rPr>
          <w:sz w:val="20"/>
          <w:szCs w:val="20"/>
          <w:color w:val="auto"/>
        </w:rPr>
      </w:pPr>
      <w:r>
        <w:rPr>
          <w:rFonts w:ascii="Arial" w:cs="Arial" w:eastAsia="Arial" w:hAnsi="Arial"/>
          <w:sz w:val="16"/>
          <w:szCs w:val="16"/>
          <w:color w:val="auto"/>
        </w:rPr>
        <w:t>Since our inception in 2005, we have devoted most of our cash resources to manufacturing ethanol, isobutanol and related products, research and development and selling, general and administrative activities related to the commercialization of ethanol, isobutanol, as well as related products from renewable feedstocks. We have incurred losses since inception and expect to incur losses through at least 2020. We have financed our operations primarily with proceeds from multiple sales of equity and debt securities, borrowings under debt facilities and product sales.</w:t>
      </w:r>
    </w:p>
    <w:p>
      <w:pPr>
        <w:spacing w:after="0" w:line="160" w:lineRule="exact"/>
        <w:rPr>
          <w:sz w:val="20"/>
          <w:szCs w:val="20"/>
          <w:color w:val="auto"/>
        </w:rPr>
      </w:pPr>
    </w:p>
    <w:p>
      <w:pPr>
        <w:ind w:firstLine="480"/>
        <w:spacing w:after="0" w:line="271"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facility,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7" w:lineRule="exact"/>
        <w:rPr>
          <w:sz w:val="20"/>
          <w:szCs w:val="20"/>
          <w:color w:val="auto"/>
        </w:rPr>
      </w:pPr>
    </w:p>
    <w:p>
      <w:pPr>
        <w:ind w:right="100" w:firstLine="480"/>
        <w:spacing w:after="0" w:line="296" w:lineRule="auto"/>
        <w:rPr>
          <w:sz w:val="20"/>
          <w:szCs w:val="20"/>
          <w:color w:val="auto"/>
        </w:rPr>
      </w:pPr>
      <w:r>
        <w:rPr>
          <w:rFonts w:ascii="Arial" w:cs="Arial" w:eastAsia="Arial" w:hAnsi="Arial"/>
          <w:sz w:val="16"/>
          <w:szCs w:val="16"/>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140" w:firstLine="480"/>
        <w:spacing w:after="0" w:line="268" w:lineRule="auto"/>
        <w:rPr>
          <w:sz w:val="20"/>
          <w:szCs w:val="20"/>
          <w:color w:val="auto"/>
        </w:rPr>
      </w:pPr>
      <w:r>
        <w:rPr>
          <w:rFonts w:ascii="Arial" w:cs="Arial" w:eastAsia="Arial" w:hAnsi="Arial"/>
          <w:sz w:val="17"/>
          <w:szCs w:val="17"/>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expansion of the Luverne Facility or a Retrofit facility at another suitable location.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may seek to restructure our debt and we will continue to address our cost structure. Notwithstanding, there can be no assurance that we will be able to raise additional funds or achieve or sustain profitability or positive cash flows from operations.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June 30, 2020, we had an accumulated deficit of $473.3 million with cash and cash equivalents totaling $6.3 million.</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08"/>
        </w:trPr>
        <w:tc>
          <w:tcPr>
            <w:tcW w:w="80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7"/>
        </w:trPr>
        <w:tc>
          <w:tcPr>
            <w:tcW w:w="8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(10,805)</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(9,653)</w:t>
            </w:r>
          </w:p>
        </w:tc>
      </w:tr>
      <w:tr>
        <w:trPr>
          <w:trHeight w:val="21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(1,620)</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(4,556)</w:t>
            </w:r>
          </w:p>
        </w:tc>
      </w:tr>
      <w:tr>
        <w:trPr>
          <w:trHeight w:val="226"/>
        </w:trPr>
        <w:tc>
          <w:tcPr>
            <w:tcW w:w="80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2,460</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9,630</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0" w:lineRule="exact"/>
        <w:rPr>
          <w:sz w:val="20"/>
          <w:szCs w:val="20"/>
          <w:color w:val="auto"/>
        </w:rPr>
      </w:pPr>
    </w:p>
    <w:p>
      <w:pPr>
        <w:ind w:right="40" w:firstLine="480"/>
        <w:spacing w:after="0" w:line="258" w:lineRule="auto"/>
        <w:rPr>
          <w:sz w:val="20"/>
          <w:szCs w:val="20"/>
          <w:color w:val="auto"/>
        </w:rPr>
      </w:pPr>
      <w:r>
        <w:rPr>
          <w:rFonts w:ascii="Arial" w:cs="Arial" w:eastAsia="Arial" w:hAnsi="Arial"/>
          <w:sz w:val="18"/>
          <w:szCs w:val="18"/>
          <w:color w:val="auto"/>
        </w:rPr>
        <w:t>Our primary uses of cash from operating activities are personnel related expenses, research and development related expenses including costs incurred under development agreements, costs of licensing of technology, legal-related costs, expenses for maintenance of the Luverne Facility and for the operation of our South Hampton Facility.</w:t>
      </w:r>
    </w:p>
    <w:p>
      <w:pPr>
        <w:spacing w:after="0" w:line="186" w:lineRule="exact"/>
        <w:rPr>
          <w:sz w:val="20"/>
          <w:szCs w:val="20"/>
          <w:color w:val="auto"/>
        </w:rPr>
      </w:pPr>
    </w:p>
    <w:p>
      <w:pPr>
        <w:ind w:firstLine="480"/>
        <w:spacing w:after="0" w:line="300" w:lineRule="auto"/>
        <w:rPr>
          <w:sz w:val="20"/>
          <w:szCs w:val="20"/>
          <w:color w:val="auto"/>
        </w:rPr>
      </w:pPr>
      <w:r>
        <w:rPr>
          <w:rFonts w:ascii="Arial" w:cs="Arial" w:eastAsia="Arial" w:hAnsi="Arial"/>
          <w:sz w:val="17"/>
          <w:szCs w:val="17"/>
          <w:color w:val="auto"/>
        </w:rPr>
        <w:t>During the six months ended June 30, 2020, net cash used for operating activities was $10.8 million compared to $9.7 million for the six months ended June 30, 2019. The $1.1 million decrease in operating cash flows was primarily due to reduced production at the Luverne Facility.</w:t>
      </w:r>
    </w:p>
    <w:p>
      <w:pPr>
        <w:spacing w:after="0" w:line="152" w:lineRule="exact"/>
        <w:rPr>
          <w:sz w:val="20"/>
          <w:szCs w:val="20"/>
          <w:color w:val="auto"/>
        </w:rPr>
      </w:pPr>
    </w:p>
    <w:p>
      <w:pPr>
        <w:ind w:right="200" w:firstLine="480"/>
        <w:spacing w:after="0" w:line="306" w:lineRule="auto"/>
        <w:rPr>
          <w:sz w:val="20"/>
          <w:szCs w:val="20"/>
          <w:color w:val="auto"/>
        </w:rPr>
      </w:pPr>
      <w:r>
        <w:rPr>
          <w:rFonts w:ascii="Arial" w:cs="Arial" w:eastAsia="Arial" w:hAnsi="Arial"/>
          <w:sz w:val="16"/>
          <w:szCs w:val="16"/>
          <w:color w:val="auto"/>
        </w:rPr>
        <w:t>During the first quarter of 2020, we suspended for the foreseeable future our ethanol production at the Luverne Facility due to COVID-19 and an unfavorable commodity environment, largely the result of greater corn costs as compared to national markets than the region has historically produced. We are currently maintaining the Luverne Facility until we arrange financing of its expansion for the production of hydrocarbons.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0" w:lineRule="exact"/>
        <w:rPr>
          <w:sz w:val="20"/>
          <w:szCs w:val="20"/>
          <w:color w:val="auto"/>
        </w:rPr>
      </w:pPr>
    </w:p>
    <w:p>
      <w:pPr>
        <w:ind w:right="100" w:firstLine="480"/>
        <w:spacing w:after="0" w:line="296" w:lineRule="auto"/>
        <w:rPr>
          <w:sz w:val="20"/>
          <w:szCs w:val="20"/>
          <w:color w:val="auto"/>
        </w:rPr>
      </w:pPr>
      <w:r>
        <w:rPr>
          <w:rFonts w:ascii="Arial" w:cs="Arial" w:eastAsia="Arial" w:hAnsi="Arial"/>
          <w:sz w:val="16"/>
          <w:szCs w:val="16"/>
          <w:color w:val="auto"/>
        </w:rPr>
        <w:t>During the six months ended June 30, 2020, we used $1.6 million in cash for investing activities, substantially all of which related to capital expenditures at our Luverne Facility. We are installing equipment to fractionate and dry distillers grains at the Luverne Facility totaling approximately $3.0 million as of June 30, 2020. The cost of the fractionation machine and the thermal dryer have been funded with financing leases. No amounts are payable on these financing leases until the equipment is operational. The fractionation machine is expected to be operational in the first half of 2023.</w:t>
      </w:r>
    </w:p>
    <w:p>
      <w:pPr>
        <w:spacing w:after="0" w:line="160" w:lineRule="exact"/>
        <w:rPr>
          <w:sz w:val="20"/>
          <w:szCs w:val="20"/>
          <w:color w:val="auto"/>
        </w:rPr>
      </w:pPr>
    </w:p>
    <w:p>
      <w:pPr>
        <w:jc w:val="both"/>
        <w:ind w:right="120" w:firstLine="480"/>
        <w:spacing w:after="0" w:line="292" w:lineRule="auto"/>
        <w:rPr>
          <w:sz w:val="20"/>
          <w:szCs w:val="20"/>
          <w:color w:val="auto"/>
        </w:rPr>
      </w:pPr>
      <w:r>
        <w:rPr>
          <w:rFonts w:ascii="Arial" w:cs="Arial" w:eastAsia="Arial" w:hAnsi="Arial"/>
          <w:sz w:val="16"/>
          <w:szCs w:val="16"/>
          <w:color w:val="auto"/>
        </w:rPr>
        <w:t>We are developing a renewable natural gas "RNG" project comprised of anaerobic digesters to be located at three dairy farms in northwest Iowa, plus associated gas upgrading equipment, to supply our Luverne Facility with renewable thermal energy upon its startup in 2023. We expect to finance the RNG project, including finance-related costs and initial working capital, with approximately $57 million of combined project finance debt and third-party equity. Agri-Energy is expected to have a purchase option on approximately 50% of the RNG project’s estimated annual 350,000 MMBtu of RNG production. The RNG project is expected to be operational in late 2021 or early 2022, subject to securing adequate financing to complete the RNG project.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0" w:lineRule="exact"/>
        <w:rPr>
          <w:sz w:val="20"/>
          <w:szCs w:val="20"/>
          <w:color w:val="auto"/>
        </w:rPr>
      </w:pPr>
    </w:p>
    <w:p>
      <w:pPr>
        <w:jc w:val="both"/>
        <w:ind w:left="20" w:right="120" w:firstLine="480"/>
        <w:spacing w:after="0" w:line="258" w:lineRule="auto"/>
        <w:rPr>
          <w:sz w:val="20"/>
          <w:szCs w:val="20"/>
          <w:color w:val="auto"/>
        </w:rPr>
      </w:pPr>
      <w:r>
        <w:rPr>
          <w:rFonts w:ascii="Arial" w:cs="Arial" w:eastAsia="Arial" w:hAnsi="Arial"/>
          <w:sz w:val="18"/>
          <w:szCs w:val="18"/>
          <w:color w:val="auto"/>
        </w:rPr>
        <w:t>During the six months ended June 30, 2020, we generated $2.5 million in cash from financing activities, which primarily consisted of $2.2 million of net proceeds under our "at-the-market" offering program and receiving $1.0 million from the Small Business Administration's Paycheck Protection Program (“SBA PPP”) discussed below, offset by $0.4 million paid on loans payable - other.</w:t>
      </w:r>
    </w:p>
    <w:p>
      <w:pPr>
        <w:spacing w:after="0" w:line="186" w:lineRule="exact"/>
        <w:rPr>
          <w:sz w:val="20"/>
          <w:szCs w:val="20"/>
          <w:color w:val="auto"/>
        </w:rPr>
      </w:pPr>
    </w:p>
    <w:p>
      <w:pPr>
        <w:jc w:val="both"/>
        <w:ind w:right="240" w:firstLine="320"/>
        <w:spacing w:after="0" w:line="258"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February 2018, we commenced an at-the-market offering program, which allows us to sell and issue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from time-to-time. In August 2019, the at-the-market offering program was amended to provide available capacity under the at-the-market offering program of $10.7 million.</w:t>
      </w:r>
    </w:p>
    <w:p>
      <w:pPr>
        <w:spacing w:after="0" w:line="186" w:lineRule="exact"/>
        <w:rPr>
          <w:sz w:val="20"/>
          <w:szCs w:val="20"/>
          <w:color w:val="auto"/>
        </w:rPr>
      </w:pPr>
    </w:p>
    <w:p>
      <w:pPr>
        <w:ind w:left="20" w:right="180" w:firstLine="480"/>
        <w:spacing w:after="0" w:line="258" w:lineRule="auto"/>
        <w:rPr>
          <w:sz w:val="20"/>
          <w:szCs w:val="20"/>
          <w:color w:val="auto"/>
        </w:rPr>
      </w:pPr>
      <w:r>
        <w:rPr>
          <w:rFonts w:ascii="Arial" w:cs="Arial" w:eastAsia="Arial" w:hAnsi="Arial"/>
          <w:sz w:val="18"/>
          <w:szCs w:val="18"/>
          <w:color w:val="auto"/>
        </w:rPr>
        <w:t>During the six months ended June 30, 2020, we issued 1,343,121 shares of common stock under the at-the-market offering program for net proceeds of $2.2 million, net of commissions and offering related expenses. As of June 30, 2020, we had remaining capacity to issue up to $6.5 million of common stock under the at-the-market offering program.</w:t>
      </w:r>
    </w:p>
    <w:p>
      <w:pPr>
        <w:spacing w:after="0" w:line="186" w:lineRule="exact"/>
        <w:rPr>
          <w:sz w:val="20"/>
          <w:szCs w:val="20"/>
          <w:color w:val="auto"/>
        </w:rPr>
      </w:pPr>
    </w:p>
    <w:p>
      <w:pPr>
        <w:ind w:left="20" w:right="80" w:firstLine="480"/>
        <w:spacing w:after="0" w:line="306" w:lineRule="auto"/>
        <w:rPr>
          <w:sz w:val="20"/>
          <w:szCs w:val="20"/>
          <w:color w:val="auto"/>
        </w:rPr>
      </w:pPr>
      <w:r>
        <w:rPr>
          <w:rFonts w:ascii="Arial" w:cs="Arial" w:eastAsia="Arial" w:hAnsi="Arial"/>
          <w:sz w:val="16"/>
          <w:szCs w:val="16"/>
          <w:color w:val="auto"/>
        </w:rPr>
        <w:t>Pursuant to Instruction I.B.6. to Form S-3, because our market capitalization was below $75 million as of the date of our Annual Report, we may only sell securities via Form S-3 if the aggregate market value of the securities sold by or on behalf of us during the 12-month period immediately prior to and including the date of the sale is no more than one-third of all common voting and nonvoting equity held by non-affiliates of us.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2020 Offering</w:t>
      </w:r>
    </w:p>
    <w:p>
      <w:pPr>
        <w:spacing w:after="0" w:line="220" w:lineRule="exact"/>
        <w:rPr>
          <w:sz w:val="20"/>
          <w:szCs w:val="20"/>
          <w:color w:val="auto"/>
        </w:rPr>
      </w:pPr>
    </w:p>
    <w:p>
      <w:pPr>
        <w:ind w:left="20" w:right="60" w:firstLine="480"/>
        <w:spacing w:after="0" w:line="258" w:lineRule="auto"/>
        <w:rPr>
          <w:sz w:val="20"/>
          <w:szCs w:val="20"/>
          <w:color w:val="auto"/>
        </w:rPr>
      </w:pPr>
      <w:r>
        <w:rPr>
          <w:rFonts w:ascii="Arial" w:cs="Arial" w:eastAsia="Arial" w:hAnsi="Arial"/>
          <w:sz w:val="18"/>
          <w:szCs w:val="18"/>
          <w:color w:val="auto"/>
        </w:rPr>
        <w:t>On July 6, 2020, we completed a public offering (the “Offering”) of (i) 20,896,666 Series 1 units (the “Series 1 Units”) at a price of $0.60 per Series 1 Unit, and (ii) 9,103,334 Series 2 units (the “Series 2 Units”) at a price of $0.59 per Series 2 Unit. The Offering was made under a registration statement on Form S-1 filed with the Securities and Exchange Commission, declared effective on June 30, 2020.</w:t>
      </w:r>
    </w:p>
    <w:p>
      <w:pPr>
        <w:spacing w:after="0" w:line="186" w:lineRule="exact"/>
        <w:rPr>
          <w:sz w:val="20"/>
          <w:szCs w:val="20"/>
          <w:color w:val="auto"/>
        </w:rPr>
      </w:pPr>
    </w:p>
    <w:p>
      <w:pPr>
        <w:ind w:left="20" w:right="40" w:firstLine="480"/>
        <w:spacing w:after="0" w:line="268" w:lineRule="auto"/>
        <w:rPr>
          <w:sz w:val="20"/>
          <w:szCs w:val="20"/>
          <w:color w:val="auto"/>
        </w:rPr>
      </w:pPr>
      <w:r>
        <w:rPr>
          <w:rFonts w:ascii="Arial" w:cs="Arial" w:eastAsia="Arial" w:hAnsi="Arial"/>
          <w:sz w:val="17"/>
          <w:szCs w:val="17"/>
          <w:color w:val="auto"/>
        </w:rPr>
        <w:t>Each Series 1 Unit consists of one share of the Company’s common stock and one Series 2020-A warrant to purchase one share of the Company’s commons stock (each, a “Series 2020-A Warrant”). Each Series 2 Unit consists of a pre-funded Series 2020-B warrant to purchase one share of the Company’s common stock (each, a “Series 2020-B Warrant” and, together with the Series 2020-A Warrants, the “Warrants”) and one Series 2020-A Warrant. The Series 2020-A Warrants are exercisable beginning on the date of original issuance and will expire five years from the date of issuance, at an exercise price of $0.60 per share. The pre-funded Series 2020-B Warrants are exercisable beginning on the date of issuance at a nominal exercise price of $0.01 per share of common stock any time until the Series 2020-B Warrants are exercised in full. In connection with the Offering, we issued Series 2020-A Warrants to purchase an aggregate of 30,000,000 shares of common stock.</w:t>
      </w:r>
    </w:p>
    <w:p>
      <w:pPr>
        <w:spacing w:after="0" w:line="180" w:lineRule="exact"/>
        <w:rPr>
          <w:sz w:val="20"/>
          <w:szCs w:val="20"/>
          <w:color w:val="auto"/>
        </w:rPr>
      </w:pPr>
    </w:p>
    <w:p>
      <w:pPr>
        <w:ind w:left="20" w:right="80" w:firstLine="480"/>
        <w:spacing w:after="0" w:line="258" w:lineRule="auto"/>
        <w:rPr>
          <w:sz w:val="20"/>
          <w:szCs w:val="20"/>
          <w:color w:val="auto"/>
        </w:rPr>
      </w:pPr>
      <w:r>
        <w:rPr>
          <w:rFonts w:ascii="Arial" w:cs="Arial" w:eastAsia="Arial" w:hAnsi="Arial"/>
          <w:sz w:val="18"/>
          <w:szCs w:val="18"/>
          <w:color w:val="auto"/>
        </w:rPr>
        <w:t>The net proceeds from the Offering were approximately $16.2 million, after deducting placement agent fees and other estimated offering expenses payable by us, and not including any future proceeds from the exercise of the Warrants. We intend to use the net proceeds from the Offering to fund working capital and for other general corporate purposes.</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2020/21 Notes</w:t>
      </w:r>
    </w:p>
    <w:p>
      <w:pPr>
        <w:spacing w:after="0" w:line="220" w:lineRule="exact"/>
        <w:rPr>
          <w:sz w:val="20"/>
          <w:szCs w:val="20"/>
          <w:color w:val="auto"/>
        </w:rPr>
      </w:pPr>
    </w:p>
    <w:p>
      <w:pPr>
        <w:ind w:left="20" w:firstLine="480"/>
        <w:spacing w:after="0" w:line="282" w:lineRule="auto"/>
        <w:rPr>
          <w:sz w:val="20"/>
          <w:szCs w:val="20"/>
          <w:color w:val="auto"/>
        </w:rPr>
      </w:pPr>
      <w:r>
        <w:rPr>
          <w:rFonts w:ascii="Arial" w:cs="Arial" w:eastAsia="Arial" w:hAnsi="Arial"/>
          <w:sz w:val="16"/>
          <w:szCs w:val="16"/>
          <w:color w:val="auto"/>
        </w:rPr>
        <w:t>On January 10, 2020, the Company entered into an Exchange and Purchase Agreement (as amended, the “2020/21 Purchase Agreement”) with the guarantors party thereto (the "Guarantors"), the holder of the 2020 Notes and Whitebox Advisors LLC ("Whitebox"), in its capacity as representative of the holder. Pursuant to the terms of the 2020/21 Purchase Agreement, the holder of the 2020 Notes, subject to certain conditions, agreed to exchange all of the outstanding principal amount of the 2020 Notes, which was approximately $14.1 million including unpaid accrued interest, for approximately $14.4 million in aggregate principal amount of the Company's newly created 2020/21 Notes (the “2020/21 Exchange”). Pursuant to the 2020/21 Purchase Agreement, the Company also granted an option to purchase up to an additional aggregate principal amount of approximately $7.1 million of 2020/21 Notes (the “2020/21 Option Notes”), at a purchase price equal to the aggregate principal amount of such 2020/21 Option Notes purchased less an original issue discount of 2.0%, having identical terms (other than with respect to the issue date and restrictions on transfer relating to compliance with applicable securities law) to the 2020/21 Notes issued, at any time during the period beginning on the date of closing of the 2020/21 Exchange and ending on the later of (a) 180 days thereafter, and (b) 30 days following June 3, 2020. In addition, on January 10, 2020, the Company completed the 2020/21 Exchange and cancelled the 2020 Notes. In addition, the Company entered into an Indenture by and among the Company, the guarantors named therein (the “2020/21 Notes Guarantors”) and FSB, as trustee and as collateral trustee (the “Original Indenture”), as supplemented by that certain First Supplemental Indenture, dated as of April 7, 2020 (the “First Supplemental Indenture” and, together with the Original Indenture, the “2020/21 Notes Indenture”), pursuant to which the Company issued the 2020/21 Notes. During the six months ended June 30, 2020, the Company recognized an approximately $0.7 million loss on the 2020/21 Exchange within the Consolidated Statements of Operations.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81280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4" w:name="page45"/>
    <w:bookmarkEnd w:id="44"/>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left="20" w:firstLine="480"/>
        <w:spacing w:after="0" w:line="289" w:lineRule="auto"/>
        <w:rPr>
          <w:sz w:val="20"/>
          <w:szCs w:val="20"/>
          <w:color w:val="auto"/>
        </w:rPr>
      </w:pPr>
      <w:r>
        <w:rPr>
          <w:rFonts w:ascii="Arial" w:cs="Arial" w:eastAsia="Arial" w:hAnsi="Arial"/>
          <w:sz w:val="16"/>
          <w:szCs w:val="16"/>
          <w:color w:val="auto"/>
        </w:rPr>
        <w:t>The 2020/21 Notes will mature on December 31, 2020, provided that the maturity date will automatically be extended to April 1, 2021 if the aggregate outstanding principal balance of the 2020/21 Notes (including any 2020/21 Option Notes) as of December 15, 2020 is less than $7 million. The 2020/21 Notes bear interest at a rate equal to 12% per annum (with 4% potentially payable as PIK Interest (as defined below) at our option), payable on March 31, June 30, September 30, and December 31 of each year. Under certain circumstances, we have the option to pay a portion of the interest due on the 2020/21 Notes by either (a) increasing the principal amount of the 2020/21 Notes by the amount of interest then due or (b) issuing additional 2020 Notes with a principal amount equal to the amount of interest then due (interest paid in the manner set forth in (a) or (b) being referred to as “PIK Interest”).</w:t>
      </w:r>
    </w:p>
    <w:p>
      <w:pPr>
        <w:spacing w:after="0" w:line="165" w:lineRule="exact"/>
        <w:rPr>
          <w:sz w:val="20"/>
          <w:szCs w:val="20"/>
          <w:color w:val="auto"/>
        </w:rPr>
      </w:pPr>
    </w:p>
    <w:p>
      <w:pPr>
        <w:ind w:right="600" w:firstLine="480"/>
        <w:spacing w:after="0" w:line="333" w:lineRule="auto"/>
        <w:rPr>
          <w:sz w:val="20"/>
          <w:szCs w:val="20"/>
          <w:color w:val="auto"/>
        </w:rPr>
      </w:pPr>
      <w:r>
        <w:rPr>
          <w:rFonts w:ascii="Arial" w:cs="Arial" w:eastAsia="Arial" w:hAnsi="Arial"/>
          <w:sz w:val="16"/>
          <w:szCs w:val="16"/>
          <w:color w:val="auto"/>
        </w:rPr>
        <w:t>The 2020/21 Notes are convertible into shares of our common stock, subject to certain terms and conditions. The initial conversion price of the 2020/21 Notes is equal to $2.442 per share of common stock, or 0.4095 shares of common stock per $1 principal amount of 2020 Notes.</w:t>
      </w:r>
    </w:p>
    <w:p>
      <w:pPr>
        <w:spacing w:after="0" w:line="130" w:lineRule="exact"/>
        <w:rPr>
          <w:sz w:val="20"/>
          <w:szCs w:val="20"/>
          <w:color w:val="auto"/>
        </w:rPr>
      </w:pPr>
    </w:p>
    <w:p>
      <w:pPr>
        <w:ind w:right="120" w:firstLine="480"/>
        <w:spacing w:after="0" w:line="281" w:lineRule="auto"/>
        <w:rPr>
          <w:sz w:val="20"/>
          <w:szCs w:val="20"/>
          <w:color w:val="auto"/>
        </w:rPr>
      </w:pPr>
      <w:r>
        <w:rPr>
          <w:rFonts w:ascii="Arial" w:cs="Arial" w:eastAsia="Arial" w:hAnsi="Arial"/>
          <w:sz w:val="17"/>
          <w:szCs w:val="17"/>
          <w:color w:val="auto"/>
        </w:rPr>
        <w:t>On July 10, 2020, certain holders of the 2020/21 Notes converted $2 million in the aggregate principal amount of 2020/21 Notes (including the conversion of an additional $0.3 million for make-whole payment) into 4,169,428 shares of common stock pursuant to the terms of the indenture. There was $12.5 million principal outstanding for the 2020/21 Notes upon completion of the conversion of the 2020/21 Notes.</w:t>
      </w:r>
    </w:p>
    <w:p>
      <w:pPr>
        <w:spacing w:after="0" w:line="160" w:lineRule="exact"/>
        <w:rPr>
          <w:sz w:val="20"/>
          <w:szCs w:val="20"/>
          <w:color w:val="auto"/>
        </w:rPr>
      </w:pPr>
    </w:p>
    <w:p>
      <w:pPr>
        <w:ind w:left="500"/>
        <w:spacing w:after="0"/>
        <w:rPr>
          <w:sz w:val="20"/>
          <w:szCs w:val="20"/>
          <w:color w:val="auto"/>
        </w:rPr>
      </w:pPr>
      <w:r>
        <w:rPr>
          <w:rFonts w:ascii="Arial" w:cs="Arial" w:eastAsia="Arial" w:hAnsi="Arial"/>
          <w:sz w:val="20"/>
          <w:szCs w:val="20"/>
          <w:color w:val="auto"/>
        </w:rPr>
        <w:t xml:space="preserve">See Note 9, </w:t>
      </w:r>
      <w:r>
        <w:rPr>
          <w:rFonts w:ascii="Arial" w:cs="Arial" w:eastAsia="Arial" w:hAnsi="Arial"/>
          <w:sz w:val="20"/>
          <w:szCs w:val="20"/>
          <w:i w:val="1"/>
          <w:iCs w:val="1"/>
          <w:color w:val="auto"/>
        </w:rPr>
        <w:t>Debt</w:t>
      </w:r>
      <w:r>
        <w:rPr>
          <w:rFonts w:ascii="Arial" w:cs="Arial" w:eastAsia="Arial" w:hAnsi="Arial"/>
          <w:sz w:val="20"/>
          <w:szCs w:val="20"/>
          <w:color w:val="auto"/>
        </w:rPr>
        <w:t>, to our consolidated financial statements included herein for further discussion of the 2020/21 Notes.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Loans Payable - Other</w:t>
      </w:r>
    </w:p>
    <w:p>
      <w:pPr>
        <w:spacing w:after="0" w:line="220" w:lineRule="exact"/>
        <w:rPr>
          <w:sz w:val="20"/>
          <w:szCs w:val="20"/>
          <w:color w:val="auto"/>
        </w:rPr>
      </w:pPr>
    </w:p>
    <w:p>
      <w:pPr>
        <w:ind w:left="20" w:firstLine="480"/>
        <w:spacing w:after="0" w:line="258" w:lineRule="auto"/>
        <w:rPr>
          <w:sz w:val="20"/>
          <w:szCs w:val="20"/>
          <w:color w:val="auto"/>
        </w:rPr>
      </w:pPr>
      <w:r>
        <w:rPr>
          <w:rFonts w:ascii="Arial" w:cs="Arial" w:eastAsia="Arial" w:hAnsi="Arial"/>
          <w:sz w:val="18"/>
          <w:szCs w:val="18"/>
          <w:color w:val="auto"/>
        </w:rPr>
        <w:t>During the first quarter of 2020, we purchased equipment under a financing lease. During the fourth quarter of 2019, we financed part of our insurance obligation. The equipment notes and financing lease pay interest between 4% and 21%, have total monthly payments of $0.1 million and mature at various date from August 2020 to February 2025. The equipment loans are secured by the related equipment.</w:t>
      </w:r>
    </w:p>
    <w:p>
      <w:pPr>
        <w:spacing w:after="0" w:line="186" w:lineRule="exact"/>
        <w:rPr>
          <w:sz w:val="20"/>
          <w:szCs w:val="20"/>
          <w:color w:val="auto"/>
        </w:rPr>
      </w:pPr>
    </w:p>
    <w:p>
      <w:pPr>
        <w:ind w:left="20" w:right="80" w:firstLine="480"/>
        <w:spacing w:after="0" w:line="267" w:lineRule="auto"/>
        <w:rPr>
          <w:sz w:val="20"/>
          <w:szCs w:val="20"/>
          <w:color w:val="auto"/>
        </w:rPr>
      </w:pPr>
      <w:r>
        <w:rPr>
          <w:rFonts w:ascii="Arial" w:cs="Arial" w:eastAsia="Arial" w:hAnsi="Arial"/>
          <w:sz w:val="17"/>
          <w:szCs w:val="17"/>
          <w:color w:val="auto"/>
        </w:rPr>
        <w:t>In April 2020, the Company and Agri-Energy each entered into a loan agreement with Live Oak Banking Company, pursuant to which the Company and Agri-Energy obtained loans from the SBA PPP totaling $1.0 million in the aggregate (the "SBA Loans"). The SBA Loans will mature in April 2022 and bear interest at a rate equal to 1% per annum, subject to the potential for partial or full loan forgiveness as dictated by U.S. federal law. Principal and interest are deferred until November 2020 and interest continues to accrue during the deferral period. The SBA Loans are payable monthly beginning November 5, 2020, with aggregate payments totaling $0.06 million per month, including interest and principal. The SBA Loans must be used for payroll, rent payments, mortgage interest payments and utilities payments as governed by the SBA PPP and are subject to partial or full forgiveness for the initial eight-week period following the loan disbursement if all proceeds are used for eligible purposes and within certain thresholds, the Company maintains certain employment levels and the Company maintains certain compensation levels.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Debt</w:t>
      </w:r>
      <w:r>
        <w:rPr>
          <w:rFonts w:ascii="Arial" w:cs="Arial" w:eastAsia="Arial" w:hAnsi="Arial"/>
          <w:sz w:val="18"/>
          <w:szCs w:val="18"/>
          <w:color w:val="auto"/>
        </w:rPr>
        <w:t>, to our consolidated financial statements included herein for further discussion.</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4" w:lineRule="exact"/>
        <w:rPr>
          <w:sz w:val="20"/>
          <w:szCs w:val="20"/>
          <w:color w:val="auto"/>
        </w:rPr>
      </w:pPr>
    </w:p>
    <w:p>
      <w:pPr>
        <w:ind w:left="20" w:right="220" w:firstLine="469"/>
        <w:spacing w:after="0" w:line="333" w:lineRule="auto"/>
        <w:rPr>
          <w:sz w:val="20"/>
          <w:szCs w:val="20"/>
          <w:color w:val="auto"/>
        </w:rPr>
      </w:pPr>
      <w:r>
        <w:rPr>
          <w:rFonts w:ascii="Arial" w:cs="Arial" w:eastAsia="Arial" w:hAnsi="Arial"/>
          <w:sz w:val="16"/>
          <w:szCs w:val="16"/>
          <w:color w:val="auto"/>
        </w:rPr>
        <w:t>There have been no significant changes to our critical accounting policies since December 31, 2019. For a description of critical accounting policies that affect our significant judgments and estimates used in the preparation of our consolidated financial statements, refer to our Annual Report.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81280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June 30, 2020, we did not have any material off-balance sheet arrangements, except for operating lease obligations.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information under this item.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4" w:lineRule="exact"/>
        <w:rPr>
          <w:sz w:val="20"/>
          <w:szCs w:val="20"/>
          <w:color w:val="auto"/>
        </w:rPr>
      </w:pPr>
    </w:p>
    <w:p>
      <w:pPr>
        <w:ind w:right="140" w:firstLine="469"/>
        <w:spacing w:after="0" w:line="253"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90" w:lineRule="exact"/>
        <w:rPr>
          <w:sz w:val="20"/>
          <w:szCs w:val="20"/>
          <w:color w:val="auto"/>
        </w:rPr>
      </w:pPr>
    </w:p>
    <w:p>
      <w:pPr>
        <w:ind w:right="120" w:firstLine="469"/>
        <w:spacing w:after="0" w:line="287" w:lineRule="auto"/>
        <w:rPr>
          <w:sz w:val="20"/>
          <w:szCs w:val="20"/>
          <w:color w:val="auto"/>
        </w:rPr>
      </w:pPr>
      <w:r>
        <w:rPr>
          <w:rFonts w:ascii="Arial" w:cs="Arial" w:eastAsia="Arial" w:hAnsi="Arial"/>
          <w:sz w:val="16"/>
          <w:szCs w:val="16"/>
          <w:color w:val="auto"/>
        </w:rPr>
        <w:t>Management, including the participation of our Chief Executive Officer and our Chief Financial Officer, conducted an evaluation (pursuant to Rule 13a-15(b) of the Exchange Act) of the effectiveness of our disclosure controls and procedures as of the end of the period covered by this Report. Based on this evaluation, our Chief Executive Officer and Chief Financial Officer concluded that our disclosure controls and procedures were effective as of June 30, 2020. In designing and evaluating our disclosure controls and procedures, management recognized that disclosure controls and procedures, no matter how well conceived and operated, can provide only reasonable but not absolute assurance that the objectives of the disclosure controls and procedures are met. The design of any disclosure control and procedure also is based in part upon certain assumptions about the likelihood of future events, and there can be no assurance that any design will succeed in achieving its stated goals under all potential future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4" w:lineRule="exact"/>
        <w:rPr>
          <w:sz w:val="20"/>
          <w:szCs w:val="20"/>
          <w:color w:val="auto"/>
        </w:rPr>
      </w:pPr>
    </w:p>
    <w:p>
      <w:pPr>
        <w:ind w:firstLine="469"/>
        <w:spacing w:after="0" w:line="270"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June 30, 2020 that have materially affected, or are reasonably likely to materially affect, our internal control over financial reporting.</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4" w:lineRule="exact"/>
        <w:rPr>
          <w:sz w:val="20"/>
          <w:szCs w:val="20"/>
          <w:color w:val="auto"/>
        </w:rPr>
      </w:pPr>
    </w:p>
    <w:p>
      <w:pPr>
        <w:ind w:right="100" w:firstLine="469"/>
        <w:spacing w:after="0" w:line="258"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4" w:lineRule="exact"/>
        <w:rPr>
          <w:sz w:val="20"/>
          <w:szCs w:val="20"/>
          <w:color w:val="auto"/>
        </w:rPr>
      </w:pPr>
    </w:p>
    <w:p>
      <w:pPr>
        <w:ind w:right="60" w:firstLine="480"/>
        <w:spacing w:after="0" w:line="296" w:lineRule="auto"/>
        <w:rPr>
          <w:sz w:val="20"/>
          <w:szCs w:val="20"/>
          <w:color w:val="auto"/>
        </w:rPr>
      </w:pPr>
      <w:r>
        <w:rPr>
          <w:rFonts w:ascii="Arial" w:cs="Arial" w:eastAsia="Arial" w:hAnsi="Arial"/>
          <w:sz w:val="16"/>
          <w:szCs w:val="16"/>
          <w:color w:val="auto"/>
        </w:rPr>
        <w:t>You should carefully consider the risk factors discussed in Part I, Item 1A. “Risk Factors” in our Annual Report, which could materially affect our business, financial condition, cash flows or future results. Except as set forth below, there have been no material changes in our risk factors included in our Annual Report. The risk factors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60" w:lineRule="exact"/>
        <w:rPr>
          <w:sz w:val="20"/>
          <w:szCs w:val="20"/>
          <w:color w:val="auto"/>
        </w:rPr>
      </w:pPr>
    </w:p>
    <w:p>
      <w:pPr>
        <w:ind w:right="460"/>
        <w:spacing w:after="0" w:line="270" w:lineRule="auto"/>
        <w:rPr>
          <w:sz w:val="20"/>
          <w:szCs w:val="20"/>
          <w:color w:val="auto"/>
        </w:rPr>
      </w:pPr>
      <w:r>
        <w:rPr>
          <w:rFonts w:ascii="Arial" w:cs="Arial" w:eastAsia="Arial" w:hAnsi="Arial"/>
          <w:sz w:val="18"/>
          <w:szCs w:val="18"/>
          <w:b w:val="1"/>
          <w:bCs w:val="1"/>
          <w:i w:val="1"/>
          <w:iCs w:val="1"/>
          <w:color w:val="auto"/>
        </w:rPr>
        <w:t>Our business has been impacted by the COVID-19 pandemic, and our financial condition, results of operations and liquidity may be materially and adversely impacted by it in the future.</w:t>
      </w:r>
    </w:p>
    <w:p>
      <w:pPr>
        <w:spacing w:after="0" w:line="175" w:lineRule="exact"/>
        <w:rPr>
          <w:sz w:val="20"/>
          <w:szCs w:val="20"/>
          <w:color w:val="auto"/>
        </w:rPr>
      </w:pPr>
    </w:p>
    <w:p>
      <w:pPr>
        <w:ind w:firstLine="480"/>
        <w:spacing w:after="0" w:line="285" w:lineRule="auto"/>
        <w:rPr>
          <w:sz w:val="20"/>
          <w:szCs w:val="20"/>
          <w:color w:val="auto"/>
        </w:rPr>
      </w:pPr>
      <w:r>
        <w:rPr>
          <w:rFonts w:ascii="Arial" w:cs="Arial" w:eastAsia="Arial" w:hAnsi="Arial"/>
          <w:sz w:val="16"/>
          <w:szCs w:val="16"/>
          <w:color w:val="auto"/>
        </w:rPr>
        <w:t>The COVID-19 pandemic has had an adverse impact on global commercial activity, including the global transportation industry and its supply chain, and has contributed to significant volatility in financial markets, including, among other effects, a decline in equity markets, changes in interest rates and reduced liquidity. It has also resulted in increased travel restrictions and extended shutdowns of businesses in various industries including, among others, the airline industry, and significantly reduced overall economic output. We expect that the impact of the COVID-19 pandemic on general economic activity will negatively impact our revenue and operating results for at least the remainder of 2020. The impact of the COVID-19 pandemic on the global transportation industry could result in less demand for our transportation fuel products which could have a material adverse effect on our business and financial condition. The suspension of ethanol production at our Luverne Facility for the foreseeable future and reduction in our workforce during the first quarter of 2020 due to the impact of COVID-19 had an adverse impact on our financial results for the second quarter of 2020 reducing revenue by 81% compared to the same period in 2019. There is also a risk that COVID-19 could have a material adverse impact on customer demand and cash flow.</w:t>
      </w:r>
    </w:p>
    <w:p>
      <w:pPr>
        <w:spacing w:after="0" w:line="168" w:lineRule="exact"/>
        <w:rPr>
          <w:sz w:val="20"/>
          <w:szCs w:val="20"/>
          <w:color w:val="auto"/>
        </w:rPr>
      </w:pPr>
    </w:p>
    <w:p>
      <w:pPr>
        <w:ind w:right="20" w:firstLine="480"/>
        <w:spacing w:after="0" w:line="265" w:lineRule="auto"/>
        <w:rPr>
          <w:sz w:val="20"/>
          <w:szCs w:val="20"/>
          <w:color w:val="auto"/>
        </w:rPr>
      </w:pPr>
      <w:r>
        <w:rPr>
          <w:rFonts w:ascii="Arial" w:cs="Arial" w:eastAsia="Arial" w:hAnsi="Arial"/>
          <w:sz w:val="17"/>
          <w:szCs w:val="17"/>
          <w:color w:val="auto"/>
        </w:rPr>
        <w:t>The risks generally associated with the COVID-19 pandemic could magnify other risks discussed in this report and any of our SEC filings. For example, the rapidly evolving changes in financial markets could have a material impact on our ability to obtain additional financing, which could impact our liquidity. For example, volatility in the financial markets could make it more difficult to raise money from selling equity on the capital markets, the impact of COVID-19 on financial markets could limit potential lenders’ ability to provide funds for project finance of the planned expansion of the Luverne Facility or the terms of any project finance transactions could be worse than anticipated. In addition the effectiveness of external parties, including governmental and non-governmental organizations, in combating the spread and severity of COVID-19 could have a material impact on demand for our business. Further, steps taken by market counterparties such as commercial airlines could have an impact on their ability to perform under agreements to which we are a party, which could impact our business. For example, in connection with the impact that the COVID-19 pandemic has had on the economy and on the resulting disruption to the airline industry specifically, we and Delta amended portions of our previously disclosed Fuel Sales Agreement in April 2020, as discussed in “</w:t>
      </w:r>
      <w:r>
        <w:rPr>
          <w:rFonts w:ascii="Arial" w:cs="Arial" w:eastAsia="Arial" w:hAnsi="Arial"/>
          <w:sz w:val="17"/>
          <w:szCs w:val="17"/>
          <w:i w:val="1"/>
          <w:iCs w:val="1"/>
          <w:color w:val="auto"/>
        </w:rPr>
        <w:t>Management’s Discussion and Analysis of Financial Condition and Results of Operations—Company Overview—COVID-19</w:t>
      </w:r>
      <w:r>
        <w:rPr>
          <w:rFonts w:ascii="Arial" w:cs="Arial" w:eastAsia="Arial" w:hAnsi="Arial"/>
          <w:sz w:val="17"/>
          <w:szCs w:val="17"/>
          <w:color w:val="auto"/>
        </w:rPr>
        <w:t>.” Other commercial counterparties may also seek to amend supply agreement in the future.</w:t>
      </w:r>
    </w:p>
    <w:p>
      <w:pPr>
        <w:spacing w:after="0" w:line="188" w:lineRule="exact"/>
        <w:rPr>
          <w:sz w:val="20"/>
          <w:szCs w:val="20"/>
          <w:color w:val="auto"/>
        </w:rPr>
      </w:pPr>
    </w:p>
    <w:p>
      <w:pPr>
        <w:ind w:right="120" w:firstLine="480"/>
        <w:spacing w:after="0" w:line="271" w:lineRule="auto"/>
        <w:rPr>
          <w:sz w:val="20"/>
          <w:szCs w:val="20"/>
          <w:color w:val="auto"/>
        </w:rPr>
      </w:pPr>
      <w:r>
        <w:rPr>
          <w:rFonts w:ascii="Arial" w:cs="Arial" w:eastAsia="Arial" w:hAnsi="Arial"/>
          <w:sz w:val="17"/>
          <w:szCs w:val="17"/>
          <w:color w:val="auto"/>
        </w:rPr>
        <w:t>The COVID-19 pandemic could further and materially disrupt our own business operations and the services we provide, as well as the business operations of our customers, suppliers and other third parties with whom we interact. As an increasing percentage of our employees work remotely, we also face the risk that unusual working arrangements could impact the effectiveness of our operations or internal controls. In addition, a potential COVID-19 infection of any of our key employees could materially and adversely impact our operations. It is possible that COVID-19 restrictions could create difficulty for satisfying our legal or regulatory filing or other obligations, including with the SEC and other regulators.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0" w:lineRule="exact"/>
        <w:rPr>
          <w:sz w:val="20"/>
          <w:szCs w:val="20"/>
          <w:color w:val="auto"/>
        </w:rPr>
      </w:pPr>
    </w:p>
    <w:p>
      <w:pPr>
        <w:ind w:right="120" w:firstLine="480"/>
        <w:spacing w:after="0" w:line="271" w:lineRule="auto"/>
        <w:rPr>
          <w:sz w:val="20"/>
          <w:szCs w:val="20"/>
          <w:color w:val="auto"/>
        </w:rPr>
      </w:pPr>
      <w:r>
        <w:rPr>
          <w:rFonts w:ascii="Arial" w:cs="Arial" w:eastAsia="Arial" w:hAnsi="Arial"/>
          <w:sz w:val="17"/>
          <w:szCs w:val="17"/>
          <w:color w:val="auto"/>
        </w:rPr>
        <w:t>There is also a risk that the COVID-19 pandemic could have a material adverse impact on customer demand and cash flow for the remainder of 2020 and beyond. We will continue to monitor the situation and assess possible implications to our business and its stakeholders and will take appropriate actions to help mitigate adverse consequences. The extent to which COVID-19 impacts our business and financial position will depend on future developments, which are difficult to predict, including the severity, duration and scope of the COVID-19 outbreak as well as the types of measures imposed by governmental authorities to contain the virus or address its impact and the duration of those actions and measures.</w:t>
      </w:r>
    </w:p>
    <w:p>
      <w:pPr>
        <w:spacing w:after="0" w:line="177" w:lineRule="exact"/>
        <w:rPr>
          <w:sz w:val="20"/>
          <w:szCs w:val="20"/>
          <w:color w:val="auto"/>
        </w:rPr>
      </w:pPr>
    </w:p>
    <w:p>
      <w:pPr>
        <w:ind w:right="40" w:firstLine="480"/>
        <w:spacing w:after="0" w:line="266" w:lineRule="auto"/>
        <w:rPr>
          <w:sz w:val="20"/>
          <w:szCs w:val="20"/>
          <w:color w:val="auto"/>
        </w:rPr>
      </w:pPr>
      <w:r>
        <w:rPr>
          <w:rFonts w:ascii="Arial" w:cs="Arial" w:eastAsia="Arial" w:hAnsi="Arial"/>
          <w:sz w:val="17"/>
          <w:szCs w:val="17"/>
          <w:color w:val="auto"/>
        </w:rPr>
        <w:t>We have considered multiple scenarios, with both positive and negative inputs, as part of the significant estimates and assumptions that are inherent in its financial statements and are based on trends in customer behavior and the economic environment throughout the quarter ended June 30, 2020 and beyond as the COVID-19 pandemic has impacted the industries in which we operate. These estimates and assumptions include the collectability of billed and unbilled receivables and the estimation of revenue and tangible and intangible assets. With regard to collectability, we believe we may face atypical delays in client payments going forward but we have not experienced delays in collection as of June 30, 2020. In addition, we believe that the demand for certain discretionary lines of business may decrease, and that such decrease will impact our financial results in succeeding periods. Non-discretionary lines of business may also be adversely affected, for example because reduced economic activity or disruption in hydrocarbon markets reduces demand for or the extent of renewable alcohol-to-jet fuel (“ATJ”), isooctane and isooctene. We believe that these trends and uncertainties are comparable to those faced by other registrants as a result of the pandemic.</w:t>
      </w:r>
    </w:p>
    <w:p>
      <w:pPr>
        <w:spacing w:after="0" w:line="185" w:lineRule="exact"/>
        <w:rPr>
          <w:sz w:val="20"/>
          <w:szCs w:val="20"/>
          <w:color w:val="auto"/>
        </w:rPr>
      </w:pPr>
    </w:p>
    <w:p>
      <w:pPr>
        <w:ind w:firstLine="480"/>
        <w:spacing w:after="0" w:line="252" w:lineRule="auto"/>
        <w:rPr>
          <w:sz w:val="20"/>
          <w:szCs w:val="20"/>
          <w:color w:val="auto"/>
        </w:rPr>
      </w:pPr>
      <w:r>
        <w:rPr>
          <w:rFonts w:ascii="Arial" w:cs="Arial" w:eastAsia="Arial" w:hAnsi="Arial"/>
          <w:sz w:val="18"/>
          <w:szCs w:val="18"/>
          <w:color w:val="auto"/>
        </w:rPr>
        <w:t>All of the foregoing events or potential outcomes, including in combination with other risk factors included in this Quarterly Report on Form 10-Q or our Annual Report, could cause a material adverse effect on our results of operations in any period and, depending on their severity, could also materially and adversely affect our financial condition. In addition, such events and outcomes could potentially impact our reputation with clients and regulators, among others. The rapid development and fluidity of the pandemic precludes any prediction as to the ultimate impact of the COVID-19 pandemic on us. The full extent of the impact and effects of the COVID-19 pandemic on our business, operations, liquidity, financial condition and results of operations remain uncertain at this time.</w:t>
      </w:r>
    </w:p>
    <w:p>
      <w:pPr>
        <w:spacing w:after="0" w:line="190"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We may face substantial delays in obtaining regulatory approvals for use of our renewable premium gasoline product, which could substantially hinder our ability to commercialize our renewable premium gasoline product in the U.S.</w:t>
      </w:r>
    </w:p>
    <w:p>
      <w:pPr>
        <w:spacing w:after="0" w:line="175" w:lineRule="exact"/>
        <w:rPr>
          <w:sz w:val="20"/>
          <w:szCs w:val="20"/>
          <w:color w:val="auto"/>
        </w:rPr>
      </w:pPr>
    </w:p>
    <w:p>
      <w:pPr>
        <w:ind w:firstLine="480"/>
        <w:spacing w:after="0" w:line="253" w:lineRule="auto"/>
        <w:rPr>
          <w:sz w:val="20"/>
          <w:szCs w:val="20"/>
          <w:color w:val="auto"/>
        </w:rPr>
      </w:pPr>
      <w:r>
        <w:rPr>
          <w:rFonts w:ascii="Arial" w:cs="Arial" w:eastAsia="Arial" w:hAnsi="Arial"/>
          <w:sz w:val="18"/>
          <w:szCs w:val="18"/>
          <w:color w:val="auto"/>
        </w:rPr>
        <w:t>Commercialization of our renewable premium gasoline product in the U.S. requires approvals from state and/or federal agencies. Before we can sell our renewable premium gasoline product as a fuel or as a gasoline blendstock, we must obtain certain approvals or certifications from the U.S. Environmental Protection Agency (“EPA”). There can be no assurances that the EPA will grant such approvals or certifications. Any delay or failure in receiving approval will slow or prevent the commercialization of our renewable premium gasoline product, which could have a material adverse effect on our business, financial condition and results of operations.</w:t>
      </w:r>
    </w:p>
    <w:p>
      <w:pPr>
        <w:spacing w:after="0" w:line="190" w:lineRule="exact"/>
        <w:rPr>
          <w:sz w:val="20"/>
          <w:szCs w:val="20"/>
          <w:color w:val="auto"/>
        </w:rPr>
      </w:pPr>
    </w:p>
    <w:p>
      <w:pPr>
        <w:jc w:val="both"/>
        <w:ind w:right="300" w:firstLine="480"/>
        <w:spacing w:after="0" w:line="281" w:lineRule="auto"/>
        <w:rPr>
          <w:sz w:val="20"/>
          <w:szCs w:val="20"/>
          <w:color w:val="auto"/>
        </w:rPr>
      </w:pPr>
      <w:r>
        <w:rPr>
          <w:rFonts w:ascii="Arial" w:cs="Arial" w:eastAsia="Arial" w:hAnsi="Arial"/>
          <w:sz w:val="17"/>
          <w:szCs w:val="17"/>
          <w:color w:val="auto"/>
        </w:rPr>
        <w:t>Additionally, California requires that fuels meet both its fuel certification requirements and a separate state low-carbon fuel standard. Any delay or failure in receiving approval for our renewable premium gasoline product will slow or prevent the commercialization of our renewable premium gasoline product, which could have a material adverse effect on our business, financial condition and results of operations.</w:t>
      </w:r>
    </w:p>
    <w:p>
      <w:pPr>
        <w:spacing w:after="0" w:line="167" w:lineRule="exact"/>
        <w:rPr>
          <w:sz w:val="20"/>
          <w:szCs w:val="20"/>
          <w:color w:val="auto"/>
        </w:rPr>
      </w:pPr>
    </w:p>
    <w:p>
      <w:pPr>
        <w:ind w:right="100" w:firstLine="480"/>
        <w:spacing w:after="0" w:line="253" w:lineRule="auto"/>
        <w:rPr>
          <w:sz w:val="20"/>
          <w:szCs w:val="20"/>
          <w:color w:val="auto"/>
        </w:rPr>
      </w:pPr>
      <w:r>
        <w:rPr>
          <w:rFonts w:ascii="Arial" w:cs="Arial" w:eastAsia="Arial" w:hAnsi="Arial"/>
          <w:sz w:val="18"/>
          <w:szCs w:val="18"/>
          <w:color w:val="auto"/>
        </w:rPr>
        <w:t>There are also various third-party certification organizations, such as ASTM International and Underwriters’ Laboratories, Inc., involved in standard-setting regarding the transportation, dispensing and use of liquid fuel in the U.S. and abroad. These organizations may change the current standards and additional requirements may be enacted that could prevent or delay approval of our renewable premium gasoline product. The process of seeking required approvals and the continuing need for compliance with applicable standards may require the expenditure of substantial resources, and there is no guarantee that we will satisfy these standards in a timely manner, if ever.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4" w:lineRule="exact"/>
        <w:rPr>
          <w:sz w:val="20"/>
          <w:szCs w:val="20"/>
          <w:color w:val="auto"/>
        </w:rPr>
      </w:pPr>
    </w:p>
    <w:tbl>
      <w:tblPr>
        <w:tblLayout w:type="fixed"/>
        <w:tblInd w:w="140" w:type="dxa"/>
        <w:tblCellMar>
          <w:top w:w="0" w:type="dxa"/>
          <w:left w:w="0" w:type="dxa"/>
          <w:bottom w:w="0" w:type="dxa"/>
          <w:right w:w="0" w:type="dxa"/>
        </w:tblCellMar>
      </w:tblPr>
      <w:tr>
        <w:trPr>
          <w:trHeight w:val="226"/>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1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Purchased as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Shares that</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Publicly</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Announced</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b w:val="1"/>
                <w:bCs w:val="1"/>
                <w:color w:val="auto"/>
                <w:w w:val="91"/>
              </w:rPr>
              <w:t>Average Price</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Under the Plans</w:t>
            </w: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0"/>
              </w:rPr>
              <w:t>Paid per Share</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0" w:type="dxa"/>
            <w:vAlign w:val="bottom"/>
          </w:tcPr>
          <w:p>
            <w:pPr>
              <w:spacing w:after="0"/>
              <w:rPr>
                <w:sz w:val="1"/>
                <w:szCs w:val="1"/>
                <w:color w:val="auto"/>
              </w:rPr>
            </w:pPr>
          </w:p>
        </w:tc>
      </w:tr>
      <w:tr>
        <w:trPr>
          <w:trHeight w:val="208"/>
        </w:trPr>
        <w:tc>
          <w:tcPr>
            <w:tcW w:w="18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April 1, 2020 - April 30, 2020</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May 1, 2020 - May 31, 2020 (1)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June 1, 2020 - June 30, 2020 (1)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208,556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286,324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7"/>
        <w:spacing w:after="0" w:line="333" w:lineRule="auto"/>
        <w:tabs>
          <w:tab w:leader="none" w:pos="296"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shares withheld from employees to cover tax withholding obligations upon the vesting of restricted stock awards. The average prices listed in the above table are averages of the fair market prices at which we valued shares withheld for purposes of calculating the number of shares to be withheld.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4"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Not Applicable.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exhibits listed below are filed or furnished as part of this report.</w:t>
      </w:r>
    </w:p>
    <w:p>
      <w:pPr>
        <w:spacing w:after="0" w:line="21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18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Included</w:t>
            </w:r>
          </w:p>
        </w:tc>
      </w:tr>
      <w:tr>
        <w:trPr>
          <w:trHeight w:val="249"/>
        </w:trPr>
        <w:tc>
          <w:tcPr>
            <w:tcW w:w="11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gridSpan w:val="8"/>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Herewith</w:t>
            </w:r>
          </w:p>
        </w:tc>
      </w:tr>
      <w:tr>
        <w:trPr>
          <w:trHeight w:val="187"/>
        </w:trPr>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3"/>
              </w:rPr>
              <w:t>Form</w:t>
            </w:r>
          </w:p>
        </w:tc>
        <w:tc>
          <w:tcPr>
            <w:tcW w:w="1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ind w:left="160"/>
              <w:spacing w:after="0" w:line="187" w:lineRule="exact"/>
              <w:rPr>
                <w:sz w:val="20"/>
                <w:szCs w:val="20"/>
                <w:color w:val="auto"/>
              </w:rPr>
            </w:pPr>
            <w:r>
              <w:rPr>
                <w:rFonts w:ascii="Arial" w:cs="Arial" w:eastAsia="Arial" w:hAnsi="Arial"/>
                <w:sz w:val="18"/>
                <w:szCs w:val="18"/>
                <w:b w:val="1"/>
                <w:bCs w:val="1"/>
                <w:color w:val="auto"/>
              </w:rPr>
              <w:t>File No.</w:t>
            </w:r>
          </w:p>
        </w:tc>
        <w:tc>
          <w:tcPr>
            <w:tcW w:w="8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1"/>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3"/>
              </w:rPr>
              <w:t>Exhibit</w:t>
            </w:r>
          </w:p>
        </w:tc>
        <w:tc>
          <w:tcPr>
            <w:tcW w:w="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r>
      <w:tr>
        <w:trPr>
          <w:trHeight w:val="170"/>
        </w:trPr>
        <w:tc>
          <w:tcPr>
            <w:tcW w:w="340" w:type="dxa"/>
            <w:vAlign w:val="bottom"/>
            <w:tcBorders>
              <w:left w:val="single" w:sz="8" w:color="auto"/>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gridSpan w:val="8"/>
          </w:tcPr>
          <w:p>
            <w:pPr>
              <w:spacing w:after="0" w:line="170" w:lineRule="exact"/>
              <w:rPr>
                <w:rFonts w:ascii="Arial" w:cs="Arial" w:eastAsia="Arial" w:hAnsi="Arial"/>
                <w:sz w:val="18"/>
                <w:szCs w:val="18"/>
                <w:color w:val="0000EE"/>
                <w:w w:val="94"/>
              </w:rPr>
            </w:pPr>
            <w:hyperlink r:id="rId57">
              <w:r>
                <w:rPr>
                  <w:rFonts w:ascii="Arial" w:cs="Arial" w:eastAsia="Arial" w:hAnsi="Arial"/>
                  <w:sz w:val="18"/>
                  <w:szCs w:val="18"/>
                  <w:color w:val="0000EE"/>
                  <w:w w:val="94"/>
                </w:rPr>
                <w:t>Amended and Restated Certificate of Incorporation of Gevo,</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line="194" w:lineRule="exact"/>
              <w:rPr>
                <w:sz w:val="20"/>
                <w:szCs w:val="20"/>
                <w:color w:val="auto"/>
              </w:rPr>
            </w:pPr>
            <w:r>
              <w:rPr>
                <w:rFonts w:ascii="Arial" w:cs="Arial" w:eastAsia="Arial" w:hAnsi="Arial"/>
                <w:sz w:val="18"/>
                <w:szCs w:val="18"/>
                <w:color w:val="auto"/>
              </w:rPr>
              <w:t>3.1</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280" w:type="dxa"/>
            <w:vAlign w:val="bottom"/>
            <w:tcBorders>
              <w:top w:val="single" w:sz="8" w:color="0000EE"/>
            </w:tcBorders>
            <w:gridSpan w:val="6"/>
          </w:tcPr>
          <w:p>
            <w:pPr>
              <w:spacing w:after="0" w:line="194" w:lineRule="exact"/>
              <w:rPr>
                <w:rFonts w:ascii="Arial" w:cs="Arial" w:eastAsia="Arial" w:hAnsi="Arial"/>
                <w:sz w:val="18"/>
                <w:szCs w:val="18"/>
                <w:color w:val="0000EE"/>
              </w:rPr>
            </w:pPr>
            <w:hyperlink r:id="rId57">
              <w:r>
                <w:rPr>
                  <w:rFonts w:ascii="Arial" w:cs="Arial" w:eastAsia="Arial" w:hAnsi="Arial"/>
                  <w:sz w:val="18"/>
                  <w:szCs w:val="18"/>
                  <w:color w:val="0000EE"/>
                </w:rPr>
                <w:t>Inc.</w:t>
              </w:r>
            </w:hyperlink>
          </w:p>
        </w:tc>
        <w:tc>
          <w:tcPr>
            <w:tcW w:w="280" w:type="dxa"/>
            <w:vAlign w:val="bottom"/>
            <w:tcBorders>
              <w:right w:val="single" w:sz="8" w:color="auto"/>
            </w:tcBorders>
            <w:gridSpan w:val="2"/>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9"/>
              </w:rPr>
              <w:t>March 29, 2011</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7"/>
              </w:rPr>
              <w:t>3.1</w:t>
            </w: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3.2</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8"/>
          </w:tcPr>
          <w:p>
            <w:pPr>
              <w:spacing w:after="0"/>
              <w:rPr>
                <w:rFonts w:ascii="Arial" w:cs="Arial" w:eastAsia="Arial" w:hAnsi="Arial"/>
                <w:sz w:val="18"/>
                <w:szCs w:val="18"/>
                <w:color w:val="0000EE"/>
                <w:w w:val="89"/>
              </w:rPr>
            </w:pPr>
            <w:hyperlink r:id="rId58">
              <w:r>
                <w:rPr>
                  <w:rFonts w:ascii="Arial" w:cs="Arial" w:eastAsia="Arial" w:hAnsi="Arial"/>
                  <w:sz w:val="18"/>
                  <w:szCs w:val="18"/>
                  <w:color w:val="0000EE"/>
                  <w:w w:val="89"/>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June 10, 2013</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r:id="rId58">
              <w:r>
                <w:rPr>
                  <w:rFonts w:ascii="Arial" w:cs="Arial" w:eastAsia="Arial" w:hAnsi="Arial"/>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3.3</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8"/>
          </w:tcPr>
          <w:p>
            <w:pPr>
              <w:spacing w:after="0"/>
              <w:rPr>
                <w:rFonts w:ascii="Arial" w:cs="Arial" w:eastAsia="Arial" w:hAnsi="Arial"/>
                <w:sz w:val="18"/>
                <w:szCs w:val="18"/>
                <w:color w:val="0000EE"/>
                <w:w w:val="89"/>
              </w:rPr>
            </w:pPr>
            <w:hyperlink r:id="rId59">
              <w:r>
                <w:rPr>
                  <w:rFonts w:ascii="Arial" w:cs="Arial" w:eastAsia="Arial" w:hAnsi="Arial"/>
                  <w:sz w:val="18"/>
                  <w:szCs w:val="18"/>
                  <w:color w:val="0000EE"/>
                  <w:w w:val="89"/>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July 9, 2014</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r:id="rId59">
              <w:r>
                <w:rPr>
                  <w:rFonts w:ascii="Arial" w:cs="Arial" w:eastAsia="Arial" w:hAnsi="Arial"/>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3.4</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8"/>
          </w:tcPr>
          <w:p>
            <w:pPr>
              <w:spacing w:after="0"/>
              <w:rPr>
                <w:rFonts w:ascii="Arial" w:cs="Arial" w:eastAsia="Arial" w:hAnsi="Arial"/>
                <w:sz w:val="18"/>
                <w:szCs w:val="18"/>
                <w:color w:val="0000EE"/>
                <w:w w:val="89"/>
              </w:rPr>
            </w:pPr>
            <w:hyperlink r:id="rId60">
              <w:r>
                <w:rPr>
                  <w:rFonts w:ascii="Arial" w:cs="Arial" w:eastAsia="Arial" w:hAnsi="Arial"/>
                  <w:sz w:val="18"/>
                  <w:szCs w:val="18"/>
                  <w:color w:val="0000EE"/>
                  <w:w w:val="89"/>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April 22, 2015</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r:id="rId60">
              <w:r>
                <w:rPr>
                  <w:rFonts w:ascii="Arial" w:cs="Arial" w:eastAsia="Arial" w:hAnsi="Arial"/>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3.5</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8"/>
          </w:tcPr>
          <w:p>
            <w:pPr>
              <w:spacing w:after="0"/>
              <w:rPr>
                <w:rFonts w:ascii="Arial" w:cs="Arial" w:eastAsia="Arial" w:hAnsi="Arial"/>
                <w:sz w:val="18"/>
                <w:szCs w:val="18"/>
                <w:color w:val="0000EE"/>
                <w:w w:val="89"/>
              </w:rPr>
            </w:pPr>
            <w:hyperlink r:id="rId61">
              <w:r>
                <w:rPr>
                  <w:rFonts w:ascii="Arial" w:cs="Arial" w:eastAsia="Arial" w:hAnsi="Arial"/>
                  <w:sz w:val="18"/>
                  <w:szCs w:val="18"/>
                  <w:color w:val="0000EE"/>
                  <w:w w:val="89"/>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6, 2017</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r:id="rId61">
              <w:r>
                <w:rPr>
                  <w:rFonts w:ascii="Arial" w:cs="Arial" w:eastAsia="Arial" w:hAnsi="Arial"/>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40"/>
        </w:trPr>
        <w:tc>
          <w:tcPr>
            <w:tcW w:w="340" w:type="dxa"/>
            <w:vAlign w:val="bottom"/>
            <w:tcBorders>
              <w:left w:val="single" w:sz="8" w:color="auto"/>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40" w:type="dxa"/>
            <w:vAlign w:val="bottom"/>
            <w:tcBorders>
              <w:top w:val="single" w:sz="8" w:color="0000EE"/>
              <w:bottom w:val="single" w:sz="8" w:color="auto"/>
            </w:tcBorders>
          </w:tcPr>
          <w:p>
            <w:pPr>
              <w:spacing w:after="0"/>
              <w:rPr>
                <w:sz w:val="3"/>
                <w:szCs w:val="3"/>
                <w:color w:val="auto"/>
              </w:rPr>
            </w:pPr>
          </w:p>
        </w:tc>
        <w:tc>
          <w:tcPr>
            <w:tcW w:w="1420" w:type="dxa"/>
            <w:vAlign w:val="bottom"/>
            <w:tcBorders>
              <w:top w:val="single" w:sz="8" w:color="0000EE"/>
              <w:bottom w:val="single" w:sz="8" w:color="auto"/>
            </w:tcBorders>
          </w:tcPr>
          <w:p>
            <w:pPr>
              <w:spacing w:after="0"/>
              <w:rPr>
                <w:sz w:val="3"/>
                <w:szCs w:val="3"/>
                <w:color w:val="auto"/>
              </w:rPr>
            </w:pPr>
          </w:p>
        </w:tc>
        <w:tc>
          <w:tcPr>
            <w:tcW w:w="460" w:type="dxa"/>
            <w:vAlign w:val="bottom"/>
            <w:tcBorders>
              <w:top w:val="single" w:sz="8" w:color="0000EE"/>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r>
        <w:trPr>
          <w:trHeight w:val="147"/>
        </w:trPr>
        <w:tc>
          <w:tcPr>
            <w:tcW w:w="3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4560" w:type="dxa"/>
            <w:vAlign w:val="bottom"/>
            <w:tcBorders>
              <w:right w:val="single" w:sz="8" w:color="auto"/>
            </w:tcBorders>
            <w:gridSpan w:val="8"/>
          </w:tcPr>
          <w:p>
            <w:pPr>
              <w:spacing w:after="0" w:line="147" w:lineRule="exact"/>
              <w:rPr>
                <w:rFonts w:ascii="Arial" w:cs="Arial" w:eastAsia="Arial" w:hAnsi="Arial"/>
                <w:sz w:val="17"/>
                <w:szCs w:val="17"/>
                <w:color w:val="0000EE"/>
                <w:w w:val="95"/>
              </w:rPr>
            </w:pPr>
            <w:hyperlink r:id="rId62">
              <w:r>
                <w:rPr>
                  <w:rFonts w:ascii="Arial" w:cs="Arial" w:eastAsia="Arial" w:hAnsi="Arial"/>
                  <w:sz w:val="17"/>
                  <w:szCs w:val="17"/>
                  <w:color w:val="0000EE"/>
                  <w:w w:val="95"/>
                </w:rPr>
                <w:t>Certificate of Amendment to Amended and Restated Certificate</w:t>
              </w:r>
            </w:hyperlink>
          </w:p>
        </w:tc>
        <w:tc>
          <w:tcPr>
            <w:tcW w:w="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7"/>
                <w:szCs w:val="17"/>
                <w:color w:val="auto"/>
              </w:rPr>
              <w:t>8-K</w:t>
            </w:r>
          </w:p>
        </w:tc>
        <w:tc>
          <w:tcPr>
            <w:tcW w:w="1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7"/>
                <w:szCs w:val="17"/>
                <w:color w:val="auto"/>
                <w:w w:val="95"/>
              </w:rPr>
              <w:t>001-35073</w:t>
            </w:r>
          </w:p>
        </w:tc>
        <w:tc>
          <w:tcPr>
            <w:tcW w:w="80" w:type="dxa"/>
            <w:vAlign w:val="bottom"/>
            <w:tcBorders>
              <w:right w:val="single" w:sz="8" w:color="auto"/>
            </w:tcBorders>
          </w:tcPr>
          <w:p>
            <w:pPr>
              <w:spacing w:after="0"/>
              <w:rPr>
                <w:sz w:val="12"/>
                <w:szCs w:val="12"/>
                <w:color w:val="auto"/>
              </w:rPr>
            </w:pPr>
          </w:p>
        </w:tc>
        <w:tc>
          <w:tcPr>
            <w:tcW w:w="152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7"/>
                <w:szCs w:val="17"/>
                <w:color w:val="auto"/>
                <w:w w:val="91"/>
              </w:rPr>
              <w:t>June 4, 2018</w:t>
            </w: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7" w:lineRule="exact"/>
              <w:rPr>
                <w:sz w:val="20"/>
                <w:szCs w:val="20"/>
                <w:color w:val="auto"/>
              </w:rPr>
            </w:pPr>
            <w:r>
              <w:rPr>
                <w:rFonts w:ascii="Arial" w:cs="Arial" w:eastAsia="Arial" w:hAnsi="Arial"/>
                <w:sz w:val="17"/>
                <w:szCs w:val="17"/>
                <w:color w:val="auto"/>
                <w:w w:val="92"/>
              </w:rPr>
              <w:t>3.1</w:t>
            </w:r>
          </w:p>
        </w:tc>
        <w:tc>
          <w:tcPr>
            <w:tcW w:w="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line="194" w:lineRule="exact"/>
              <w:rPr>
                <w:sz w:val="20"/>
                <w:szCs w:val="20"/>
                <w:color w:val="auto"/>
              </w:rPr>
            </w:pPr>
            <w:r>
              <w:rPr>
                <w:rFonts w:ascii="Arial" w:cs="Arial" w:eastAsia="Arial" w:hAnsi="Arial"/>
                <w:sz w:val="18"/>
                <w:szCs w:val="18"/>
                <w:color w:val="auto"/>
              </w:rPr>
              <w:t>3.6</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r:id="rId62">
              <w:r>
                <w:rPr>
                  <w:rFonts w:ascii="Arial" w:cs="Arial" w:eastAsia="Arial" w:hAnsi="Arial"/>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417"/>
        </w:trPr>
        <w:tc>
          <w:tcPr>
            <w:tcW w:w="3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8"/>
          </w:tcPr>
          <w:p>
            <w:pPr>
              <w:spacing w:after="0"/>
              <w:rPr>
                <w:rFonts w:ascii="Arial" w:cs="Arial" w:eastAsia="Arial" w:hAnsi="Arial"/>
                <w:sz w:val="18"/>
                <w:szCs w:val="18"/>
                <w:u w:val="single" w:color="auto"/>
                <w:color w:val="0000EE"/>
              </w:rPr>
            </w:pPr>
            <w:hyperlink r:id="rId63">
              <w:r>
                <w:rPr>
                  <w:rFonts w:ascii="Arial" w:cs="Arial" w:eastAsia="Arial" w:hAnsi="Arial"/>
                  <w:sz w:val="18"/>
                  <w:szCs w:val="18"/>
                  <w:u w:val="single" w:color="auto"/>
                  <w:color w:val="0000EE"/>
                </w:rPr>
                <w:t>Amended and Restated Bylaws of Gevo, Inc.</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March 29, 2011</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r>
      <w:tr>
        <w:trPr>
          <w:trHeight w:val="434"/>
        </w:trPr>
        <w:tc>
          <w:tcPr>
            <w:tcW w:w="34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8"/>
          </w:tcPr>
          <w:p>
            <w:pPr>
              <w:spacing w:after="0"/>
              <w:rPr>
                <w:rFonts w:ascii="Arial" w:cs="Arial" w:eastAsia="Arial" w:hAnsi="Arial"/>
                <w:sz w:val="18"/>
                <w:szCs w:val="18"/>
                <w:u w:val="single" w:color="auto"/>
                <w:color w:val="0000EE"/>
              </w:rPr>
            </w:pPr>
            <w:hyperlink r:id="rId64">
              <w:r>
                <w:rPr>
                  <w:rFonts w:ascii="Arial" w:cs="Arial" w:eastAsia="Arial" w:hAnsi="Arial"/>
                  <w:sz w:val="18"/>
                  <w:szCs w:val="18"/>
                  <w:u w:val="single" w:color="auto"/>
                  <w:color w:val="0000EE"/>
                </w:rPr>
                <w:t>Form of Gevo, Inc. Common Stock Certificate.</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333-168792</w:t>
            </w: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January 19, 2011</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r>
      <w:tr>
        <w:trPr>
          <w:trHeight w:val="384"/>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4.2†</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180" w:type="dxa"/>
            <w:vAlign w:val="bottom"/>
            <w:tcBorders>
              <w:bottom w:val="single" w:sz="8" w:color="0000EE"/>
            </w:tcBorders>
            <w:gridSpan w:val="5"/>
          </w:tcPr>
          <w:p>
            <w:pPr>
              <w:spacing w:after="0"/>
              <w:rPr>
                <w:rFonts w:ascii="Arial" w:cs="Arial" w:eastAsia="Arial" w:hAnsi="Arial"/>
                <w:sz w:val="18"/>
                <w:szCs w:val="18"/>
                <w:color w:val="0000EE"/>
                <w:w w:val="87"/>
              </w:rPr>
            </w:pPr>
            <w:hyperlink r:id="rId65">
              <w:r>
                <w:rPr>
                  <w:rFonts w:ascii="Arial" w:cs="Arial" w:eastAsia="Arial" w:hAnsi="Arial"/>
                  <w:sz w:val="18"/>
                  <w:szCs w:val="18"/>
                  <w:color w:val="0000EE"/>
                  <w:w w:val="87"/>
                </w:rPr>
                <w:t>Stock Issuance and Stockholder’s Rights Agreement, dated</w:t>
              </w:r>
            </w:hyperlink>
          </w:p>
        </w:tc>
        <w:tc>
          <w:tcPr>
            <w:tcW w:w="380" w:type="dxa"/>
            <w:vAlign w:val="bottom"/>
            <w:tcBorders>
              <w:right w:val="single" w:sz="8" w:color="auto"/>
            </w:tcBorders>
            <w:gridSpan w:val="3"/>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333-168792</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August 12, 2010</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4.3</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00" w:type="dxa"/>
            <w:vAlign w:val="bottom"/>
            <w:tcBorders>
              <w:bottom w:val="single" w:sz="8" w:color="0000EE"/>
            </w:tcBorders>
            <w:gridSpan w:val="4"/>
          </w:tcPr>
          <w:p>
            <w:pPr>
              <w:spacing w:after="0" w:line="194"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July 12, 2005, by and between Gevo, Inc. and California</w:t>
              </w:r>
            </w:hyperlink>
          </w:p>
        </w:tc>
        <w:tc>
          <w:tcPr>
            <w:tcW w:w="560" w:type="dxa"/>
            <w:vAlign w:val="bottom"/>
            <w:tcBorders>
              <w:right w:val="single" w:sz="8" w:color="auto"/>
            </w:tcBorders>
            <w:gridSpan w:val="4"/>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60" w:type="dxa"/>
            <w:vAlign w:val="bottom"/>
            <w:tcBorders>
              <w:right w:val="single" w:sz="8" w:color="auto"/>
            </w:tcBorders>
            <w:gridSpan w:val="8"/>
          </w:tcPr>
          <w:p>
            <w:pPr>
              <w:spacing w:after="0" w:line="194" w:lineRule="exact"/>
              <w:rPr>
                <w:rFonts w:ascii="Arial" w:cs="Arial" w:eastAsia="Arial" w:hAnsi="Arial"/>
                <w:sz w:val="18"/>
                <w:szCs w:val="18"/>
                <w:color w:val="0000EE"/>
              </w:rPr>
            </w:pPr>
            <w:hyperlink r:id="rId65">
              <w:r>
                <w:rPr>
                  <w:rFonts w:ascii="Arial" w:cs="Arial" w:eastAsia="Arial" w:hAnsi="Arial"/>
                  <w:sz w:val="18"/>
                  <w:szCs w:val="18"/>
                  <w:color w:val="0000EE"/>
                </w:rPr>
                <w:t>Institute of Technology.</w:t>
              </w:r>
            </w:hyperlink>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419"/>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80" w:type="dxa"/>
            <w:vAlign w:val="bottom"/>
            <w:gridSpan w:val="9"/>
          </w:tcPr>
          <w:p>
            <w:pPr>
              <w:jc w:val="right"/>
              <w:ind w:right="14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50" w:name="page51"/>
    <w:bookmarkEnd w:id="5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1360" w:type="dxa"/>
            <w:vAlign w:val="bottom"/>
            <w:gridSpan w:val="4"/>
          </w:tcPr>
          <w:p>
            <w:pPr>
              <w:spacing w:after="0"/>
              <w:rPr>
                <w:rFonts w:ascii="Arial" w:cs="Arial" w:eastAsia="Arial" w:hAnsi="Arial"/>
                <w:sz w:val="18"/>
                <w:szCs w:val="18"/>
                <w:u w:val="single" w:color="auto"/>
                <w:color w:val="0000EE"/>
                <w:w w:val="92"/>
              </w:rPr>
            </w:pPr>
            <w:hyperlink w:anchor="page3">
              <w:r>
                <w:rPr>
                  <w:rFonts w:ascii="Arial" w:cs="Arial" w:eastAsia="Arial" w:hAnsi="Arial"/>
                  <w:sz w:val="18"/>
                  <w:szCs w:val="18"/>
                  <w:u w:val="single" w:color="auto"/>
                  <w:color w:val="0000EE"/>
                  <w:w w:val="92"/>
                </w:rPr>
                <w:t>Table of Contents</w:t>
              </w:r>
            </w:hyperlink>
          </w:p>
        </w:tc>
        <w:tc>
          <w:tcPr>
            <w:tcW w:w="1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1140" w:type="dxa"/>
            <w:vAlign w:val="bottom"/>
            <w:tcBorders>
              <w:left w:val="single" w:sz="8" w:color="auto"/>
              <w:right w:val="single" w:sz="8" w:color="auto"/>
            </w:tcBorders>
            <w:gridSpan w:val="2"/>
          </w:tcPr>
          <w:p>
            <w:pPr>
              <w:ind w:left="20"/>
              <w:spacing w:after="0" w:line="152" w:lineRule="exact"/>
              <w:rPr>
                <w:sz w:val="20"/>
                <w:szCs w:val="20"/>
                <w:color w:val="auto"/>
              </w:rPr>
            </w:pPr>
            <w:r>
              <w:rPr>
                <w:rFonts w:ascii="Arial" w:cs="Arial" w:eastAsia="Arial" w:hAnsi="Arial"/>
                <w:sz w:val="17"/>
                <w:szCs w:val="17"/>
                <w:b w:val="1"/>
                <w:bCs w:val="1"/>
                <w:color w:val="auto"/>
              </w:rPr>
              <w:t>Exhibit</w:t>
            </w:r>
          </w:p>
        </w:tc>
        <w:tc>
          <w:tcPr>
            <w:tcW w:w="80" w:type="dxa"/>
            <w:vAlign w:val="bottom"/>
            <w:tcBorders>
              <w:righ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ind w:left="140"/>
              <w:spacing w:after="0" w:line="152" w:lineRule="exact"/>
              <w:rPr>
                <w:sz w:val="20"/>
                <w:szCs w:val="20"/>
                <w:color w:val="auto"/>
              </w:rPr>
            </w:pPr>
            <w:r>
              <w:rPr>
                <w:rFonts w:ascii="Arial" w:cs="Arial" w:eastAsia="Arial" w:hAnsi="Arial"/>
                <w:sz w:val="17"/>
                <w:szCs w:val="17"/>
                <w:b w:val="1"/>
                <w:bCs w:val="1"/>
                <w:color w:val="auto"/>
              </w:rPr>
              <w:t>Included</w:t>
            </w:r>
          </w:p>
        </w:tc>
        <w:tc>
          <w:tcPr>
            <w:tcW w:w="0" w:type="dxa"/>
            <w:vAlign w:val="bottom"/>
          </w:tcPr>
          <w:p>
            <w:pPr>
              <w:spacing w:after="0"/>
              <w:rPr>
                <w:sz w:val="1"/>
                <w:szCs w:val="1"/>
                <w:color w:val="auto"/>
              </w:rPr>
            </w:pPr>
          </w:p>
        </w:tc>
      </w:tr>
      <w:tr>
        <w:trPr>
          <w:trHeight w:val="249"/>
        </w:trPr>
        <w:tc>
          <w:tcPr>
            <w:tcW w:w="11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4660" w:type="dxa"/>
            <w:vAlign w:val="bottom"/>
            <w:tcBorders>
              <w:bottom w:val="single" w:sz="8" w:color="auto"/>
              <w:right w:val="single" w:sz="8" w:color="auto"/>
            </w:tcBorders>
            <w:gridSpan w:val="8"/>
          </w:tcPr>
          <w:p>
            <w:pPr>
              <w:spacing w:after="0"/>
              <w:rPr>
                <w:sz w:val="20"/>
                <w:szCs w:val="20"/>
                <w:color w:val="auto"/>
              </w:rPr>
            </w:pPr>
            <w:r>
              <w:rPr>
                <w:rFonts w:ascii="Arial" w:cs="Arial" w:eastAsia="Arial" w:hAnsi="Arial"/>
                <w:sz w:val="18"/>
                <w:szCs w:val="18"/>
                <w:b w:val="1"/>
                <w:bCs w:val="1"/>
                <w:color w:val="auto"/>
              </w:rPr>
              <w:t>Description</w:t>
            </w:r>
          </w:p>
        </w:tc>
        <w:tc>
          <w:tcPr>
            <w:tcW w:w="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r>
        <w:trPr>
          <w:trHeight w:val="187"/>
        </w:trPr>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3"/>
              </w:rPr>
              <w:t>Form</w:t>
            </w:r>
          </w:p>
        </w:tc>
        <w:tc>
          <w:tcPr>
            <w:tcW w:w="1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2"/>
              </w:rPr>
              <w:t>File No.</w:t>
            </w:r>
          </w:p>
        </w:tc>
        <w:tc>
          <w:tcPr>
            <w:tcW w:w="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1"/>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3"/>
              </w:rPr>
              <w:t>Exhibit</w:t>
            </w:r>
          </w:p>
        </w:tc>
        <w:tc>
          <w:tcPr>
            <w:tcW w:w="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34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4.3*</w:t>
            </w:r>
          </w:p>
        </w:tc>
        <w:tc>
          <w:tcPr>
            <w:tcW w:w="8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gridSpan w:val="8"/>
          </w:tcPr>
          <w:p>
            <w:pPr>
              <w:spacing w:after="0"/>
              <w:rPr>
                <w:rFonts w:ascii="Arial" w:cs="Arial" w:eastAsia="Arial" w:hAnsi="Arial"/>
                <w:sz w:val="18"/>
                <w:szCs w:val="18"/>
                <w:color w:val="0000EE"/>
                <w:w w:val="88"/>
              </w:rPr>
            </w:pPr>
            <w:hyperlink r:id="rId66">
              <w:r>
                <w:rPr>
                  <w:rFonts w:ascii="Arial" w:cs="Arial" w:eastAsia="Arial" w:hAnsi="Arial"/>
                  <w:sz w:val="18"/>
                  <w:szCs w:val="18"/>
                  <w:color w:val="0000EE"/>
                  <w:w w:val="88"/>
                </w:rPr>
                <w:t>Indenture, dated January 10, 2020, by and among Gevo, Inc., the</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January 13, 2020</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540" w:type="dxa"/>
            <w:vAlign w:val="bottom"/>
            <w:tcBorders>
              <w:top w:val="single" w:sz="8" w:color="0000EE"/>
              <w:bottom w:val="single" w:sz="8" w:color="0000EE"/>
            </w:tcBorders>
            <w:gridSpan w:val="6"/>
          </w:tcPr>
          <w:p>
            <w:pPr>
              <w:spacing w:after="0" w:line="194"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guarantors party thereto, and Wilmington Savings Fund Society,</w:t>
              </w:r>
            </w:hyperlink>
          </w:p>
        </w:tc>
        <w:tc>
          <w:tcPr>
            <w:tcW w:w="40" w:type="dxa"/>
            <w:vAlign w:val="bottom"/>
            <w:tcBorders>
              <w:top w:val="single" w:sz="8" w:color="0000EE"/>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gridSpan w:val="8"/>
          </w:tcPr>
          <w:p>
            <w:pPr>
              <w:spacing w:after="0" w:line="194" w:lineRule="exact"/>
              <w:rPr>
                <w:rFonts w:ascii="Arial" w:cs="Arial" w:eastAsia="Arial" w:hAnsi="Arial"/>
                <w:sz w:val="18"/>
                <w:szCs w:val="18"/>
                <w:color w:val="0000EE"/>
              </w:rPr>
            </w:pPr>
            <w:hyperlink r:id="rId66">
              <w:r>
                <w:rPr>
                  <w:rFonts w:ascii="Arial" w:cs="Arial" w:eastAsia="Arial" w:hAnsi="Arial"/>
                  <w:sz w:val="18"/>
                  <w:szCs w:val="18"/>
                  <w:color w:val="0000EE"/>
                </w:rPr>
                <w:t>FSB, as trustee and as collateral trustee.</w:t>
              </w:r>
            </w:hyperlink>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34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right w:val="single" w:sz="8" w:color="auto"/>
            </w:tcBorders>
          </w:tcPr>
          <w:p>
            <w:pPr>
              <w:spacing w:after="0"/>
              <w:rPr>
                <w:sz w:val="3"/>
                <w:szCs w:val="3"/>
                <w:color w:val="auto"/>
              </w:rPr>
            </w:pPr>
          </w:p>
        </w:tc>
        <w:tc>
          <w:tcPr>
            <w:tcW w:w="1780" w:type="dxa"/>
            <w:vAlign w:val="bottom"/>
            <w:tcBorders>
              <w:top w:val="single" w:sz="8" w:color="0000EE"/>
              <w:bottom w:val="single" w:sz="8" w:color="auto"/>
            </w:tcBorders>
          </w:tcPr>
          <w:p>
            <w:pPr>
              <w:spacing w:after="0"/>
              <w:rPr>
                <w:sz w:val="3"/>
                <w:szCs w:val="3"/>
                <w:color w:val="auto"/>
              </w:rPr>
            </w:pPr>
          </w:p>
        </w:tc>
        <w:tc>
          <w:tcPr>
            <w:tcW w:w="1020" w:type="dxa"/>
            <w:vAlign w:val="bottom"/>
            <w:tcBorders>
              <w:top w:val="single" w:sz="8" w:color="0000EE"/>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3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line="147" w:lineRule="exact"/>
              <w:rPr>
                <w:sz w:val="20"/>
                <w:szCs w:val="20"/>
                <w:color w:val="auto"/>
              </w:rPr>
            </w:pPr>
            <w:r>
              <w:rPr>
                <w:rFonts w:ascii="Arial" w:cs="Arial" w:eastAsia="Arial" w:hAnsi="Arial"/>
                <w:sz w:val="17"/>
                <w:szCs w:val="17"/>
                <w:color w:val="auto"/>
              </w:rPr>
              <w:t>4.4</w:t>
            </w:r>
          </w:p>
        </w:tc>
        <w:tc>
          <w:tcPr>
            <w:tcW w:w="8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4240" w:type="dxa"/>
            <w:vAlign w:val="bottom"/>
            <w:tcBorders>
              <w:bottom w:val="single" w:sz="8" w:color="0000EE"/>
            </w:tcBorders>
            <w:gridSpan w:val="4"/>
          </w:tcPr>
          <w:p>
            <w:pPr>
              <w:spacing w:after="0" w:line="147" w:lineRule="exact"/>
              <w:rPr>
                <w:rFonts w:ascii="Arial" w:cs="Arial" w:eastAsia="Arial" w:hAnsi="Arial"/>
                <w:sz w:val="17"/>
                <w:szCs w:val="17"/>
                <w:color w:val="0000EE"/>
                <w:w w:val="93"/>
              </w:rPr>
            </w:pPr>
            <w:hyperlink r:id="rId67">
              <w:r>
                <w:rPr>
                  <w:rFonts w:ascii="Arial" w:cs="Arial" w:eastAsia="Arial" w:hAnsi="Arial"/>
                  <w:sz w:val="17"/>
                  <w:szCs w:val="17"/>
                  <w:color w:val="0000EE"/>
                  <w:w w:val="93"/>
                </w:rPr>
                <w:t>First Supplemental Indenture, by and among Gevo, Inc., the</w:t>
              </w:r>
            </w:hyperlink>
          </w:p>
        </w:tc>
        <w:tc>
          <w:tcPr>
            <w:tcW w:w="420" w:type="dxa"/>
            <w:vAlign w:val="bottom"/>
            <w:tcBorders>
              <w:right w:val="single" w:sz="8" w:color="auto"/>
            </w:tcBorders>
            <w:gridSpan w:val="4"/>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240" w:type="dxa"/>
            <w:vAlign w:val="bottom"/>
            <w:tcBorders>
              <w:bottom w:val="single" w:sz="8" w:color="0000EE"/>
            </w:tcBorders>
            <w:gridSpan w:val="4"/>
          </w:tcPr>
          <w:p>
            <w:pPr>
              <w:spacing w:after="0" w:line="194" w:lineRule="exact"/>
              <w:rPr>
                <w:rFonts w:ascii="Arial" w:cs="Arial" w:eastAsia="Arial" w:hAnsi="Arial"/>
                <w:sz w:val="18"/>
                <w:szCs w:val="18"/>
                <w:color w:val="0000EE"/>
                <w:w w:val="88"/>
              </w:rPr>
            </w:pPr>
            <w:hyperlink r:id="rId67">
              <w:r>
                <w:rPr>
                  <w:rFonts w:ascii="Arial" w:cs="Arial" w:eastAsia="Arial" w:hAnsi="Arial"/>
                  <w:sz w:val="18"/>
                  <w:szCs w:val="18"/>
                  <w:color w:val="0000EE"/>
                  <w:w w:val="88"/>
                </w:rPr>
                <w:t>guarantors party thereto, Wilmington Savings Fund Society,</w:t>
              </w:r>
            </w:hyperlink>
          </w:p>
        </w:tc>
        <w:tc>
          <w:tcPr>
            <w:tcW w:w="420" w:type="dxa"/>
            <w:vAlign w:val="bottom"/>
            <w:tcBorders>
              <w:right w:val="single" w:sz="8" w:color="auto"/>
            </w:tcBorders>
            <w:gridSpan w:val="4"/>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April 9, 2020</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3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4660" w:type="dxa"/>
            <w:vAlign w:val="bottom"/>
            <w:tcBorders>
              <w:right w:val="single" w:sz="8" w:color="auto"/>
            </w:tcBorders>
            <w:gridSpan w:val="8"/>
            <w:vMerge w:val="restart"/>
          </w:tcPr>
          <w:p>
            <w:pPr>
              <w:spacing w:after="0" w:line="194" w:lineRule="exact"/>
              <w:rPr>
                <w:rFonts w:ascii="Arial" w:cs="Arial" w:eastAsia="Arial" w:hAnsi="Arial"/>
                <w:sz w:val="18"/>
                <w:szCs w:val="18"/>
                <w:color w:val="0000EE"/>
                <w:w w:val="87"/>
              </w:rPr>
            </w:pPr>
            <w:hyperlink r:id="rId67">
              <w:r>
                <w:rPr>
                  <w:rFonts w:ascii="Arial" w:cs="Arial" w:eastAsia="Arial" w:hAnsi="Arial"/>
                  <w:sz w:val="18"/>
                  <w:szCs w:val="18"/>
                  <w:color w:val="0000EE"/>
                  <w:w w:val="87"/>
                </w:rPr>
                <w:t>FSB, as trustee and as collateral trustee, the requisite holders and</w:t>
              </w:r>
            </w:hyperlink>
          </w:p>
        </w:tc>
        <w:tc>
          <w:tcPr>
            <w:tcW w:w="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vMerge w:val="continue"/>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3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660" w:type="dxa"/>
            <w:vAlign w:val="bottom"/>
            <w:tcBorders>
              <w:right w:val="single" w:sz="8" w:color="auto"/>
            </w:tcBorders>
            <w:gridSpan w:val="8"/>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58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r:id="rId67">
              <w:r>
                <w:rPr>
                  <w:rFonts w:ascii="Arial" w:cs="Arial" w:eastAsia="Arial" w:hAnsi="Arial"/>
                  <w:sz w:val="18"/>
                  <w:szCs w:val="18"/>
                  <w:color w:val="0000EE"/>
                </w:rPr>
                <w:t>Whitebox Advisors LLC.</w:t>
              </w:r>
            </w:hyperlink>
          </w:p>
        </w:tc>
        <w:tc>
          <w:tcPr>
            <w:tcW w:w="8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2"/>
        </w:trPr>
        <w:tc>
          <w:tcPr>
            <w:tcW w:w="3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4.5</w:t>
            </w:r>
          </w:p>
        </w:tc>
        <w:tc>
          <w:tcPr>
            <w:tcW w:w="8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gridSpan w:val="8"/>
            <w:vMerge w:val="restart"/>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Registration Rights Agreement, dated January 10, 2020, by and</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January 13, 2020</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660" w:type="dxa"/>
            <w:vAlign w:val="bottom"/>
            <w:tcBorders>
              <w:right w:val="single" w:sz="8" w:color="auto"/>
            </w:tcBorders>
            <w:gridSpan w:val="8"/>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480" w:type="dxa"/>
            <w:vAlign w:val="bottom"/>
            <w:tcBorders>
              <w:top w:val="single" w:sz="8" w:color="0000EE"/>
            </w:tcBorders>
            <w:gridSpan w:val="5"/>
          </w:tcPr>
          <w:p>
            <w:pPr>
              <w:spacing w:after="0" w:line="194" w:lineRule="exact"/>
              <w:rPr>
                <w:rFonts w:ascii="Arial" w:cs="Arial" w:eastAsia="Arial" w:hAnsi="Arial"/>
                <w:sz w:val="18"/>
                <w:szCs w:val="18"/>
                <w:color w:val="0000EE"/>
              </w:rPr>
            </w:pPr>
            <w:hyperlink r:id="rId68">
              <w:r>
                <w:rPr>
                  <w:rFonts w:ascii="Arial" w:cs="Arial" w:eastAsia="Arial" w:hAnsi="Arial"/>
                  <w:sz w:val="18"/>
                  <w:szCs w:val="18"/>
                  <w:color w:val="0000EE"/>
                </w:rPr>
                <w:t>among Gevo, Inc. and the investors named therein.</w:t>
              </w:r>
            </w:hyperlink>
          </w:p>
        </w:tc>
        <w:tc>
          <w:tcPr>
            <w:tcW w:w="180" w:type="dxa"/>
            <w:vAlign w:val="bottom"/>
            <w:tcBorders>
              <w:right w:val="single" w:sz="8" w:color="auto"/>
            </w:tcBorders>
            <w:gridSpan w:val="3"/>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780" w:type="dxa"/>
            <w:vAlign w:val="bottom"/>
            <w:tcBorders>
              <w:top w:val="single" w:sz="8" w:color="0000EE"/>
              <w:bottom w:val="single" w:sz="8" w:color="auto"/>
            </w:tcBorders>
          </w:tcPr>
          <w:p>
            <w:pPr>
              <w:spacing w:after="0"/>
              <w:rPr>
                <w:sz w:val="2"/>
                <w:szCs w:val="2"/>
                <w:color w:val="auto"/>
              </w:rPr>
            </w:pPr>
          </w:p>
        </w:tc>
        <w:tc>
          <w:tcPr>
            <w:tcW w:w="1020" w:type="dxa"/>
            <w:vAlign w:val="bottom"/>
            <w:tcBorders>
              <w:top w:val="single" w:sz="8" w:color="0000EE"/>
              <w:bottom w:val="single" w:sz="8" w:color="auto"/>
            </w:tcBorders>
          </w:tcPr>
          <w:p>
            <w:pPr>
              <w:spacing w:after="0"/>
              <w:rPr>
                <w:sz w:val="2"/>
                <w:szCs w:val="2"/>
                <w:color w:val="auto"/>
              </w:rPr>
            </w:pPr>
          </w:p>
        </w:tc>
        <w:tc>
          <w:tcPr>
            <w:tcW w:w="800" w:type="dxa"/>
            <w:vAlign w:val="bottom"/>
            <w:tcBorders>
              <w:top w:val="single" w:sz="8" w:color="0000EE"/>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3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60" w:type="dxa"/>
            <w:vAlign w:val="bottom"/>
            <w:tcBorders>
              <w:bottom w:val="single" w:sz="8" w:color="auto"/>
              <w:right w:val="single" w:sz="8" w:color="auto"/>
            </w:tcBorders>
            <w:gridSpan w:val="8"/>
          </w:tcPr>
          <w:p>
            <w:pPr>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Form of Series D Warrant to Purchase Common Stock.</w:t>
              </w:r>
            </w:hyperlink>
          </w:p>
        </w:tc>
        <w:tc>
          <w:tcPr>
            <w:tcW w:w="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December 15, 2015</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4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60" w:type="dxa"/>
            <w:vAlign w:val="bottom"/>
            <w:tcBorders>
              <w:bottom w:val="single" w:sz="8" w:color="auto"/>
              <w:right w:val="single" w:sz="8" w:color="auto"/>
            </w:tcBorders>
            <w:gridSpan w:val="8"/>
          </w:tcPr>
          <w:p>
            <w:pPr>
              <w:spacing w:after="0"/>
              <w:rPr>
                <w:rFonts w:ascii="Arial" w:cs="Arial" w:eastAsia="Arial" w:hAnsi="Arial"/>
                <w:sz w:val="18"/>
                <w:szCs w:val="18"/>
                <w:u w:val="single" w:color="auto"/>
                <w:color w:val="0000EE"/>
              </w:rPr>
            </w:pPr>
            <w:hyperlink r:id="rId70">
              <w:r>
                <w:rPr>
                  <w:rFonts w:ascii="Arial" w:cs="Arial" w:eastAsia="Arial" w:hAnsi="Arial"/>
                  <w:sz w:val="18"/>
                  <w:szCs w:val="18"/>
                  <w:u w:val="single" w:color="auto"/>
                  <w:color w:val="0000EE"/>
                </w:rPr>
                <w:t>Form of Amendment No. 1 to Series D Warrant</w:t>
              </w:r>
            </w:hyperlink>
          </w:p>
        </w:tc>
        <w:tc>
          <w:tcPr>
            <w:tcW w:w="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June 13, 2016</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80" w:type="dxa"/>
            <w:vAlign w:val="bottom"/>
            <w:gridSpan w:val="5"/>
          </w:tcPr>
          <w:p>
            <w:pPr>
              <w:jc w:val="right"/>
              <w:ind w:right="12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1" w:name="page52"/>
    <w:bookmarkEnd w:id="5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1360" w:type="dxa"/>
            <w:vAlign w:val="bottom"/>
            <w:gridSpan w:val="4"/>
          </w:tcPr>
          <w:p>
            <w:pPr>
              <w:spacing w:after="0"/>
              <w:rPr>
                <w:rFonts w:ascii="Arial" w:cs="Arial" w:eastAsia="Arial" w:hAnsi="Arial"/>
                <w:sz w:val="18"/>
                <w:szCs w:val="18"/>
                <w:u w:val="single" w:color="auto"/>
                <w:color w:val="0000EE"/>
                <w:w w:val="92"/>
              </w:rPr>
            </w:pPr>
            <w:hyperlink w:anchor="page3">
              <w:r>
                <w:rPr>
                  <w:rFonts w:ascii="Arial" w:cs="Arial" w:eastAsia="Arial" w:hAnsi="Arial"/>
                  <w:sz w:val="18"/>
                  <w:szCs w:val="18"/>
                  <w:u w:val="single" w:color="auto"/>
                  <w:color w:val="0000EE"/>
                  <w:w w:val="92"/>
                </w:rPr>
                <w:t>Table of Contents</w:t>
              </w:r>
            </w:hyperlink>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2"/>
        </w:trPr>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152"/>
        </w:trPr>
        <w:tc>
          <w:tcPr>
            <w:tcW w:w="1180" w:type="dxa"/>
            <w:vAlign w:val="bottom"/>
            <w:tcBorders>
              <w:left w:val="single" w:sz="8" w:color="auto"/>
              <w:right w:val="single" w:sz="8" w:color="auto"/>
            </w:tcBorders>
            <w:gridSpan w:val="2"/>
          </w:tcPr>
          <w:p>
            <w:pPr>
              <w:ind w:left="20"/>
              <w:spacing w:after="0" w:line="152" w:lineRule="exact"/>
              <w:rPr>
                <w:sz w:val="20"/>
                <w:szCs w:val="20"/>
                <w:color w:val="auto"/>
              </w:rPr>
            </w:pPr>
            <w:r>
              <w:rPr>
                <w:rFonts w:ascii="Arial" w:cs="Arial" w:eastAsia="Arial" w:hAnsi="Arial"/>
                <w:sz w:val="17"/>
                <w:szCs w:val="17"/>
                <w:b w:val="1"/>
                <w:bCs w:val="1"/>
                <w:color w:val="auto"/>
              </w:rPr>
              <w:t>Exhibit</w:t>
            </w:r>
          </w:p>
        </w:tc>
        <w:tc>
          <w:tcPr>
            <w:tcW w:w="8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7"/>
                <w:szCs w:val="17"/>
                <w:b w:val="1"/>
                <w:bCs w:val="1"/>
                <w:color w:val="auto"/>
                <w:w w:val="95"/>
              </w:rPr>
              <w:t>Filed</w:t>
            </w:r>
          </w:p>
        </w:tc>
      </w:tr>
      <w:tr>
        <w:trPr>
          <w:trHeight w:val="249"/>
        </w:trPr>
        <w:tc>
          <w:tcPr>
            <w:tcW w:w="11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gridSpan w:val="9"/>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Herewith</w:t>
            </w:r>
          </w:p>
        </w:tc>
      </w:tr>
      <w:tr>
        <w:trPr>
          <w:trHeight w:val="187"/>
        </w:trPr>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3"/>
              </w:rPr>
              <w:t>Form</w:t>
            </w:r>
          </w:p>
        </w:tc>
        <w:tc>
          <w:tcPr>
            <w:tcW w:w="1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89"/>
              </w:rPr>
              <w:t>File No.</w:t>
            </w:r>
          </w:p>
        </w:tc>
        <w:tc>
          <w:tcPr>
            <w:tcW w:w="8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jc w:val="center"/>
              <w:spacing w:after="0" w:line="187" w:lineRule="exact"/>
              <w:rPr>
                <w:sz w:val="20"/>
                <w:szCs w:val="20"/>
                <w:color w:val="auto"/>
              </w:rPr>
            </w:pPr>
            <w:r>
              <w:rPr>
                <w:rFonts w:ascii="Arial" w:cs="Arial" w:eastAsia="Arial" w:hAnsi="Arial"/>
                <w:sz w:val="18"/>
                <w:szCs w:val="18"/>
                <w:b w:val="1"/>
                <w:bCs w:val="1"/>
                <w:color w:val="auto"/>
                <w:w w:val="91"/>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ind w:left="60"/>
              <w:spacing w:after="0" w:line="187" w:lineRule="exact"/>
              <w:rPr>
                <w:sz w:val="20"/>
                <w:szCs w:val="20"/>
                <w:color w:val="auto"/>
              </w:rPr>
            </w:pPr>
            <w:r>
              <w:rPr>
                <w:rFonts w:ascii="Arial" w:cs="Arial" w:eastAsia="Arial" w:hAnsi="Arial"/>
                <w:sz w:val="18"/>
                <w:szCs w:val="18"/>
                <w:b w:val="1"/>
                <w:bCs w:val="1"/>
                <w:color w:val="auto"/>
              </w:rPr>
              <w:t>Exhibit</w:t>
            </w:r>
          </w:p>
        </w:tc>
        <w:tc>
          <w:tcPr>
            <w:tcW w:w="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r>
      <w:tr>
        <w:trPr>
          <w:trHeight w:val="420"/>
        </w:trPr>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9"/>
          </w:tcPr>
          <w:p>
            <w:pPr>
              <w:spacing w:after="0"/>
              <w:rPr>
                <w:rFonts w:ascii="Arial" w:cs="Arial" w:eastAsia="Arial" w:hAnsi="Arial"/>
                <w:sz w:val="18"/>
                <w:szCs w:val="18"/>
                <w:u w:val="single" w:color="auto"/>
                <w:color w:val="0000EE"/>
              </w:rPr>
            </w:pPr>
            <w:hyperlink r:id="rId71">
              <w:r>
                <w:rPr>
                  <w:rFonts w:ascii="Arial" w:cs="Arial" w:eastAsia="Arial" w:hAnsi="Arial"/>
                  <w:sz w:val="18"/>
                  <w:szCs w:val="18"/>
                  <w:u w:val="single" w:color="auto"/>
                  <w:color w:val="0000EE"/>
                </w:rPr>
                <w:t>Form of Series F Warrant to Purchase Common Stock.</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April 5, 2016</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r>
        <w:trPr>
          <w:trHeight w:val="420"/>
        </w:trPr>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9"/>
          </w:tcPr>
          <w:p>
            <w:pPr>
              <w:spacing w:after="0"/>
              <w:rPr>
                <w:rFonts w:ascii="Arial" w:cs="Arial" w:eastAsia="Arial" w:hAnsi="Arial"/>
                <w:sz w:val="18"/>
                <w:szCs w:val="18"/>
                <w:u w:val="single" w:color="auto"/>
                <w:color w:val="0000EE"/>
              </w:rPr>
            </w:pPr>
            <w:hyperlink r:id="rId72">
              <w:r>
                <w:rPr>
                  <w:rFonts w:ascii="Arial" w:cs="Arial" w:eastAsia="Arial" w:hAnsi="Arial"/>
                  <w:sz w:val="18"/>
                  <w:szCs w:val="18"/>
                  <w:u w:val="single" w:color="auto"/>
                  <w:color w:val="0000EE"/>
                </w:rPr>
                <w:t>Form of Series I Warrant to Purchase Common Stock</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September 15, 2016</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r>
        <w:trPr>
          <w:trHeight w:val="420"/>
        </w:trPr>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4.10</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9"/>
          </w:tcPr>
          <w:p>
            <w:pPr>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Form of Series K Warrant to Purchase Common Stock</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February 22, 2017</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r>
      <w:tr>
        <w:trPr>
          <w:trHeight w:val="170"/>
        </w:trPr>
        <w:tc>
          <w:tcPr>
            <w:tcW w:w="36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gridSpan w:val="9"/>
          </w:tcPr>
          <w:p>
            <w:pPr>
              <w:spacing w:after="0" w:line="170" w:lineRule="exact"/>
              <w:rPr>
                <w:rFonts w:ascii="Arial" w:cs="Arial" w:eastAsia="Arial" w:hAnsi="Arial"/>
                <w:sz w:val="18"/>
                <w:szCs w:val="18"/>
                <w:color w:val="0000EE"/>
                <w:w w:val="94"/>
              </w:rPr>
            </w:pPr>
            <w:hyperlink r:id="rId74">
              <w:r>
                <w:rPr>
                  <w:rFonts w:ascii="Arial" w:cs="Arial" w:eastAsia="Arial" w:hAnsi="Arial"/>
                  <w:sz w:val="18"/>
                  <w:szCs w:val="18"/>
                  <w:color w:val="0000EE"/>
                  <w:w w:val="94"/>
                </w:rPr>
                <w:t>Letter Agreement, dated April 7, 2020, by and among Gevo,</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20"/>
        </w:trPr>
        <w:tc>
          <w:tcPr>
            <w:tcW w:w="36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5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60" w:type="dxa"/>
            <w:vAlign w:val="bottom"/>
            <w:tcBorders>
              <w:right w:val="single" w:sz="8" w:color="auto"/>
            </w:tcBorders>
            <w:gridSpan w:val="9"/>
          </w:tcPr>
          <w:p>
            <w:pPr>
              <w:spacing w:after="0" w:line="194"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Inc., the guarantors party thereto and Whitebox Advisors LLC,</w:t>
              </w:r>
            </w:hyperlink>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line="194" w:lineRule="exact"/>
              <w:rPr>
                <w:sz w:val="20"/>
                <w:szCs w:val="20"/>
                <w:color w:val="auto"/>
              </w:rPr>
            </w:pPr>
            <w:r>
              <w:rPr>
                <w:rFonts w:ascii="Arial" w:cs="Arial" w:eastAsia="Arial" w:hAnsi="Arial"/>
                <w:sz w:val="18"/>
                <w:szCs w:val="18"/>
                <w:color w:val="auto"/>
              </w:rPr>
              <w:t>10.1</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44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r:id="rId74">
              <w:r>
                <w:rPr>
                  <w:rFonts w:ascii="Arial" w:cs="Arial" w:eastAsia="Arial" w:hAnsi="Arial"/>
                  <w:sz w:val="18"/>
                  <w:szCs w:val="18"/>
                  <w:color w:val="0000EE"/>
                </w:rPr>
                <w:t>for itself and on behalf of the holders.</w:t>
              </w:r>
            </w:hyperlink>
          </w:p>
        </w:tc>
        <w:tc>
          <w:tcPr>
            <w:tcW w:w="120" w:type="dxa"/>
            <w:vAlign w:val="bottom"/>
            <w:tcBorders>
              <w:right w:val="single" w:sz="8" w:color="auto"/>
            </w:tcBorders>
            <w:gridSpan w:val="2"/>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2"/>
              </w:rPr>
              <w:t>April 9, 2020</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5"/>
              </w:rPr>
              <w:t>10.1</w:t>
            </w: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84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top w:val="single" w:sz="8" w:color="0000EE"/>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167"/>
        </w:trPr>
        <w:tc>
          <w:tcPr>
            <w:tcW w:w="36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gridSpan w:val="9"/>
          </w:tcPr>
          <w:p>
            <w:pPr>
              <w:spacing w:after="0" w:line="167"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Amendment No. 1 to Fuel Sales Agreement, dated as of April</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360" w:type="dxa"/>
            <w:vAlign w:val="bottom"/>
            <w:tcBorders>
              <w:top w:val="single" w:sz="8" w:color="0000EE"/>
            </w:tcBorders>
            <w:gridSpan w:val="6"/>
          </w:tcPr>
          <w:p>
            <w:pPr>
              <w:spacing w:after="0" w:line="194" w:lineRule="exact"/>
              <w:rPr>
                <w:rFonts w:ascii="Arial" w:cs="Arial" w:eastAsia="Arial" w:hAnsi="Arial"/>
                <w:sz w:val="18"/>
                <w:szCs w:val="18"/>
                <w:color w:val="0000EE"/>
                <w:w w:val="90"/>
              </w:rPr>
            </w:pPr>
            <w:hyperlink r:id="rId75">
              <w:r>
                <w:rPr>
                  <w:rFonts w:ascii="Arial" w:cs="Arial" w:eastAsia="Arial" w:hAnsi="Arial"/>
                  <w:sz w:val="18"/>
                  <w:szCs w:val="18"/>
                  <w:color w:val="0000EE"/>
                  <w:w w:val="90"/>
                </w:rPr>
                <w:t>22, 2020, by and between the Company and Delta Air Lines,</w:t>
              </w:r>
            </w:hyperlink>
          </w:p>
        </w:tc>
        <w:tc>
          <w:tcPr>
            <w:tcW w:w="200" w:type="dxa"/>
            <w:vAlign w:val="bottom"/>
            <w:tcBorders>
              <w:right w:val="single" w:sz="8" w:color="auto"/>
            </w:tcBorders>
            <w:gridSpan w:val="3"/>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line="194" w:lineRule="exact"/>
              <w:rPr>
                <w:sz w:val="20"/>
                <w:szCs w:val="20"/>
                <w:color w:val="auto"/>
              </w:rPr>
            </w:pPr>
            <w:r>
              <w:rPr>
                <w:rFonts w:ascii="Arial" w:cs="Arial" w:eastAsia="Arial" w:hAnsi="Arial"/>
                <w:sz w:val="18"/>
                <w:szCs w:val="18"/>
                <w:color w:val="auto"/>
              </w:rPr>
              <w:t>10.2††</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280" w:type="dxa"/>
            <w:vAlign w:val="bottom"/>
            <w:tcBorders>
              <w:top w:val="single" w:sz="8" w:color="0000EE"/>
            </w:tcBorders>
            <w:gridSpan w:val="5"/>
          </w:tcPr>
          <w:p>
            <w:pPr>
              <w:spacing w:after="0" w:line="194" w:lineRule="exact"/>
              <w:rPr>
                <w:rFonts w:ascii="Arial" w:cs="Arial" w:eastAsia="Arial" w:hAnsi="Arial"/>
                <w:sz w:val="18"/>
                <w:szCs w:val="18"/>
                <w:color w:val="0000EE"/>
              </w:rPr>
            </w:pPr>
            <w:hyperlink r:id="rId75">
              <w:r>
                <w:rPr>
                  <w:rFonts w:ascii="Arial" w:cs="Arial" w:eastAsia="Arial" w:hAnsi="Arial"/>
                  <w:sz w:val="18"/>
                  <w:szCs w:val="18"/>
                  <w:color w:val="0000EE"/>
                </w:rPr>
                <w:t>Inc.</w:t>
              </w:r>
            </w:hyperlink>
          </w:p>
        </w:tc>
        <w:tc>
          <w:tcPr>
            <w:tcW w:w="280" w:type="dxa"/>
            <w:vAlign w:val="bottom"/>
            <w:tcBorders>
              <w:right w:val="single" w:sz="8" w:color="auto"/>
            </w:tcBorders>
            <w:gridSpan w:val="4"/>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93"/>
              </w:rPr>
              <w:t>April 28, 2020</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w w:val="85"/>
              </w:rPr>
              <w:t>10.1</w:t>
            </w: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6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jc w:val="right"/>
              <w:ind w:right="331"/>
              <w:spacing w:after="0"/>
              <w:rPr>
                <w:sz w:val="20"/>
                <w:szCs w:val="20"/>
                <w:color w:val="auto"/>
              </w:rPr>
            </w:pPr>
            <w:r>
              <w:rPr>
                <w:rFonts w:ascii="Arial" w:cs="Arial" w:eastAsia="Arial" w:hAnsi="Arial"/>
                <w:sz w:val="18"/>
                <w:szCs w:val="18"/>
                <w:color w:val="auto"/>
                <w:w w:val="75"/>
              </w:rPr>
              <w:t>10.3 #</w:t>
            </w:r>
          </w:p>
        </w:tc>
        <w:tc>
          <w:tcPr>
            <w:tcW w:w="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4560" w:type="dxa"/>
            <w:vAlign w:val="bottom"/>
            <w:tcBorders>
              <w:bottom w:val="single" w:sz="8" w:color="auto"/>
              <w:right w:val="single" w:sz="8" w:color="auto"/>
            </w:tcBorders>
            <w:gridSpan w:val="9"/>
          </w:tcPr>
          <w:p>
            <w:pPr>
              <w:spacing w:after="0"/>
              <w:rPr>
                <w:rFonts w:ascii="Arial" w:cs="Arial" w:eastAsia="Arial" w:hAnsi="Arial"/>
                <w:sz w:val="18"/>
                <w:szCs w:val="18"/>
                <w:u w:val="single" w:color="auto"/>
                <w:color w:val="0000EE"/>
                <w:w w:val="92"/>
              </w:rPr>
            </w:pPr>
            <w:hyperlink r:id="rId76">
              <w:r>
                <w:rPr>
                  <w:rFonts w:ascii="Arial" w:cs="Arial" w:eastAsia="Arial" w:hAnsi="Arial"/>
                  <w:sz w:val="18"/>
                  <w:szCs w:val="18"/>
                  <w:u w:val="single" w:color="auto"/>
                  <w:color w:val="0000EE"/>
                  <w:w w:val="92"/>
                </w:rPr>
                <w:t>Gevo, Inc. Amended and Restated 2010 Stock Incentive Plan</w:t>
              </w:r>
            </w:hyperlink>
          </w:p>
        </w:tc>
        <w:tc>
          <w:tcPr>
            <w:tcW w:w="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8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June 5, 2020</w:t>
            </w:r>
          </w:p>
        </w:tc>
        <w:tc>
          <w:tcPr>
            <w:tcW w:w="10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r>
      <w:tr>
        <w:trPr>
          <w:trHeight w:val="417"/>
        </w:trPr>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31.1</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9"/>
          </w:tcPr>
          <w:p>
            <w:pPr>
              <w:spacing w:after="0"/>
              <w:rPr>
                <w:rFonts w:ascii="Arial" w:cs="Arial" w:eastAsia="Arial" w:hAnsi="Arial"/>
                <w:sz w:val="18"/>
                <w:szCs w:val="18"/>
                <w:u w:val="single" w:color="auto"/>
                <w:color w:val="0000EE"/>
                <w:w w:val="97"/>
              </w:rPr>
            </w:pPr>
            <w:hyperlink w:anchor="page54">
              <w:r>
                <w:rPr>
                  <w:rFonts w:ascii="Arial" w:cs="Arial" w:eastAsia="Arial" w:hAnsi="Arial"/>
                  <w:sz w:val="18"/>
                  <w:szCs w:val="18"/>
                  <w:u w:val="single" w:color="auto"/>
                  <w:color w:val="0000EE"/>
                  <w:w w:val="97"/>
                </w:rPr>
                <w:t>Section 302 Certification of the Principal Executive Officer.</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420"/>
        </w:trPr>
        <w:tc>
          <w:tcPr>
            <w:tcW w:w="36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31.2</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9"/>
          </w:tcPr>
          <w:p>
            <w:pPr>
              <w:spacing w:after="0"/>
              <w:rPr>
                <w:rFonts w:ascii="Arial" w:cs="Arial" w:eastAsia="Arial" w:hAnsi="Arial"/>
                <w:sz w:val="18"/>
                <w:szCs w:val="18"/>
                <w:u w:val="single" w:color="auto"/>
                <w:color w:val="0000EE"/>
                <w:w w:val="98"/>
              </w:rPr>
            </w:pPr>
            <w:hyperlink w:anchor="page55">
              <w:r>
                <w:rPr>
                  <w:rFonts w:ascii="Arial" w:cs="Arial" w:eastAsia="Arial" w:hAnsi="Arial"/>
                  <w:sz w:val="18"/>
                  <w:szCs w:val="18"/>
                  <w:u w:val="single" w:color="auto"/>
                  <w:color w:val="0000EE"/>
                  <w:w w:val="98"/>
                </w:rPr>
                <w:t>Section 302 Certification of the Principal Financial Officer.</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170"/>
        </w:trPr>
        <w:tc>
          <w:tcPr>
            <w:tcW w:w="36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gridSpan w:val="9"/>
          </w:tcPr>
          <w:p>
            <w:pPr>
              <w:spacing w:after="0" w:line="170"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Section 906 Certification of the Principal Executive Officer and</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r>
      <w:tr>
        <w:trPr>
          <w:trHeight w:val="193"/>
        </w:trPr>
        <w:tc>
          <w:tcPr>
            <w:tcW w:w="360" w:type="dxa"/>
            <w:vAlign w:val="bottom"/>
            <w:tcBorders>
              <w:right w:val="single" w:sz="8" w:color="auto"/>
            </w:tcBorders>
          </w:tcPr>
          <w:p>
            <w:pPr>
              <w:spacing w:after="0"/>
              <w:rPr>
                <w:sz w:val="16"/>
                <w:szCs w:val="16"/>
                <w:color w:val="auto"/>
              </w:rPr>
            </w:pPr>
          </w:p>
        </w:tc>
        <w:tc>
          <w:tcPr>
            <w:tcW w:w="820" w:type="dxa"/>
            <w:vAlign w:val="bottom"/>
            <w:tcBorders>
              <w:right w:val="single" w:sz="8" w:color="auto"/>
            </w:tcBorders>
          </w:tcPr>
          <w:p>
            <w:pPr>
              <w:spacing w:after="0" w:line="194" w:lineRule="exact"/>
              <w:rPr>
                <w:sz w:val="20"/>
                <w:szCs w:val="20"/>
                <w:color w:val="auto"/>
              </w:rPr>
            </w:pPr>
            <w:r>
              <w:rPr>
                <w:rFonts w:ascii="Arial" w:cs="Arial" w:eastAsia="Arial" w:hAnsi="Arial"/>
                <w:sz w:val="18"/>
                <w:szCs w:val="18"/>
                <w:color w:val="auto"/>
              </w:rPr>
              <w:t>32.1</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8"/>
          </w:tcPr>
          <w:p>
            <w:pPr>
              <w:spacing w:after="0" w:line="194" w:lineRule="exact"/>
              <w:rPr>
                <w:rFonts w:ascii="Arial" w:cs="Arial" w:eastAsia="Arial" w:hAnsi="Arial"/>
                <w:sz w:val="18"/>
                <w:szCs w:val="18"/>
                <w:color w:val="0000EE"/>
              </w:rPr>
            </w:pPr>
            <w:hyperlink w:anchor="page56">
              <w:r>
                <w:rPr>
                  <w:rFonts w:ascii="Arial" w:cs="Arial" w:eastAsia="Arial" w:hAnsi="Arial"/>
                  <w:sz w:val="18"/>
                  <w:szCs w:val="18"/>
                  <w:color w:val="0000EE"/>
                </w:rPr>
                <w:t>Principal Financial Officer.**</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8"/>
                <w:szCs w:val="18"/>
                <w:color w:val="auto"/>
              </w:rPr>
              <w:t>X**</w:t>
            </w:r>
          </w:p>
        </w:tc>
      </w:tr>
      <w:tr>
        <w:trPr>
          <w:trHeight w:val="20"/>
        </w:trPr>
        <w:tc>
          <w:tcPr>
            <w:tcW w:w="36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840" w:type="dxa"/>
            <w:vAlign w:val="bottom"/>
            <w:tcBorders>
              <w:top w:val="single" w:sz="8" w:color="0000EE"/>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r>
        <w:trPr>
          <w:trHeight w:val="406"/>
        </w:trPr>
        <w:tc>
          <w:tcPr>
            <w:tcW w:w="360" w:type="dxa"/>
            <w:vAlign w:val="bottom"/>
            <w:tcBorders>
              <w:right w:val="single" w:sz="8" w:color="auto"/>
            </w:tcBorders>
          </w:tcPr>
          <w:p>
            <w:pPr>
              <w:spacing w:after="0"/>
              <w:rPr>
                <w:sz w:val="24"/>
                <w:szCs w:val="24"/>
                <w:color w:val="auto"/>
              </w:rPr>
            </w:pPr>
          </w:p>
        </w:tc>
        <w:tc>
          <w:tcPr>
            <w:tcW w:w="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101</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2"/>
              </w:rPr>
              <w:t>Financial statements from the Quarterly Report on Form 10-Q</w:t>
            </w: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3"/>
        </w:trPr>
        <w:tc>
          <w:tcPr>
            <w:tcW w:w="3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6"/>
              </w:rPr>
              <w:t>of Gevo, Inc. for the quarterly period ended June 30, 2020,</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3"/>
        </w:trPr>
        <w:tc>
          <w:tcPr>
            <w:tcW w:w="3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5"/>
              </w:rPr>
              <w:t>formatted in XBRL: (i) the Consolidated Balance Sheets, (ii)</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3"/>
        </w:trPr>
        <w:tc>
          <w:tcPr>
            <w:tcW w:w="3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rPr>
              <w:t>the Consolidated Statements of Operations, (iii)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13"/>
        </w:trPr>
        <w:tc>
          <w:tcPr>
            <w:tcW w:w="36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4560" w:type="dxa"/>
            <w:vAlign w:val="bottom"/>
            <w:tcBorders>
              <w:right w:val="single" w:sz="8" w:color="auto"/>
            </w:tcBorders>
            <w:gridSpan w:val="9"/>
          </w:tcPr>
          <w:p>
            <w:pPr>
              <w:spacing w:after="0"/>
              <w:rPr>
                <w:sz w:val="20"/>
                <w:szCs w:val="20"/>
                <w:color w:val="auto"/>
              </w:rPr>
            </w:pPr>
            <w:r>
              <w:rPr>
                <w:rFonts w:ascii="Arial" w:cs="Arial" w:eastAsia="Arial" w:hAnsi="Arial"/>
                <w:sz w:val="18"/>
                <w:szCs w:val="18"/>
                <w:color w:val="auto"/>
                <w:w w:val="91"/>
              </w:rPr>
              <w:t>Consolidated Statements of Cash Flows, and (iv) Notes to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r>
      <w:tr>
        <w:trPr>
          <w:trHeight w:val="225"/>
        </w:trPr>
        <w:tc>
          <w:tcPr>
            <w:tcW w:w="36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4560" w:type="dxa"/>
            <w:vAlign w:val="bottom"/>
            <w:tcBorders>
              <w:bottom w:val="single" w:sz="8" w:color="auto"/>
              <w:right w:val="single" w:sz="8" w:color="auto"/>
            </w:tcBorders>
            <w:gridSpan w:val="9"/>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r>
    </w:tbl>
    <w:p>
      <w:pPr>
        <w:spacing w:after="0" w:line="196" w:lineRule="exact"/>
        <w:rPr>
          <w:sz w:val="20"/>
          <w:szCs w:val="20"/>
          <w:color w:val="auto"/>
        </w:rPr>
      </w:pPr>
    </w:p>
    <w:p>
      <w:pPr>
        <w:ind w:left="640" w:hanging="633"/>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251" w:lineRule="exact"/>
        <w:rPr>
          <w:sz w:val="20"/>
          <w:szCs w:val="20"/>
          <w:color w:val="auto"/>
        </w:rPr>
      </w:pPr>
    </w:p>
    <w:p>
      <w:pPr>
        <w:ind w:left="640" w:right="140" w:hanging="633"/>
        <w:spacing w:after="0" w:line="190" w:lineRule="auto"/>
        <w:tabs>
          <w:tab w:leader="none" w:pos="640" w:val="left"/>
        </w:tabs>
        <w:numPr>
          <w:ilvl w:val="0"/>
          <w:numId w:val="7"/>
        </w:numPr>
        <w:rPr>
          <w:rFonts w:ascii="Arial" w:cs="Arial" w:eastAsia="Arial" w:hAnsi="Arial"/>
          <w:sz w:val="37"/>
          <w:szCs w:val="37"/>
          <w:color w:val="auto"/>
          <w:vertAlign w:val="subscript"/>
        </w:rPr>
      </w:pPr>
      <w:r>
        <w:rPr>
          <w:rFonts w:ascii="Arial" w:cs="Arial" w:eastAsia="Arial" w:hAnsi="Arial"/>
          <w:sz w:val="19"/>
          <w:szCs w:val="19"/>
          <w:color w:val="auto"/>
        </w:rPr>
        <w:t>Certain portions of the exhibit have been omitted pursuant to Rule 601(b)(10) of Regulation S-K. The omitted information is (i) not material and (ii) would likely cause competitive harm to the Company if publicly disclosed. of the exhibit</w:t>
      </w:r>
    </w:p>
    <w:p>
      <w:pPr>
        <w:spacing w:after="0" w:line="211" w:lineRule="exact"/>
        <w:rPr>
          <w:sz w:val="20"/>
          <w:szCs w:val="20"/>
          <w:color w:val="auto"/>
        </w:rPr>
      </w:pPr>
    </w:p>
    <w:p>
      <w:pPr>
        <w:ind w:left="640" w:right="700" w:hanging="633"/>
        <w:spacing w:after="0" w:line="187" w:lineRule="auto"/>
        <w:tabs>
          <w:tab w:leader="none" w:pos="640" w:val="left"/>
        </w:tabs>
        <w:numPr>
          <w:ilvl w:val="0"/>
          <w:numId w:val="8"/>
        </w:numPr>
        <w:rPr>
          <w:rFonts w:ascii="Arial" w:cs="Arial" w:eastAsia="Arial" w:hAnsi="Arial"/>
          <w:sz w:val="36"/>
          <w:szCs w:val="36"/>
          <w:color w:val="auto"/>
          <w:vertAlign w:val="subscript"/>
        </w:rPr>
      </w:pPr>
      <w:r>
        <w:rPr>
          <w:rFonts w:ascii="Arial" w:cs="Arial" w:eastAsia="Arial" w:hAnsi="Arial"/>
          <w:sz w:val="21"/>
          <w:szCs w:val="21"/>
          <w:color w:val="auto"/>
        </w:rPr>
        <w:t>Certain schedules and exhibits have been omitted pursuant to Item 601(a)(5) of Regulation S-K under the Securities Exchange Act of 1934, as amended.</w:t>
      </w:r>
    </w:p>
    <w:p>
      <w:pPr>
        <w:spacing w:after="0" w:line="190" w:lineRule="exact"/>
        <w:rPr>
          <w:sz w:val="20"/>
          <w:szCs w:val="20"/>
          <w:color w:val="auto"/>
        </w:rPr>
      </w:pPr>
    </w:p>
    <w:p>
      <w:pPr>
        <w:ind w:left="640" w:hanging="633"/>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40" w:lineRule="exact"/>
        <w:rPr>
          <w:sz w:val="20"/>
          <w:szCs w:val="20"/>
          <w:color w:val="auto"/>
        </w:rPr>
      </w:pPr>
    </w:p>
    <w:p>
      <w:pPr>
        <w:ind w:left="640" w:hanging="633"/>
        <w:spacing w:after="0"/>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Indicates a management contract or compensatory plan or arrangement.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469"/>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Gevo,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13335</wp:posOffset>
            </wp:positionV>
            <wp:extent cx="24993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13" w:lineRule="exact"/>
        <w:rPr>
          <w:sz w:val="20"/>
          <w:szCs w:val="20"/>
          <w:color w:val="auto"/>
        </w:rPr>
      </w:pPr>
    </w:p>
    <w:p>
      <w:pPr>
        <w:jc w:val="center"/>
        <w:ind w:right="5600"/>
        <w:spacing w:after="0"/>
        <w:rPr>
          <w:sz w:val="20"/>
          <w:szCs w:val="20"/>
          <w:color w:val="auto"/>
        </w:rPr>
      </w:pPr>
      <w:r>
        <w:rPr>
          <w:rFonts w:ascii="Arial" w:cs="Arial" w:eastAsia="Arial" w:hAnsi="Arial"/>
          <w:sz w:val="18"/>
          <w:szCs w:val="18"/>
          <w:b w:val="1"/>
          <w:bCs w:val="1"/>
          <w:color w:val="auto"/>
        </w:rPr>
        <w:t>Carolyn M. Romero, CPA</w:t>
      </w:r>
    </w:p>
    <w:p>
      <w:pPr>
        <w:spacing w:after="0" w:line="6" w:lineRule="exact"/>
        <w:rPr>
          <w:sz w:val="20"/>
          <w:szCs w:val="20"/>
          <w:color w:val="auto"/>
        </w:rPr>
      </w:pPr>
    </w:p>
    <w:p>
      <w:pPr>
        <w:jc w:val="center"/>
        <w:ind w:right="5600"/>
        <w:spacing w:after="0"/>
        <w:rPr>
          <w:sz w:val="20"/>
          <w:szCs w:val="20"/>
          <w:color w:val="auto"/>
        </w:rPr>
      </w:pPr>
      <w:r>
        <w:rPr>
          <w:rFonts w:ascii="Arial" w:cs="Arial" w:eastAsia="Arial" w:hAnsi="Arial"/>
          <w:sz w:val="18"/>
          <w:szCs w:val="18"/>
          <w:b w:val="1"/>
          <w:bCs w:val="1"/>
          <w:i w:val="1"/>
          <w:iCs w:val="1"/>
          <w:color w:val="auto"/>
        </w:rPr>
        <w:t>VP - Controller</w:t>
      </w:r>
    </w:p>
    <w:p>
      <w:pPr>
        <w:spacing w:after="0" w:line="6" w:lineRule="exact"/>
        <w:rPr>
          <w:sz w:val="20"/>
          <w:szCs w:val="20"/>
          <w:color w:val="auto"/>
        </w:rPr>
      </w:pPr>
    </w:p>
    <w:p>
      <w:pPr>
        <w:jc w:val="center"/>
        <w:ind w:right="560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640"/>
          </w:cols>
          <w:pgMar w:left="320" w:top="125" w:right="9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Patrick R. Gruber, certify that:</w:t>
      </w:r>
    </w:p>
    <w:p>
      <w:pPr>
        <w:spacing w:after="0" w:line="220" w:lineRule="exact"/>
        <w:rPr>
          <w:sz w:val="20"/>
          <w:szCs w:val="20"/>
          <w:color w:val="auto"/>
        </w:rPr>
      </w:pPr>
    </w:p>
    <w:p>
      <w:pPr>
        <w:ind w:left="440" w:hanging="433"/>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19" w:lineRule="exact"/>
        <w:rPr>
          <w:rFonts w:ascii="Arial" w:cs="Arial" w:eastAsia="Arial" w:hAnsi="Arial"/>
          <w:sz w:val="18"/>
          <w:szCs w:val="18"/>
          <w:color w:val="auto"/>
        </w:rPr>
      </w:pPr>
    </w:p>
    <w:p>
      <w:pPr>
        <w:ind w:left="440" w:right="780" w:hanging="433"/>
        <w:spacing w:after="0" w:line="25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440" w:right="1000" w:hanging="433"/>
        <w:spacing w:after="0" w:line="333" w:lineRule="auto"/>
        <w:tabs>
          <w:tab w:leader="none" w:pos="4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6"/>
          <w:szCs w:val="16"/>
          <w:color w:val="auto"/>
        </w:rPr>
      </w:pPr>
    </w:p>
    <w:p>
      <w:pPr>
        <w:ind w:left="440" w:right="660" w:hanging="433"/>
        <w:spacing w:after="0" w:line="25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6" w:lineRule="exact"/>
        <w:rPr>
          <w:rFonts w:ascii="Arial" w:cs="Arial" w:eastAsia="Arial" w:hAnsi="Arial"/>
          <w:sz w:val="18"/>
          <w:szCs w:val="18"/>
          <w:color w:val="auto"/>
        </w:rPr>
      </w:pPr>
    </w:p>
    <w:p>
      <w:pPr>
        <w:ind w:left="840" w:right="720" w:hanging="406"/>
        <w:spacing w:after="0" w:line="281" w:lineRule="auto"/>
        <w:tabs>
          <w:tab w:leader="none" w:pos="8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7"/>
          <w:szCs w:val="17"/>
          <w:color w:val="auto"/>
        </w:rPr>
      </w:pPr>
    </w:p>
    <w:p>
      <w:pPr>
        <w:ind w:left="840" w:right="840" w:hanging="406"/>
        <w:spacing w:after="0" w:line="258"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840" w:right="680" w:hanging="406"/>
        <w:spacing w:after="0" w:line="258"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8"/>
          <w:szCs w:val="18"/>
          <w:color w:val="auto"/>
        </w:rPr>
      </w:pPr>
    </w:p>
    <w:p>
      <w:pPr>
        <w:ind w:left="840" w:right="940" w:hanging="406"/>
        <w:spacing w:after="0" w:line="281" w:lineRule="auto"/>
        <w:tabs>
          <w:tab w:leader="none" w:pos="8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7"/>
          <w:szCs w:val="17"/>
          <w:color w:val="auto"/>
        </w:rPr>
      </w:pPr>
    </w:p>
    <w:p>
      <w:pPr>
        <w:ind w:left="440" w:right="900" w:hanging="433"/>
        <w:spacing w:after="0" w:line="258" w:lineRule="auto"/>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8"/>
          <w:szCs w:val="18"/>
          <w:color w:val="auto"/>
        </w:rPr>
      </w:pPr>
    </w:p>
    <w:p>
      <w:pPr>
        <w:ind w:left="840" w:right="880" w:hanging="406"/>
        <w:spacing w:after="0" w:line="333" w:lineRule="auto"/>
        <w:tabs>
          <w:tab w:leader="none" w:pos="8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6"/>
          <w:szCs w:val="16"/>
          <w:color w:val="auto"/>
        </w:rPr>
      </w:pPr>
    </w:p>
    <w:p>
      <w:pPr>
        <w:ind w:left="840" w:right="1120" w:hanging="406"/>
        <w:spacing w:after="0" w:line="270" w:lineRule="auto"/>
        <w:tabs>
          <w:tab w:leader="none" w:pos="8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 Patrick R. Gruber</w:t>
      </w:r>
    </w:p>
    <w:p>
      <w:pPr>
        <w:spacing w:after="0" w:line="19"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6429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jc w:val="center"/>
        <w:ind w:right="5360"/>
        <w:spacing w:after="0"/>
        <w:rPr>
          <w:sz w:val="20"/>
          <w:szCs w:val="20"/>
          <w:color w:val="auto"/>
        </w:rPr>
      </w:pPr>
      <w:r>
        <w:rPr>
          <w:rFonts w:ascii="Arial" w:cs="Arial" w:eastAsia="Arial" w:hAnsi="Arial"/>
          <w:sz w:val="18"/>
          <w:szCs w:val="18"/>
          <w:b w:val="1"/>
          <w:bCs w:val="1"/>
          <w:color w:val="auto"/>
        </w:rPr>
        <w:t>Chief Executive Officer</w:t>
      </w:r>
    </w:p>
    <w:p>
      <w:pPr>
        <w:spacing w:after="0" w:line="6" w:lineRule="exact"/>
        <w:rPr>
          <w:sz w:val="20"/>
          <w:szCs w:val="20"/>
          <w:color w:val="auto"/>
        </w:rPr>
      </w:pPr>
    </w:p>
    <w:p>
      <w:pPr>
        <w:jc w:val="center"/>
        <w:ind w:right="53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496570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L. Lynn Smull, certify that:</w:t>
      </w:r>
    </w:p>
    <w:p>
      <w:pPr>
        <w:spacing w:after="0" w:line="220" w:lineRule="exact"/>
        <w:rPr>
          <w:sz w:val="20"/>
          <w:szCs w:val="20"/>
          <w:color w:val="auto"/>
        </w:rPr>
      </w:pPr>
    </w:p>
    <w:p>
      <w:pPr>
        <w:ind w:left="420" w:hanging="413"/>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19" w:lineRule="exact"/>
        <w:rPr>
          <w:rFonts w:ascii="Arial" w:cs="Arial" w:eastAsia="Arial" w:hAnsi="Arial"/>
          <w:sz w:val="18"/>
          <w:szCs w:val="18"/>
          <w:color w:val="auto"/>
        </w:rPr>
      </w:pPr>
    </w:p>
    <w:p>
      <w:pPr>
        <w:ind w:left="420" w:right="940" w:hanging="413"/>
        <w:spacing w:after="0" w:line="258"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Arial" w:cs="Arial" w:eastAsia="Arial" w:hAnsi="Arial"/>
          <w:sz w:val="18"/>
          <w:szCs w:val="18"/>
          <w:color w:val="auto"/>
        </w:rPr>
      </w:pPr>
    </w:p>
    <w:p>
      <w:pPr>
        <w:ind w:left="420" w:right="1160" w:hanging="413"/>
        <w:spacing w:after="0" w:line="333"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6"/>
          <w:szCs w:val="16"/>
          <w:color w:val="auto"/>
        </w:rPr>
      </w:pPr>
    </w:p>
    <w:p>
      <w:pPr>
        <w:ind w:left="420" w:right="1100" w:hanging="413"/>
        <w:spacing w:after="0" w:line="286"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06" w:lineRule="exact"/>
        <w:rPr>
          <w:rFonts w:ascii="Arial" w:cs="Arial" w:eastAsia="Arial" w:hAnsi="Arial"/>
          <w:sz w:val="16"/>
          <w:szCs w:val="16"/>
          <w:color w:val="auto"/>
        </w:rPr>
      </w:pPr>
    </w:p>
    <w:p>
      <w:pPr>
        <w:ind w:left="840" w:right="1080" w:hanging="420"/>
        <w:spacing w:after="0" w:line="281" w:lineRule="auto"/>
        <w:tabs>
          <w:tab w:leader="none" w:pos="8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7"/>
          <w:szCs w:val="17"/>
          <w:color w:val="auto"/>
        </w:rPr>
      </w:pPr>
    </w:p>
    <w:p>
      <w:pPr>
        <w:ind w:left="840" w:right="980" w:hanging="420"/>
        <w:spacing w:after="0" w:line="258" w:lineRule="auto"/>
        <w:tabs>
          <w:tab w:leader="none" w:pos="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840" w:right="1040" w:hanging="420"/>
        <w:spacing w:after="0" w:line="258" w:lineRule="auto"/>
        <w:tabs>
          <w:tab w:leader="none" w:pos="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8"/>
          <w:szCs w:val="18"/>
          <w:color w:val="auto"/>
        </w:rPr>
      </w:pPr>
    </w:p>
    <w:p>
      <w:pPr>
        <w:ind w:left="840" w:right="1100" w:hanging="420"/>
        <w:spacing w:after="0" w:line="281" w:lineRule="auto"/>
        <w:tabs>
          <w:tab w:leader="none" w:pos="8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7"/>
          <w:szCs w:val="17"/>
          <w:color w:val="auto"/>
        </w:rPr>
      </w:pPr>
    </w:p>
    <w:p>
      <w:pPr>
        <w:ind w:left="420" w:right="1060" w:hanging="413"/>
        <w:spacing w:after="0" w:line="258"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8"/>
          <w:szCs w:val="18"/>
          <w:color w:val="auto"/>
        </w:rPr>
      </w:pPr>
    </w:p>
    <w:p>
      <w:pPr>
        <w:ind w:left="840" w:right="1040" w:hanging="420"/>
        <w:spacing w:after="0" w:line="333" w:lineRule="auto"/>
        <w:tabs>
          <w:tab w:leader="none" w:pos="8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6"/>
          <w:szCs w:val="16"/>
          <w:color w:val="auto"/>
        </w:rPr>
      </w:pPr>
    </w:p>
    <w:p>
      <w:pPr>
        <w:ind w:left="840" w:right="1280" w:hanging="420"/>
        <w:spacing w:after="0" w:line="270" w:lineRule="auto"/>
        <w:tabs>
          <w:tab w:leader="none" w:pos="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00" w:lineRule="exact"/>
        <w:rPr>
          <w:sz w:val="20"/>
          <w:szCs w:val="20"/>
          <w:color w:val="auto"/>
        </w:rPr>
      </w:pPr>
    </w:p>
    <w:p>
      <w:pPr>
        <w:spacing w:after="0" w:line="23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/s/ L. Lynn Smull</w:t>
      </w:r>
    </w:p>
    <w:p>
      <w:pPr>
        <w:spacing w:after="0" w:line="1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6347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jc w:val="center"/>
        <w:ind w:right="5500"/>
        <w:spacing w:after="0"/>
        <w:rPr>
          <w:sz w:val="20"/>
          <w:szCs w:val="20"/>
          <w:color w:val="auto"/>
        </w:rPr>
      </w:pPr>
      <w:r>
        <w:rPr>
          <w:rFonts w:ascii="Arial" w:cs="Arial" w:eastAsia="Arial" w:hAnsi="Arial"/>
          <w:sz w:val="18"/>
          <w:szCs w:val="18"/>
          <w:b w:val="1"/>
          <w:bCs w:val="1"/>
          <w:color w:val="auto"/>
        </w:rPr>
        <w:t>Chief Financial Officer</w:t>
      </w:r>
    </w:p>
    <w:p>
      <w:pPr>
        <w:spacing w:after="0" w:line="6" w:lineRule="exact"/>
        <w:rPr>
          <w:sz w:val="20"/>
          <w:szCs w:val="20"/>
          <w:color w:val="auto"/>
        </w:rPr>
      </w:pPr>
    </w:p>
    <w:p>
      <w:pPr>
        <w:jc w:val="center"/>
        <w:ind w:right="55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496570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CERTIFICATIONS PURSUANT TO SECTION 906 OF THE SARBANES-OXLEY ACT OF 2002</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(18 U.S.C. SECTION 1350)</w:t>
      </w:r>
    </w:p>
    <w:p>
      <w:pPr>
        <w:spacing w:after="0" w:line="207"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color w:val="auto"/>
        </w:rPr>
        <w:t>I, Patrick R. Gruber, Chief Executive Officer of Gevo, Inc. (the “Registrant”), and I, L. Lynn Smull, Chief Financial Officer of the Registrant, certify, pursuant to 18 U.S.C. Section 1350, as adopted pursuant to Section 906 of the Sarbanes-Oxley Act of 2002, that:</w:t>
      </w:r>
    </w:p>
    <w:p>
      <w:pPr>
        <w:spacing w:after="0" w:line="175" w:lineRule="exact"/>
        <w:rPr>
          <w:sz w:val="20"/>
          <w:szCs w:val="20"/>
          <w:color w:val="auto"/>
        </w:rPr>
      </w:pPr>
    </w:p>
    <w:p>
      <w:pPr>
        <w:ind w:right="480" w:firstLine="7"/>
        <w:spacing w:after="0" w:line="270" w:lineRule="auto"/>
        <w:tabs>
          <w:tab w:leader="none" w:pos="2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2020 (the “Report”), fully complies with the requirements of Section 13(a) or 15(d) of the Securities Exchange Act of 1934, as amended; and</w:t>
      </w:r>
    </w:p>
    <w:p>
      <w:pPr>
        <w:spacing w:after="0" w:line="174" w:lineRule="exact"/>
        <w:rPr>
          <w:rFonts w:ascii="Arial" w:cs="Arial" w:eastAsia="Arial" w:hAnsi="Arial"/>
          <w:sz w:val="18"/>
          <w:szCs w:val="18"/>
          <w:color w:val="auto"/>
        </w:rPr>
      </w:pPr>
    </w:p>
    <w:p>
      <w:pPr>
        <w:ind w:firstLine="7"/>
        <w:spacing w:after="0" w:line="270" w:lineRule="auto"/>
        <w:tabs>
          <w:tab w:leader="none" w:pos="2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for the period covered by the Report.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 Patrick R. Gruber</w:t>
      </w:r>
    </w:p>
    <w:p>
      <w:pPr>
        <w:spacing w:after="0" w:line="1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1349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jc w:val="center"/>
        <w:ind w:right="6160"/>
        <w:spacing w:after="0"/>
        <w:rPr>
          <w:sz w:val="20"/>
          <w:szCs w:val="20"/>
          <w:color w:val="auto"/>
        </w:rPr>
      </w:pPr>
      <w:r>
        <w:rPr>
          <w:rFonts w:ascii="Arial" w:cs="Arial" w:eastAsia="Arial" w:hAnsi="Arial"/>
          <w:sz w:val="18"/>
          <w:szCs w:val="18"/>
          <w:b w:val="1"/>
          <w:bCs w:val="1"/>
          <w:color w:val="auto"/>
        </w:rPr>
        <w:t>Chief Executive Officer</w:t>
      </w:r>
    </w:p>
    <w:p>
      <w:pPr>
        <w:spacing w:after="0" w:line="6" w:lineRule="exact"/>
        <w:rPr>
          <w:sz w:val="20"/>
          <w:szCs w:val="20"/>
          <w:color w:val="auto"/>
        </w:rPr>
      </w:pPr>
    </w:p>
    <w:p>
      <w:pPr>
        <w:jc w:val="center"/>
        <w:ind w:right="616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/s/ L. Lynn Smull</w:t>
      </w:r>
    </w:p>
    <w:p>
      <w:pPr>
        <w:spacing w:after="0" w:line="19"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31349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jc w:val="center"/>
        <w:ind w:right="6160"/>
        <w:spacing w:after="0"/>
        <w:rPr>
          <w:sz w:val="20"/>
          <w:szCs w:val="20"/>
          <w:color w:val="auto"/>
        </w:rPr>
      </w:pPr>
      <w:r>
        <w:rPr>
          <w:rFonts w:ascii="Arial" w:cs="Arial" w:eastAsia="Arial" w:hAnsi="Arial"/>
          <w:sz w:val="18"/>
          <w:szCs w:val="18"/>
          <w:b w:val="1"/>
          <w:bCs w:val="1"/>
          <w:color w:val="auto"/>
        </w:rPr>
        <w:t>Chief Financial Officer</w:t>
      </w:r>
    </w:p>
    <w:p>
      <w:pPr>
        <w:spacing w:after="0" w:line="6" w:lineRule="exact"/>
        <w:rPr>
          <w:sz w:val="20"/>
          <w:szCs w:val="20"/>
          <w:color w:val="auto"/>
        </w:rPr>
      </w:pPr>
    </w:p>
    <w:p>
      <w:pPr>
        <w:jc w:val="center"/>
        <w:ind w:right="61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496570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sectPr>
      <w:pgSz w:w="11900" w:h="16838" w:orient="portrait"/>
      <w:cols w:equalWidth="0" w:num="1">
        <w:col w:w="11100"/>
      </w:cols>
      <w:pgMar w:left="32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decimal"/>
      <w:start w:val="1"/>
    </w:lvl>
  </w:abstractNum>
  <w:abstractNum w:abstractNumId="3">
    <w:nsid w:val="515F007C"/>
    <w:multiLevelType w:val="hybridMultilevel"/>
    <w:lvl w:ilvl="0">
      <w:lvlJc w:val="left"/>
      <w:lvlText w:val="%1."/>
      <w:numFmt w:val="decimal"/>
      <w:start w:val="15"/>
    </w:lvl>
    <w:lvl w:ilvl="1">
      <w:lvlJc w:val="left"/>
      <w:lvlText w:val="%2"/>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57" Type="http://schemas.openxmlformats.org/officeDocument/2006/relationships/hyperlink" Target="http://www.sec.gov/Archives/edgar/data/1392380/000119312511080096/dex31.htm" TargetMode="External"/><Relationship Id="rId58" Type="http://schemas.openxmlformats.org/officeDocument/2006/relationships/hyperlink" Target="http://www.sec.gov/Archives/edgar/data/1392380/000119312513253079/d551467dex31.htm" TargetMode="External"/><Relationship Id="rId59" Type="http://schemas.openxmlformats.org/officeDocument/2006/relationships/hyperlink" Target="http://www.sec.gov/Archives/edgar/data/1392380/000119312514264256/d755894dex31.htm" TargetMode="External"/><Relationship Id="rId60" Type="http://schemas.openxmlformats.org/officeDocument/2006/relationships/hyperlink" Target="http://www.sec.gov/Archives/edgar/data/1392380/000119312515141952/d913731dex31.htm" TargetMode="External"/><Relationship Id="rId61" Type="http://schemas.openxmlformats.org/officeDocument/2006/relationships/hyperlink" Target="http://www.sec.gov/Archives/edgar/data/1392380/000119312517004580/d318985dex31.htm" TargetMode="External"/><Relationship Id="rId62" Type="http://schemas.openxmlformats.org/officeDocument/2006/relationships/hyperlink" Target="http://www.sec.gov/Archives/edgar/data/1392380/000143774918011163/ex_115837.htm" TargetMode="External"/><Relationship Id="rId63" Type="http://schemas.openxmlformats.org/officeDocument/2006/relationships/hyperlink" Target="http://www.sec.gov/Archives/edgar/data/1392380/000119312511080096/dex32.htm" TargetMode="External"/><Relationship Id="rId64" Type="http://schemas.openxmlformats.org/officeDocument/2006/relationships/hyperlink" Target="http://www.sec.gov/Archives/edgar/data/1392380/000119312511009935/dex41.htm" TargetMode="External"/><Relationship Id="rId65" Type="http://schemas.openxmlformats.org/officeDocument/2006/relationships/hyperlink" Target="http://www.sec.gov/Archives/edgar/data/1392380/000119312510187275/dex43.htm" TargetMode="External"/><Relationship Id="rId66" Type="http://schemas.openxmlformats.org/officeDocument/2006/relationships/hyperlink" Target="http://www.sec.gov/Archives/edgar/data/1392380/000143774920000496/ex_169284.htm" TargetMode="External"/><Relationship Id="rId67" Type="http://schemas.openxmlformats.org/officeDocument/2006/relationships/hyperlink" Target="http://www.sec.gov/Archives/edgar/data/1392380/000143774920007376/ex_180509.htm" TargetMode="External"/><Relationship Id="rId68" Type="http://schemas.openxmlformats.org/officeDocument/2006/relationships/hyperlink" Target="http://www.sec.gov/Archives/edgar/data/1392380/000143774920000496/ex_169285.htm" TargetMode="External"/><Relationship Id="rId69" Type="http://schemas.openxmlformats.org/officeDocument/2006/relationships/hyperlink" Target="http://www.sec.gov/Archives/edgar/data/1392380/000119312515403779/d97590dex41.htm" TargetMode="External"/><Relationship Id="rId70" Type="http://schemas.openxmlformats.org/officeDocument/2006/relationships/hyperlink" Target="http://www.sec.gov/Archives/edgar/data/1392380/000119312516619452/d201378dex41.htm" TargetMode="External"/><Relationship Id="rId71" Type="http://schemas.openxmlformats.org/officeDocument/2006/relationships/hyperlink" Target="http://www.sec.gov/Archives/edgar/data/1392380/000119312516530726/d158752dex41.htm" TargetMode="External"/><Relationship Id="rId72" Type="http://schemas.openxmlformats.org/officeDocument/2006/relationships/hyperlink" Target="http://www.sec.gov/Archives/edgar/data/1392380/000119312516711029/d256125dex41.htm" TargetMode="External"/><Relationship Id="rId73" Type="http://schemas.openxmlformats.org/officeDocument/2006/relationships/hyperlink" Target="http://www.sec.gov/Archives/edgar/data/1392380/000119312517052235/d350599dex41.htm" TargetMode="External"/><Relationship Id="rId74" Type="http://schemas.openxmlformats.org/officeDocument/2006/relationships/hyperlink" Target="http://www.sec.gov/Archives/edgar/data/1392380/000143774920007376/ex_180510.htm" TargetMode="External"/><Relationship Id="rId75" Type="http://schemas.openxmlformats.org/officeDocument/2006/relationships/hyperlink" Target="http://www.sec.gov/Archives/edgar/data/1392380/000143774920008693/ex_183023.htm" TargetMode="External"/><Relationship Id="rId76" Type="http://schemas.openxmlformats.org/officeDocument/2006/relationships/hyperlink" Target="http://www.sec.gov/Archives/edgar/data/1392380/000143774920012535/0001437749-20-012535-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2020-08-10T16:06:12Z</dcterms:created>
  <dcterms:modified xsi:type="dcterms:W3CDTF">2020-08-10T16:06:12Z</dcterms:modified>
</cp:coreProperties>
</file>