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6,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Gevo, Inc.</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192" w:type="dxa"/>
        <w:jc w:val="center"/>
        <w:tblInd w:w="0" w:type="dxa"/>
        <w:tblLayout w:type="fixed"/>
        <w:tblCellMar>
          <w:top w:w="28" w:type="dxa"/>
          <w:left w:w="28" w:type="dxa"/>
          <w:bottom w:w="28" w:type="dxa"/>
          <w:right w:w="28" w:type="dxa"/>
        </w:tblCellMar>
      </w:tblPr>
      <w:tblGrid>
        <w:gridCol w:w="813"/>
        <w:gridCol w:w="714"/>
        <w:gridCol w:w="722"/>
        <w:gridCol w:w="762"/>
        <w:gridCol w:w="762"/>
        <w:gridCol w:w="770"/>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001-35073</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87-0747704</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345 Inverness Drive South, Building C, Suite 310 Englewood, CO 80112</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12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(303</w:t>
      </w:r>
      <w:r>
        <w:rPr>
          <w:rFonts w:ascii="Times New Roman;serif" w:hAnsi="Times New Roman;serif"/>
          <w:b w:val="false"/>
          <w:color w:val="000000"/>
          <w:sz w:val="20"/>
        </w:rPr>
        <w:t xml:space="preserve">) </w:t>
      </w:r>
      <w:r>
        <w:rPr>
          <w:rFonts w:ascii="Times New Roman;serif" w:hAnsi="Times New Roman;serif"/>
          <w:b/>
          <w:color w:val="000000"/>
          <w:sz w:val="20"/>
        </w:rPr>
        <w:t>858-8358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07" w:type="dxa"/>
        <w:jc w:val="center"/>
        <w:tblInd w:w="0" w:type="dxa"/>
        <w:tblLayout w:type="fixed"/>
        <w:tblCellMar>
          <w:top w:w="28" w:type="dxa"/>
          <w:left w:w="28" w:type="dxa"/>
          <w:bottom w:w="28" w:type="dxa"/>
          <w:right w:w="28" w:type="dxa"/>
        </w:tblCellMar>
      </w:tblPr>
      <w:tblGrid>
        <w:gridCol w:w="1263"/>
        <w:gridCol w:w="1109"/>
        <w:gridCol w:w="1122"/>
        <w:gridCol w:w="109"/>
        <w:gridCol w:w="109"/>
        <w:gridCol w:w="109"/>
        <w:gridCol w:w="489"/>
        <w:gridCol w:w="489"/>
        <w:gridCol w:w="491"/>
        <w:gridCol w:w="109"/>
        <w:gridCol w:w="109"/>
        <w:gridCol w:w="109"/>
        <w:gridCol w:w="991"/>
        <w:gridCol w:w="991"/>
        <w:gridCol w:w="1408"/>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34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GEVO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6, 2026, Gevo, Inc. (the “Company”) issued a press release announcing the Company’s financial results for the quarter ended June 30, 2026. A copy of this press release is furnished as Exhibit 99.1 to this Current Report on Form 8-K and is incorporated herein by reference.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shall not be deemed “filed” for purposes of Section 18 of the Securities Exchange Act of 1934, as amended (the “Exchange Act”), nor shall it be deemed incorporated by reference in any filing under the Securities Act of 1933, as amended,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00"/>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rPr>
        <w:t>Exhibits.</w:t>
      </w:r>
    </w:p>
    <w:tbl>
      <w:tblPr>
        <w:tblW w:w="6476" w:type="dxa"/>
        <w:jc w:val="center"/>
        <w:tblInd w:w="0" w:type="dxa"/>
        <w:tblLayout w:type="fixed"/>
        <w:tblCellMar>
          <w:top w:w="28" w:type="dxa"/>
          <w:left w:w="28" w:type="dxa"/>
          <w:bottom w:w="28" w:type="dxa"/>
          <w:right w:w="28" w:type="dxa"/>
        </w:tblCellMar>
      </w:tblPr>
      <w:tblGrid>
        <w:gridCol w:w="391"/>
        <w:gridCol w:w="344"/>
        <w:gridCol w:w="345"/>
        <w:gridCol w:w="109"/>
        <w:gridCol w:w="109"/>
        <w:gridCol w:w="109"/>
        <w:gridCol w:w="1481"/>
        <w:gridCol w:w="1481"/>
        <w:gridCol w:w="210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73" w:before="0" w:after="30"/>
              <w:jc w:val="left"/>
              <w:rPr/>
            </w:pPr>
            <w:hyperlink w:anchor="gevo_q2x2026-ex991.htm">
              <w:r>
                <w:rPr>
                  <w:rStyle w:val="InternetLink"/>
                  <w:rFonts w:ascii="Times New Roman;serif" w:hAnsi="Times New Roman;serif"/>
                  <w:b w:val="false"/>
                  <w:color w:val="000000"/>
                  <w:sz w:val="20"/>
                  <w:u w:val="single"/>
                </w:rPr>
                <w:t xml:space="preserve">Earnings press release, dated </w:t>
              </w:r>
            </w:hyperlink>
            <w:r>
              <w:rPr>
                <w:rFonts w:ascii="Times New Roman;serif" w:hAnsi="Times New Roman;serif"/>
                <w:b w:val="false"/>
                <w:color w:val="000000"/>
                <w:sz w:val="20"/>
              </w:rPr>
              <w:t>August 6, 2026</w:t>
            </w:r>
            <w:r>
              <w:rPr>
                <w:color w:val="000000"/>
                <w:u w:val="single"/>
              </w:rPr>
              <w:t xml:space="preserve"> </w:t>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40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921" w:type="dxa"/>
        <w:jc w:val="left"/>
        <w:tblInd w:w="0" w:type="dxa"/>
        <w:tblLayout w:type="fixed"/>
        <w:tblCellMar>
          <w:top w:w="28" w:type="dxa"/>
          <w:left w:w="28" w:type="dxa"/>
          <w:bottom w:w="28" w:type="dxa"/>
          <w:right w:w="28" w:type="dxa"/>
        </w:tblCellMar>
      </w:tblPr>
      <w:tblGrid>
        <w:gridCol w:w="667"/>
        <w:gridCol w:w="587"/>
        <w:gridCol w:w="590"/>
        <w:gridCol w:w="186"/>
        <w:gridCol w:w="186"/>
        <w:gridCol w:w="186"/>
        <w:gridCol w:w="1598"/>
        <w:gridCol w:w="1598"/>
        <w:gridCol w:w="232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GEVO,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5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5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E. Cabell Massey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 Cabell Massey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Vice President, Deputy General Counsel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Gevo Reports Second Quarter Results and Raises Financial Expectations for Full-Year 2026 </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firstLine="720"/>
        <w:jc w:val="left"/>
        <w:rPr/>
      </w:pPr>
      <w:r>
        <w:rPr>
          <w:rFonts w:ascii="Times New Roman;serif" w:hAnsi="Times New Roman;serif"/>
          <w:b/>
          <w:color w:val="000000"/>
          <w:sz w:val="20"/>
        </w:rPr>
        <w:t xml:space="preserve">ENGLEWOOD, Colo. </w:t>
      </w:r>
      <w:r>
        <w:rPr>
          <w:color w:val="000000"/>
        </w:rPr>
        <w:t xml:space="preserve">– </w:t>
      </w:r>
      <w:r>
        <w:rPr>
          <w:rFonts w:ascii="Times New Roman;serif" w:hAnsi="Times New Roman;serif"/>
          <w:b/>
          <w:color w:val="000000"/>
          <w:sz w:val="20"/>
        </w:rPr>
        <w:t xml:space="preserve">August 6, 2026 </w:t>
      </w:r>
      <w:r>
        <w:rPr>
          <w:color w:val="000000"/>
        </w:rPr>
        <w:t xml:space="preserve">– </w:t>
      </w:r>
      <w:r>
        <w:rPr>
          <w:rFonts w:ascii="Times New Roman;serif" w:hAnsi="Times New Roman;serif"/>
          <w:b w:val="false"/>
          <w:color w:val="000000"/>
          <w:sz w:val="20"/>
        </w:rPr>
        <w:t>Gevo, Inc. (NASDAQ: GEVO), a leader in renewable fuels, chemicals and carbon management, today announced its financial results for the second quarter ended June 30 and provided an update on its 2026 outlook, cash-flow expectations and strategic priorities.</w:t>
      </w:r>
    </w:p>
    <w:p>
      <w:pPr>
        <w:pStyle w:val="TextBody"/>
        <w:bidi w:val="0"/>
        <w:spacing w:lineRule="auto" w:line="276" w:before="0" w:after="0"/>
        <w:ind w:left="0" w:right="0" w:firstLine="720"/>
        <w:jc w:val="left"/>
        <w:rPr/>
      </w:pPr>
      <w:r>
        <w:rPr>
          <w:color w:val="000000"/>
        </w:rPr>
        <w:t>“</w:t>
      </w:r>
      <w:r>
        <w:rPr>
          <w:rFonts w:ascii="Times New Roman;serif" w:hAnsi="Times New Roman;serif"/>
          <w:b w:val="false"/>
          <w:color w:val="000000"/>
          <w:sz w:val="20"/>
        </w:rPr>
        <w:t>Gevo delivered strong second quarter operational results and unlocked significant carbon business revenue that is expected to begin in the third quarter, which supports increased expectations of full-year non-GAAP 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outlook of more than $60 million,” said Gevo Chief Executive Officer Paul Bloom. “We have a strong, returns-focused business. Our carbon business strategy is working and Gevo North Dakota is a strategic asset for profitable growth. Exiting our ATJ-60 project in South Dakota and other non-core projects and recognizing a one-time, non-cash impairment reflects our disciplined approach to prioritize the most attractive near-term growth while enabling long-term value creation.”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Revenue of $47 million in the second quarter of 2026, which was affected by our annual planned downtime for maintenance that was completed in April. We do not expect any further operational downtime this year.</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Gross profit of $36 million in the six months ended June 30, 2026, compared to $21 million in the same period last year, an increase that reflects six full months of benefit from the acquired Red Trail Energy, LLC assets as well as a strengthening of the Company's core businesses.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Net loss attributable to Gevo of $(177) million, or $(0.75) per share in the second quarter of 2026. Non-GAAP adjusted net loss attributable to Gevo</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$(1) million, or $(0.01) per share.</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The second quarter 2026 net loss attributable to Gevo includes a one-time, non-cash impairment charge of $176 million</w:t>
      </w: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related to capitalized development costs associated with the Company’s ATJ-60 project and other non-core business activities.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This one-time, non-cash impairment charge reflects the Company’s decision to exit all activities related to low-carbon ethanol and sustainable aviation fuel (SAF) production in Lake Preston, South Dakota to focus on capital projects at Gevo North Dakota, including debottlenecking, the potential expansion of the ethanol plant to double capacity, and SAF production.</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Non-GAAP 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$11 million in the second quarter of 2026.</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second quarter results did not include revenue relating to the Company’s recently approved new Canada Clean Fuel Regulation (CFR) pathway, which is expected to be included starting in the third quarter of 2026.</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Business and Operations Highlights</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0"/>
        </w:rPr>
        <w:t>Gevo has a powerful growth platform centered on commodities, carbon and incentives,” said Bloom. “We have focused development around our existing operations, improving margins and near-term cash flow, with a portfolio of growth projects that we believe will create substantial shareholder value.”</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Improved full year 2026 Non-GAAP Adjusted EBITDA</w:t>
      </w:r>
      <w:r>
        <w:rPr>
          <w:rFonts w:ascii="Times New Roman;serif" w:hAnsi="Times New Roman;serif"/>
          <w:b/>
          <w:color w:val="000000"/>
          <w:sz w:val="13"/>
        </w:rPr>
        <w:t>1</w:t>
      </w:r>
      <w:r>
        <w:rPr>
          <w:color w:val="000000"/>
        </w:rPr>
        <w:t xml:space="preserve"> </w:t>
      </w:r>
      <w:r>
        <w:rPr>
          <w:rFonts w:ascii="Times New Roman;serif" w:hAnsi="Times New Roman;serif"/>
          <w:b/>
          <w:color w:val="000000"/>
          <w:sz w:val="20"/>
        </w:rPr>
        <w:t>outlook:</w:t>
      </w:r>
      <w:r>
        <w:rPr>
          <w:color w:val="000000"/>
        </w:rPr>
        <w:t xml:space="preserve"> </w:t>
      </w:r>
      <w:r>
        <w:rPr>
          <w:rFonts w:ascii="Times New Roman;serif" w:hAnsi="Times New Roman;serif"/>
          <w:b w:val="false"/>
          <w:color w:val="000000"/>
          <w:sz w:val="20"/>
        </w:rPr>
        <w:t>Gevo now expects full year 2026 non-GAAP 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to be greater than $60 million, which is more than double the prior target of $30 million. The improved outlook is supported by:</w:t>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0"/>
        </w:rPr>
        <w:t>Canada Clean Fuel Regulation Pathway:</w:t>
      </w:r>
      <w:r>
        <w:rPr>
          <w:color w:val="000000"/>
        </w:rPr>
        <w:t xml:space="preserve"> </w:t>
      </w:r>
      <w:r>
        <w:rPr>
          <w:rFonts w:ascii="Times New Roman;serif" w:hAnsi="Times New Roman;serif"/>
          <w:b w:val="false"/>
          <w:color w:val="000000"/>
          <w:sz w:val="20"/>
        </w:rPr>
        <w:t>Approval of the Company’s new Canada CFR pathway in the second quarter of 2026 creates a large, additional compliance market opportunity for Gevo’s low-carbon ethanol, including recognition of credits associated with qualifying volumes previously delivered into that market. Gevo expects sales under this new pathway to be included in the Company’s third quarter 2026 financial results.</w:t>
      </w:r>
    </w:p>
    <w:p>
      <w:pPr>
        <w:pStyle w:val="TextBody"/>
        <w:bidi w:val="0"/>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0"/>
        </w:rPr>
        <w:t>Section 45Z Clean Fuel Production Credits:</w:t>
      </w:r>
      <w:r>
        <w:rPr>
          <w:color w:val="000000"/>
        </w:rPr>
        <w:t xml:space="preserve"> </w:t>
      </w:r>
      <w:r>
        <w:rPr>
          <w:rFonts w:ascii="Times New Roman;serif" w:hAnsi="Times New Roman;serif"/>
          <w:b w:val="false"/>
          <w:color w:val="000000"/>
          <w:sz w:val="20"/>
        </w:rPr>
        <w:t>Gevo is targeting monetization of more than $70 million in Section 45Z tax credits during 2026 compared to $52 million last year, as a result of continued low-carbon ethanol and renewable natural gas (RNG) production and improvements in the carbon intensity of those products.</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0"/>
        </w:rPr>
        <w:t>Strong Operating Performance:</w:t>
      </w:r>
      <w:r>
        <w:rPr>
          <w:color w:val="000000"/>
        </w:rPr>
        <w:t xml:space="preserve"> </w:t>
      </w:r>
      <w:r>
        <w:rPr>
          <w:rFonts w:ascii="Times New Roman;serif" w:hAnsi="Times New Roman;serif"/>
          <w:b w:val="false"/>
          <w:color w:val="000000"/>
          <w:sz w:val="20"/>
        </w:rPr>
        <w:t>Continued strong operating performance at Gevo North Dakota, expected sales growth from low-carbon racing fuel blendstock for high-end motorsports and demonstration-scale SAF, and cost management initiatives.</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Increased cash flow:</w:t>
      </w:r>
      <w:r>
        <w:rPr>
          <w:color w:val="000000"/>
        </w:rPr>
        <w:t xml:space="preserve"> </w:t>
      </w:r>
      <w:r>
        <w:rPr>
          <w:rFonts w:ascii="Times New Roman;serif" w:hAnsi="Times New Roman;serif"/>
          <w:b w:val="false"/>
          <w:color w:val="000000"/>
          <w:sz w:val="20"/>
        </w:rPr>
        <w:t>The Company expects substantial operating cash flow in the third and fourth quarters of 2026, supported by the improved 2026 non-GAAP 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outlook and more than $70 million in expected Section 45Z tax credit monetizations for the full year 2026, of which $20 million in sales closed subsequent to the second quarter of 2026 and the remaining $50 million in sales and associated cash proceeds are targeted by year end.</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Debottlenecking:</w:t>
      </w:r>
      <w:r>
        <w:rPr>
          <w:color w:val="000000"/>
        </w:rPr>
        <w:t xml:space="preserve"> </w:t>
      </w:r>
      <w:r>
        <w:rPr>
          <w:rFonts w:ascii="Times New Roman;serif" w:hAnsi="Times New Roman;serif"/>
          <w:b w:val="false"/>
          <w:color w:val="000000"/>
          <w:sz w:val="20"/>
        </w:rPr>
        <w:t>Site improvement efforts at Gevo North Dakota remain on track, with debottlenecking activities expected to deliver increased low-carbon ethanol, coproduct, carbon capture and associated incentive volumes by approximately 10–15%, including 75 million gallons per year of low-carbon ethanol, starting in 2027.</w:t>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0"/>
        </w:rPr>
        <w:t>Growth projects:</w:t>
      </w:r>
      <w:r>
        <w:rPr>
          <w:color w:val="000000"/>
        </w:rPr>
        <w:t xml:space="preserve"> </w:t>
      </w:r>
      <w:r>
        <w:rPr>
          <w:rFonts w:ascii="Times New Roman;serif" w:hAnsi="Times New Roman;serif"/>
          <w:b w:val="false"/>
          <w:color w:val="000000"/>
          <w:sz w:val="20"/>
        </w:rPr>
        <w:t>Gevo continues to advance its portfolio of growth projects, including the planned expansion of Gevo North Dakota that would double production to about 150 million gallons per year of low-carbon ethanol and associated carbon capture and sequestration (CCS) which is targeting startup of operations in 2028, and the ongoing development of the ATJ-30 SAF deployment, while maintaining disciplined capital allocation.</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 xml:space="preserve">Low-carbon ethanol production: </w:t>
      </w:r>
      <w:r>
        <w:rPr>
          <w:rFonts w:ascii="Times New Roman;serif" w:hAnsi="Times New Roman;serif"/>
          <w:b w:val="false"/>
          <w:color w:val="000000"/>
          <w:sz w:val="20"/>
        </w:rPr>
        <w:t>Gevo produced 16.3 million gallons of low-carbon ethanol during the second quarter of 2026, compared to 16.8 million gallons in the same quarter last year, primarily due to planned downtime for maintenance completed in April.</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RNG production:</w:t>
      </w:r>
      <w:r>
        <w:rPr>
          <w:color w:val="000000"/>
        </w:rPr>
        <w:t xml:space="preserve"> </w:t>
      </w:r>
      <w:r>
        <w:rPr>
          <w:rFonts w:ascii="Times New Roman;serif" w:hAnsi="Times New Roman;serif"/>
          <w:b w:val="false"/>
          <w:color w:val="000000"/>
          <w:sz w:val="20"/>
        </w:rPr>
        <w:t>Gevo produced 95,939 MMBtu of RNG during the second quarter of 2026, compared to 92,138 MMBtu in the same quarter last year.</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Webcast and Conference Call Information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Hosting today’s conference call at 4:30 p.m. ET will be Paul Bloom, chief executive officer, Leke Agiri, chief financial officer and Eric Frey, vice president of finance and strategy. They will review Gevo’s financial results and provide an update on recent corporate highlights.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participate in the live call, please register through the following event weblink: https://registrations.events/direct/Q4I702120.</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listen to the conference call (audio only, non-participating), please register through the following event weblink: https://events.q4inc.com/attendee/341485152.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webcast replay will be available after the conference call ends on August 6, 2026. The archived webcast along with the earnings press release and slide presentation will be available in the Investor Relations section of Gevo’s website at www.gevo.com.</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About Gevo</w:t>
      </w:r>
    </w:p>
    <w:p>
      <w:pPr>
        <w:pStyle w:val="TextBody"/>
        <w:bidi w:val="0"/>
        <w:spacing w:lineRule="auto" w:line="26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Gevo is a next-generation diversified energy company committed to fueling America’s future with cost-effective, drop-in fuels that contribute to energy security, abate carbon, and strengthen rural communities to drive economic growth. Gevo’s innovative technology can be used to make a variety of renewable products, including SAF, motor fuels, chemicals, and other materials that provide U.S.-made solutions. Gevo’s business model includes developing, financing, and operating production facilities that create jobs and revitalize communities. Gevo owns and operates an ethanol plant with an adjacent CCS facility and Class VI carbon-storage well. Gevo also owns and operates one of the largest dairy-based RNG facilities in the United States, turning by-products into clean, reliable energy. Additionally, Gevo developed the world’s first production facility for specialty alcohol-to-jet (ATJ) fuels and chemicals, operating since 2012. Gevo is currently developing the world’s first large-scale ATJ facility to be co-located at its North Dakota site. Gevo’s market-driven “pay-for-performance” approach regarding carbon and other sustainability attributes helps deliver value to our local economies. Through its Verity subsidiary, Gevo provides transparency, accountability, and efficiency in tracking, measuring, and verifying various attributes throughout the supply chain.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 strengthening rural economies, Gevo is working to secure a self-sufficient future and to make sure value is brought to the market.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more information, see www.gevo.com.</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statements in this press release may constitute “forward-looking statements” within the meaning of the Private Securities Litigation Reform Act of 1995. These forward-looking statements relate to a variety of matters, including, without limitation, Adjusted EBITDA expectations, expected financial results from the new CFR pathway, expected future monetization of Section 45Z and other carbon credits, the financing and timing of our ethanol and CCS expansion project, our financial condition, our results of operation and liquidity, our business plans, our business development activities, financial projections related to our business, our ability to successfully develop, construct, and finance our operations and growth projects, our ability to achieve cash flow from our planned projects, and other statements that are not purely statements of historical fact. These forward-looking statements are made based on the current beliefs, expectations and assumptions of the management of Gevo and are subject to significant risks and uncertainty. Investors are cautioned not to place undue reliance on any such forward-looking statements. All such forward-looking statements speak only as of the date they are made, and Gevo undertakes no obligation to update or revise these statements, whether as a result of new information, future events or otherwise. Although Gevo believes that the expectations reflected in these forward-looking statements are reasonable, these statements involve many risks and uncertainties that may cause actual results to differ materially from what may be expressed or implied in these forward-looking statements. For a further discussion of risks and uncertainties that could cause actual results to differ from those expressed in these forward-looking statements, as well as risks relating to the business of Gevo in general, see the risk disclosures in our most recent Annual Report on Form 10-K and in subsequent reports on Forms 10-Q and 8-K and other filings made with the U.S. Securities and Exchange Commission by Gevo.</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Non-GAAP Financial Information</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financial measures that do not comply with U.S. generally accepted accounting principles (“GAAP”), including non-GAAP adjusted net income (loss) and adjusted EBITDA. Non-GAAP adjusted net income excludes impairment of long lived assets, allocated intercompany expenses for shared service functions, non-cash stock-based compensation, the change in fair value of derivative instruments and executive severance from GAAP net income (loss). Non-GAAP Adjusted EBITDA excludes depreciation and amortization, impairment of long lived assets, allocated intercompany expenses for shared service functions, non-cash stock-based compensation, the change in fair value of derivative instruments and executive severance from GAAP net income (loss) from operations. Management believes it is useful to supplement its GAAP financial statements with this non-GAAP information because management uses such information internally for its operating, budgeting and financial planning purposes. This non-GAAP financial information also facilitates management’s internal comparisons to Gevo’s historical performance as well as comparisons to the operating results of other companies. In addition, Gevo believes this non-GAAP financial information is useful to investors because it allows for greater transparency into the indicators used by management as a basis for its financial and operational decision making. Non-GAAP information is not prepared under a comprehensive set of accounting rules and therefore, should only be read in conjunction with financial information reported under U.S. GAAP when understanding Gevo’s operating performance. A reconciliation between GAAP and non-GAAP financial information is provided below.</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Gevo has not provided a reconciliation of forward-looking non-GAAP adjusted EBITDA guidance measures to the most directly comparable GAAP measures because of the inherent difficulty in accurately forecasting certain items excluded from GAAP, which have not yet occurred, are dependent on various factors, are out of the company's control, or cannot be reasonably calculated or predicted at this time. Accordingly, a reconciliation is not available without unreasonable effort.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90"/>
        <w:jc w:val="left"/>
        <w:rPr/>
      </w:pPr>
      <w:r>
        <w:rPr>
          <w:rFonts w:ascii="Times New Roman;serif" w:hAnsi="Times New Roman;serif"/>
          <w:b w:val="false"/>
          <w:color w:val="000000"/>
          <w:sz w:val="13"/>
        </w:rPr>
        <w:t>1</w:t>
      </w:r>
      <w:r>
        <w:rPr>
          <w:rFonts w:ascii="Times New Roman;serif" w:hAnsi="Times New Roman;serif"/>
          <w:b w:val="false"/>
          <w:color w:val="000000"/>
          <w:sz w:val="20"/>
        </w:rPr>
        <w:t>Adjusted EBITDA is a non-GAAP measure calculated by adding back depreciation and amortization, impairment of long-lived assets, allocated intercompany expenses for shared service functions, non-cash stock-based compensation, the change in fair value of derivative instruments and executive severance and other non-recurring expenses to GAAP net income (loss) from operations. A reconciliation of non-GAAP adjusted EBITDA to GAAP is provided in the financial statement tables following this release. See Non-GAAP Financial Information above.</w:t>
      </w:r>
    </w:p>
    <w:p>
      <w:pPr>
        <w:pStyle w:val="TextBody"/>
        <w:bidi w:val="0"/>
        <w:spacing w:lineRule="auto" w:line="288" w:before="0" w:after="240"/>
        <w:ind w:left="0" w:right="0" w:hanging="90"/>
        <w:jc w:val="left"/>
        <w:rPr/>
      </w:pPr>
      <w:r>
        <w:rPr>
          <w:rFonts w:ascii="Times New Roman;serif" w:hAnsi="Times New Roman;serif"/>
          <w:b w:val="false"/>
          <w:color w:val="000000"/>
          <w:sz w:val="13"/>
        </w:rPr>
        <w:t>2</w:t>
      </w:r>
      <w:r>
        <w:rPr>
          <w:rFonts w:ascii="Times New Roman;serif" w:hAnsi="Times New Roman;serif"/>
          <w:b w:val="false"/>
          <w:color w:val="000000"/>
          <w:sz w:val="20"/>
        </w:rPr>
        <w:t>Adjusted net income (loss) is a non-GAAP measure calculated by adding back impairment of long-lived assets, allocated intercompany expenses for shared service functions, non-cash stock-based compensation, the change in fair value of derivative instruments and executive severance and other non-recurring expenses to GAAP net income (loss). A reconciliation of non-</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GAAP adjusted net income (loss) from operations to GAAP is provided in the financial statement tables following this release. See Non-GAAP Financial Information above.</w:t>
      </w:r>
    </w:p>
    <w:p>
      <w:pPr>
        <w:pStyle w:val="TextBody"/>
        <w:bidi w:val="0"/>
        <w:spacing w:lineRule="auto" w:line="288" w:before="0" w:after="240"/>
        <w:ind w:left="0" w:right="0" w:hanging="90"/>
        <w:jc w:val="left"/>
        <w:rPr/>
      </w:pPr>
      <w:r>
        <w:rPr>
          <w:rFonts w:ascii="Times New Roman;serif" w:hAnsi="Times New Roman;serif"/>
          <w:b w:val="false"/>
          <w:color w:val="000000"/>
          <w:sz w:val="13"/>
        </w:rPr>
        <w:t>3</w:t>
      </w:r>
      <w:r>
        <w:rPr>
          <w:rFonts w:ascii="Times New Roman;serif" w:hAnsi="Times New Roman;serif"/>
          <w:b w:val="false"/>
          <w:color w:val="000000"/>
          <w:sz w:val="20"/>
        </w:rPr>
        <w:t>The one-time, non-cash impairment charge of $176 million consists of $136 million of impairment of long-lived assets and $40 million of allowance for credit losses on refundable deposits as shown on the Consolidated Statement of Operations.</w:t>
      </w:r>
    </w:p>
    <w:p>
      <w:pPr>
        <w:pStyle w:val="TextBody"/>
        <w:bidi w:val="0"/>
        <w:spacing w:before="0" w:after="24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788"/>
        <w:gridCol w:w="2274"/>
        <w:gridCol w:w="2217"/>
        <w:gridCol w:w="211"/>
        <w:gridCol w:w="830"/>
        <w:gridCol w:w="109"/>
        <w:gridCol w:w="109"/>
        <w:gridCol w:w="109"/>
        <w:gridCol w:w="109"/>
        <w:gridCol w:w="237"/>
        <w:gridCol w:w="931"/>
        <w:gridCol w:w="122"/>
        <w:gridCol w:w="159"/>
      </w:tblGrid>
      <w:tr>
        <w:trPr/>
        <w:tc>
          <w:tcPr>
            <w:tcW w:w="2788"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81,163 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143,404 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353,577 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 assets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right-of-use assets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95,003 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other assets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73,987 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490,714 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718,929 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36,508 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clean fuel production tax credits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78,585 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Bonds payable, net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Loans payable</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100,503 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209,762 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247,760 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$0.01 par value per share; 500,000,000 shares authorized; 247,237,104 and 242,464,470 shares issued and outstanding at June 30, 2026 and December 31, 2025, respectively.</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1,298,064 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(1,032,712)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(834,152)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273,163 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466,337 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490,714 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718,929 </w:t>
            </w:r>
          </w:p>
        </w:tc>
        <w:tc>
          <w:tcPr>
            <w:tcW w:w="1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559"/>
        <w:gridCol w:w="1111"/>
        <w:gridCol w:w="1109"/>
        <w:gridCol w:w="237"/>
        <w:gridCol w:w="949"/>
        <w:gridCol w:w="109"/>
        <w:gridCol w:w="109"/>
        <w:gridCol w:w="109"/>
        <w:gridCol w:w="109"/>
        <w:gridCol w:w="268"/>
        <w:gridCol w:w="918"/>
        <w:gridCol w:w="109"/>
        <w:gridCol w:w="109"/>
        <w:gridCol w:w="109"/>
        <w:gridCol w:w="109"/>
        <w:gridCol w:w="237"/>
        <w:gridCol w:w="949"/>
        <w:gridCol w:w="109"/>
        <w:gridCol w:w="109"/>
        <w:gridCol w:w="109"/>
        <w:gridCol w:w="109"/>
        <w:gridCol w:w="264"/>
        <w:gridCol w:w="922"/>
        <w:gridCol w:w="109"/>
        <w:gridCol w:w="109"/>
        <w:gridCol w:w="156"/>
      </w:tblGrid>
      <w:tr>
        <w:trPr/>
        <w:tc>
          <w:tcPr>
            <w:tcW w:w="155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72,522 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idling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on refundable deposits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(expense) income</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bonds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(176,261)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(197,612)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attributable to redeemable non-controlling interest</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income attributed to Gevo, Inc.</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(176,941)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(198,638)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 - basic</w:t>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 - diluted</w:t>
            </w:r>
          </w:p>
        </w:tc>
        <w:tc>
          <w:tcPr>
            <w:tcW w:w="2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(0.75)</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w:t>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237,054,708 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232,945,048 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237,429,647 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232,490,122 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237,054,708 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236,839,117 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237,429,647 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232,490,122 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28" w:before="0" w:after="0"/>
        <w:jc w:val="left"/>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28" w:before="0" w:after="0"/>
        <w:jc w:val="left"/>
        <w:rPr/>
      </w:pPr>
      <w:r>
        <w:rPr>
          <w:rFonts w:ascii="Times New Roman;serif" w:hAnsi="Times New Roman;serif"/>
          <w:b/>
          <w:color w:val="000000"/>
          <w:sz w:val="20"/>
        </w:rPr>
        <w:t>Consolidated Statements of Stockholders</w:t>
      </w:r>
      <w:r>
        <w:rPr>
          <w:color w:val="000000"/>
        </w:rPr>
        <w:t xml:space="preserve">’ </w:t>
      </w:r>
      <w:r>
        <w:rPr>
          <w:rFonts w:ascii="Times New Roman;serif" w:hAnsi="Times New Roman;serif"/>
          <w:b/>
          <w:color w:val="000000"/>
          <w:sz w:val="20"/>
        </w:rPr>
        <w:t>Equity</w:t>
      </w:r>
    </w:p>
    <w:p>
      <w:pPr>
        <w:pStyle w:val="TextBody"/>
        <w:bidi w:val="0"/>
        <w:spacing w:lineRule="auto" w:line="228" w:before="0" w:after="240"/>
        <w:jc w:val="left"/>
        <w:rPr>
          <w:rFonts w:ascii="Times New Roman;serif" w:hAnsi="Times New Roman;serif"/>
          <w:b/>
          <w:color w:val="000000"/>
          <w:sz w:val="20"/>
        </w:rPr>
      </w:pPr>
      <w:r>
        <w:rPr>
          <w:rFonts w:ascii="Times New Roman;serif" w:hAnsi="Times New Roman;serif"/>
          <w:b/>
          <w:color w:val="000000"/>
          <w:sz w:val="20"/>
        </w:rPr>
        <w:t>(In thousands, except share amounts)</w:t>
      </w:r>
    </w:p>
    <w:tbl>
      <w:tblPr>
        <w:tblW w:w="10205" w:type="dxa"/>
        <w:jc w:val="left"/>
        <w:tblInd w:w="0" w:type="dxa"/>
        <w:tblLayout w:type="fixed"/>
        <w:tblCellMar>
          <w:top w:w="28" w:type="dxa"/>
          <w:left w:w="28" w:type="dxa"/>
          <w:bottom w:w="28" w:type="dxa"/>
          <w:right w:w="28" w:type="dxa"/>
        </w:tblCellMar>
      </w:tblPr>
      <w:tblGrid>
        <w:gridCol w:w="787"/>
        <w:gridCol w:w="387"/>
        <w:gridCol w:w="347"/>
        <w:gridCol w:w="525"/>
        <w:gridCol w:w="526"/>
        <w:gridCol w:w="196"/>
        <w:gridCol w:w="109"/>
        <w:gridCol w:w="109"/>
        <w:gridCol w:w="109"/>
        <w:gridCol w:w="196"/>
        <w:gridCol w:w="556"/>
        <w:gridCol w:w="109"/>
        <w:gridCol w:w="109"/>
        <w:gridCol w:w="109"/>
        <w:gridCol w:w="109"/>
        <w:gridCol w:w="196"/>
        <w:gridCol w:w="874"/>
        <w:gridCol w:w="109"/>
        <w:gridCol w:w="109"/>
        <w:gridCol w:w="109"/>
        <w:gridCol w:w="109"/>
        <w:gridCol w:w="196"/>
        <w:gridCol w:w="891"/>
        <w:gridCol w:w="109"/>
        <w:gridCol w:w="109"/>
        <w:gridCol w:w="109"/>
        <w:gridCol w:w="109"/>
        <w:gridCol w:w="206"/>
        <w:gridCol w:w="774"/>
        <w:gridCol w:w="116"/>
        <w:gridCol w:w="109"/>
        <w:gridCol w:w="109"/>
        <w:gridCol w:w="109"/>
        <w:gridCol w:w="317"/>
        <w:gridCol w:w="879"/>
        <w:gridCol w:w="116"/>
        <w:gridCol w:w="158"/>
      </w:tblGrid>
      <w:tr>
        <w:trPr/>
        <w:tc>
          <w:tcPr>
            <w:tcW w:w="7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 and 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7"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Mezzanine Equity</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Redeemable</w:t>
              <w:br/>
              <w:t>Non-Controlling</w:t>
              <w:br/>
              <w:t>Interest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March 31, 2026</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243,073,561 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1,300,931 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(855,616)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447,746 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6,954 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redeemable non-controlling interest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Non-cash 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awards and related share issuances,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4,141,620 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74,319 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tax withholdings on employee equity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(52,396)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(176,941)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(176,941)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247,237,104 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1,303,403 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(1,032,712)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273,163 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7,789 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239,562,995 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1,289,406 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(821,965)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469,837 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Non-cash stock-based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awards and related share issuances,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2,278,595 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241,841,590 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1,291,630 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(819,945)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474,104 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5,664 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 and 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7"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Mezzanine Equity</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Redeemable</w:t>
              <w:br/>
              <w:t>Non-Controlling</w:t>
              <w:br/>
              <w:t>Interest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December 31, 2025</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242,464,470 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1,298,064 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(834,152)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466,337 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4,832 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redeemable non-controlling interest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Non-cash 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awards and related share issuances,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4,843,175 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210,240 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tax withholdings on employee equity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(280,781)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(198,638)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(198,638)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247,237,104 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1,303,403 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(1,032,712)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273,163 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7,789 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239,176,293 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1,287,333 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(800,237)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489,488 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redeemable non-controlling interest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Non-cash 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awards and related share issuances,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2,665,297 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(19,584)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10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241,841,590 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1,291,630 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(819,945)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474,104 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5,664 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 thousands)</w:t>
      </w:r>
    </w:p>
    <w:tbl>
      <w:tblPr>
        <w:tblW w:w="8878" w:type="dxa"/>
        <w:jc w:val="left"/>
        <w:tblInd w:w="0" w:type="dxa"/>
        <w:tblLayout w:type="fixed"/>
        <w:tblCellMar>
          <w:top w:w="28" w:type="dxa"/>
          <w:left w:w="28" w:type="dxa"/>
          <w:bottom w:w="28" w:type="dxa"/>
          <w:right w:w="28" w:type="dxa"/>
        </w:tblCellMar>
      </w:tblPr>
      <w:tblGrid>
        <w:gridCol w:w="2185"/>
        <w:gridCol w:w="1918"/>
        <w:gridCol w:w="1927"/>
        <w:gridCol w:w="211"/>
        <w:gridCol w:w="901"/>
        <w:gridCol w:w="109"/>
        <w:gridCol w:w="109"/>
        <w:gridCol w:w="109"/>
        <w:gridCol w:w="109"/>
        <w:gridCol w:w="211"/>
        <w:gridCol w:w="826"/>
        <w:gridCol w:w="109"/>
        <w:gridCol w:w="154"/>
      </w:tblGrid>
      <w:tr>
        <w:trPr/>
        <w:tc>
          <w:tcPr>
            <w:tcW w:w="2185"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22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on refundable deposits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bonds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instruments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tax credits generated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acquisition:</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deposits and other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non-current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clean fuel production tax credits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11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22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property, plant and equipment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Red Trail Energy, net of cash acquired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note receivable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11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(209,538)</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bonds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proceeds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non-controlling interest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prepayment penalty on redemption of bonds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exercise of stock options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finance lease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tax withholdings on employee equity awards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Net cash (used in) provided by financing activities</w:t>
            </w:r>
          </w:p>
        </w:tc>
        <w:tc>
          <w:tcPr>
            <w:tcW w:w="111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(7,758)</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103,976 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11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(132,132)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58,147 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126,901 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to Non-GAAP Financial Information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369"/>
        <w:gridCol w:w="1180"/>
        <w:gridCol w:w="1186"/>
        <w:gridCol w:w="109"/>
        <w:gridCol w:w="109"/>
        <w:gridCol w:w="109"/>
        <w:gridCol w:w="211"/>
        <w:gridCol w:w="891"/>
        <w:gridCol w:w="109"/>
        <w:gridCol w:w="109"/>
        <w:gridCol w:w="109"/>
        <w:gridCol w:w="109"/>
        <w:gridCol w:w="211"/>
        <w:gridCol w:w="721"/>
        <w:gridCol w:w="109"/>
        <w:gridCol w:w="109"/>
        <w:gridCol w:w="109"/>
        <w:gridCol w:w="109"/>
        <w:gridCol w:w="211"/>
        <w:gridCol w:w="891"/>
        <w:gridCol w:w="109"/>
        <w:gridCol w:w="109"/>
        <w:gridCol w:w="109"/>
        <w:gridCol w:w="109"/>
        <w:gridCol w:w="211"/>
        <w:gridCol w:w="786"/>
        <w:gridCol w:w="109"/>
        <w:gridCol w:w="109"/>
        <w:gridCol w:w="109"/>
        <w:gridCol w:w="109"/>
        <w:gridCol w:w="109"/>
        <w:gridCol w:w="157"/>
      </w:tblGrid>
      <w:tr>
        <w:trPr/>
        <w:tc>
          <w:tcPr>
            <w:tcW w:w="136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Non-GAAP Adjusted EBITDA (Consolidated):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on refundable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severance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debt modification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 (Consolidated)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49"/>
        <w:gridCol w:w="1218"/>
        <w:gridCol w:w="1225"/>
        <w:gridCol w:w="109"/>
        <w:gridCol w:w="109"/>
        <w:gridCol w:w="109"/>
        <w:gridCol w:w="211"/>
        <w:gridCol w:w="874"/>
        <w:gridCol w:w="109"/>
        <w:gridCol w:w="109"/>
        <w:gridCol w:w="109"/>
        <w:gridCol w:w="109"/>
        <w:gridCol w:w="211"/>
        <w:gridCol w:w="616"/>
        <w:gridCol w:w="109"/>
        <w:gridCol w:w="109"/>
        <w:gridCol w:w="109"/>
        <w:gridCol w:w="109"/>
        <w:gridCol w:w="211"/>
        <w:gridCol w:w="874"/>
        <w:gridCol w:w="109"/>
        <w:gridCol w:w="109"/>
        <w:gridCol w:w="109"/>
        <w:gridCol w:w="109"/>
        <w:gridCol w:w="211"/>
        <w:gridCol w:w="769"/>
        <w:gridCol w:w="109"/>
        <w:gridCol w:w="109"/>
        <w:gridCol w:w="109"/>
        <w:gridCol w:w="109"/>
        <w:gridCol w:w="109"/>
        <w:gridCol w:w="156"/>
      </w:tblGrid>
      <w:tr>
        <w:trPr/>
        <w:tc>
          <w:tcPr>
            <w:tcW w:w="144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Non-GAAP Adjusted Net (Loss) Income (Consolidated):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Gevo,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on refundable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severance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debt modification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net (loss) income attributable to Gevo,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net (loss) income attributable to Gevo, Inc.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74"/>
        <w:gridCol w:w="1058"/>
        <w:gridCol w:w="1064"/>
        <w:gridCol w:w="211"/>
        <w:gridCol w:w="769"/>
        <w:gridCol w:w="109"/>
        <w:gridCol w:w="109"/>
        <w:gridCol w:w="109"/>
        <w:gridCol w:w="109"/>
        <w:gridCol w:w="211"/>
        <w:gridCol w:w="874"/>
        <w:gridCol w:w="109"/>
        <w:gridCol w:w="109"/>
        <w:gridCol w:w="109"/>
        <w:gridCol w:w="109"/>
        <w:gridCol w:w="211"/>
        <w:gridCol w:w="616"/>
        <w:gridCol w:w="109"/>
        <w:gridCol w:w="109"/>
        <w:gridCol w:w="109"/>
        <w:gridCol w:w="109"/>
        <w:gridCol w:w="211"/>
        <w:gridCol w:w="721"/>
        <w:gridCol w:w="109"/>
        <w:gridCol w:w="109"/>
        <w:gridCol w:w="109"/>
        <w:gridCol w:w="109"/>
        <w:gridCol w:w="211"/>
        <w:gridCol w:w="874"/>
        <w:gridCol w:w="156"/>
      </w:tblGrid>
      <w:tr>
        <w:trPr/>
        <w:tc>
          <w:tcPr>
            <w:tcW w:w="127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9"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3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GevoFuels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GevoRNG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Adjusted EBITDA (Consolidated):</w:t>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(171,706)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on refundable deposits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 net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amortization</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intercompany expenses for shared service functions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instruments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severance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debt modification costs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 (Consolidated)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(14,348)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11,075 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74"/>
        <w:gridCol w:w="1058"/>
        <w:gridCol w:w="1064"/>
        <w:gridCol w:w="211"/>
        <w:gridCol w:w="769"/>
        <w:gridCol w:w="109"/>
        <w:gridCol w:w="109"/>
        <w:gridCol w:w="109"/>
        <w:gridCol w:w="109"/>
        <w:gridCol w:w="211"/>
        <w:gridCol w:w="874"/>
        <w:gridCol w:w="109"/>
        <w:gridCol w:w="109"/>
        <w:gridCol w:w="109"/>
        <w:gridCol w:w="109"/>
        <w:gridCol w:w="211"/>
        <w:gridCol w:w="616"/>
        <w:gridCol w:w="109"/>
        <w:gridCol w:w="109"/>
        <w:gridCol w:w="109"/>
        <w:gridCol w:w="109"/>
        <w:gridCol w:w="211"/>
        <w:gridCol w:w="721"/>
        <w:gridCol w:w="109"/>
        <w:gridCol w:w="109"/>
        <w:gridCol w:w="109"/>
        <w:gridCol w:w="109"/>
        <w:gridCol w:w="211"/>
        <w:gridCol w:w="874"/>
        <w:gridCol w:w="156"/>
      </w:tblGrid>
      <w:tr>
        <w:trPr/>
        <w:tc>
          <w:tcPr>
            <w:tcW w:w="127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9"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GevoFuels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GevoRNG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Adjusted EBITDA (Consolidated):</w:t>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(176,604)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on refundable deposits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 net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amortization</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intercompany expenses for shared service functions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instruments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severance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debt modification costs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 (Consolidated)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(25,526)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19,607 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25"/>
        <w:gridCol w:w="1206"/>
        <w:gridCol w:w="1213"/>
        <w:gridCol w:w="211"/>
        <w:gridCol w:w="775"/>
        <w:gridCol w:w="109"/>
        <w:gridCol w:w="109"/>
        <w:gridCol w:w="109"/>
        <w:gridCol w:w="109"/>
        <w:gridCol w:w="229"/>
        <w:gridCol w:w="534"/>
        <w:gridCol w:w="119"/>
        <w:gridCol w:w="109"/>
        <w:gridCol w:w="109"/>
        <w:gridCol w:w="109"/>
        <w:gridCol w:w="211"/>
        <w:gridCol w:w="616"/>
        <w:gridCol w:w="109"/>
        <w:gridCol w:w="109"/>
        <w:gridCol w:w="109"/>
        <w:gridCol w:w="109"/>
        <w:gridCol w:w="211"/>
        <w:gridCol w:w="721"/>
        <w:gridCol w:w="109"/>
        <w:gridCol w:w="109"/>
        <w:gridCol w:w="109"/>
        <w:gridCol w:w="109"/>
        <w:gridCol w:w="212"/>
        <w:gridCol w:w="727"/>
        <w:gridCol w:w="160"/>
      </w:tblGrid>
      <w:tr>
        <w:trPr/>
        <w:tc>
          <w:tcPr>
            <w:tcW w:w="142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3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GevoFuels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GevoRNG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Adjusted EBITDA (Consolidated):</w:t>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384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384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intercompany expenses for shared service functions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instruments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384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 (Consolidated)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(9,098)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17,333 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75"/>
        <w:gridCol w:w="1158"/>
        <w:gridCol w:w="1164"/>
        <w:gridCol w:w="211"/>
        <w:gridCol w:w="773"/>
        <w:gridCol w:w="109"/>
        <w:gridCol w:w="109"/>
        <w:gridCol w:w="109"/>
        <w:gridCol w:w="109"/>
        <w:gridCol w:w="211"/>
        <w:gridCol w:w="668"/>
        <w:gridCol w:w="109"/>
        <w:gridCol w:w="109"/>
        <w:gridCol w:w="109"/>
        <w:gridCol w:w="109"/>
        <w:gridCol w:w="211"/>
        <w:gridCol w:w="616"/>
        <w:gridCol w:w="109"/>
        <w:gridCol w:w="109"/>
        <w:gridCol w:w="109"/>
        <w:gridCol w:w="109"/>
        <w:gridCol w:w="211"/>
        <w:gridCol w:w="721"/>
        <w:gridCol w:w="109"/>
        <w:gridCol w:w="109"/>
        <w:gridCol w:w="109"/>
        <w:gridCol w:w="109"/>
        <w:gridCol w:w="211"/>
        <w:gridCol w:w="773"/>
        <w:gridCol w:w="158"/>
      </w:tblGrid>
      <w:tr>
        <w:trPr/>
        <w:tc>
          <w:tcPr>
            <w:tcW w:w="137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8"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3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GevoFuels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GevoRNG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Adjusted EBITDA (Consolidated):</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(14,343)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369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369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intercompany expenses for shared service functions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instruments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369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 (Consolidated)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(28,288)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Media Contact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PR@gevo.com</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Eric Frey, PhD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of Finance and Strategy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IR@Gevo.com</w:t>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4271</Words>
  <Characters>25279</Characters>
  <CharactersWithSpaces>29079</CharactersWithSpaces>
  <Paragraphs>1207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