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715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71500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Shafer Andrew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600"/>
        <w:spacing w:after="0" w:line="283" w:lineRule="auto"/>
        <w:rPr>
          <w:sz w:val="20"/>
          <w:szCs w:val="20"/>
          <w:color w:val="auto"/>
        </w:rPr>
      </w:pPr>
      <w:r>
        <w:rPr>
          <w:rFonts w:ascii="Times New Roman" w:cs="Times New Roman" w:eastAsia="Times New Roman" w:hAnsi="Times New Roman"/>
          <w:sz w:val="17"/>
          <w:szCs w:val="17"/>
          <w:color w:val="0000FF"/>
        </w:rPr>
        <w:t>C/O GEVO, INC. 345 INVERNESS DRIVE SOUTH</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BUILDING C, SUITE 310</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ENGLEWOOD</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80112</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Gevo,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GEVO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740" w:type="dxa"/>
            <w:vAlign w:val="bottom"/>
            <w:tcBorders>
              <w:top w:val="single" w:sz="8" w:color="0000EE"/>
            </w:tcBorders>
          </w:tcPr>
          <w:p>
            <w:pPr>
              <w:spacing w:after="0"/>
              <w:rPr>
                <w:sz w:val="12"/>
                <w:szCs w:val="12"/>
                <w:color w:val="auto"/>
              </w:rPr>
            </w:pPr>
          </w:p>
        </w:tc>
        <w:tc>
          <w:tcPr>
            <w:tcW w:w="2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4"/>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tcPr>
          <w:p>
            <w:pPr>
              <w:spacing w:after="0"/>
              <w:rPr>
                <w:sz w:val="7"/>
                <w:szCs w:val="7"/>
                <w:color w:val="auto"/>
              </w:rPr>
            </w:pPr>
          </w:p>
        </w:tc>
        <w:tc>
          <w:tcPr>
            <w:tcW w:w="180" w:type="dxa"/>
            <w:vAlign w:val="bottom"/>
          </w:tcPr>
          <w:p>
            <w:pPr>
              <w:spacing w:after="0"/>
              <w:rPr>
                <w:sz w:val="7"/>
                <w:szCs w:val="7"/>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Chief Cust Mkt &amp; Brnd Officer</w:t>
            </w:r>
          </w:p>
        </w:tc>
        <w:tc>
          <w:tcPr>
            <w:tcW w:w="0" w:type="dxa"/>
            <w:vAlign w:val="bottom"/>
          </w:tcPr>
          <w:p>
            <w:pPr>
              <w:spacing w:after="0"/>
              <w:rPr>
                <w:sz w:val="1"/>
                <w:szCs w:val="1"/>
                <w:color w:val="auto"/>
              </w:rPr>
            </w:pPr>
          </w:p>
        </w:tc>
      </w:tr>
      <w:tr>
        <w:trPr>
          <w:trHeight w:val="128"/>
        </w:trPr>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04/01/2026</w:t>
            </w:r>
          </w:p>
        </w:tc>
        <w:tc>
          <w:tcPr>
            <w:tcW w:w="2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940" w:type="dxa"/>
            <w:vAlign w:val="bottom"/>
            <w:gridSpan w:val="3"/>
            <w:vMerge w:val="continue"/>
          </w:tcPr>
          <w:p>
            <w:pPr>
              <w:spacing w:after="0"/>
              <w:rPr>
                <w:sz w:val="7"/>
                <w:szCs w:val="7"/>
                <w:color w:val="auto"/>
              </w:rPr>
            </w:pPr>
          </w:p>
        </w:tc>
        <w:tc>
          <w:tcPr>
            <w:tcW w:w="2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50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5,550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0.71</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276,373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5,550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2.7076</w:t>
            </w:r>
            <w:r>
              <w:rPr>
                <w:rFonts w:ascii="Times New Roman" w:cs="Times New Roman" w:eastAsia="Times New Roman" w:hAnsi="Times New Roman"/>
                <w:sz w:val="21"/>
                <w:szCs w:val="21"/>
                <w:color w:val="008000"/>
                <w:w w:val="90"/>
                <w:vertAlign w:val="superscript"/>
              </w:rPr>
              <w:t>(2)</w:t>
            </w:r>
          </w:p>
        </w:tc>
        <w:tc>
          <w:tcPr>
            <w:tcW w:w="120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270,823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1"/>
              <w:spacing w:after="0" w:line="208" w:lineRule="exact"/>
              <w:rPr>
                <w:sz w:val="20"/>
                <w:szCs w:val="20"/>
                <w:color w:val="auto"/>
              </w:rPr>
            </w:pPr>
            <w:r>
              <w:rPr>
                <w:rFonts w:ascii="Times New Roman" w:cs="Times New Roman" w:eastAsia="Times New Roman" w:hAnsi="Times New Roman"/>
                <w:sz w:val="17"/>
                <w:szCs w:val="17"/>
                <w:color w:val="0000FF"/>
              </w:rPr>
              <w:t>16,871.52</w:t>
            </w:r>
            <w:r>
              <w:rPr>
                <w:rFonts w:ascii="Times New Roman" w:cs="Times New Roman" w:eastAsia="Times New Roman" w:hAnsi="Times New Roman"/>
                <w:sz w:val="21"/>
                <w:szCs w:val="21"/>
                <w:color w:val="008000"/>
                <w:vertAlign w:val="superscript"/>
              </w:rPr>
              <w:t>(3)</w:t>
            </w:r>
          </w:p>
        </w:tc>
        <w:tc>
          <w:tcPr>
            <w:tcW w:w="240" w:type="dxa"/>
            <w:vAlign w:val="bottom"/>
          </w:tcPr>
          <w:p>
            <w:pPr>
              <w:spacing w:after="0"/>
              <w:rPr>
                <w:sz w:val="18"/>
                <w:szCs w:val="18"/>
                <w:color w:val="auto"/>
              </w:rPr>
            </w:pPr>
          </w:p>
        </w:tc>
        <w:tc>
          <w:tcPr>
            <w:tcW w:w="68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9"/>
          </w:tcPr>
          <w:p>
            <w:pPr>
              <w:spacing w:after="0"/>
              <w:rPr>
                <w:sz w:val="8"/>
                <w:szCs w:val="8"/>
                <w:color w:val="auto"/>
              </w:rPr>
            </w:pPr>
          </w:p>
        </w:tc>
        <w:tc>
          <w:tcPr>
            <w:tcW w:w="680" w:type="dxa"/>
            <w:vAlign w:val="bottom"/>
            <w:tcBorders>
              <w:bottom w:val="single" w:sz="8" w:color="2C2C2C"/>
            </w:tcBorders>
            <w:gridSpan w:val="3"/>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0.71</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20"/>
                <w:szCs w:val="20"/>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20"/>
                <w:szCs w:val="20"/>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5,550</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05/21/2034</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5,550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9"/>
              </w:rPr>
              <w:t>191,400</w:t>
            </w:r>
          </w:p>
        </w:tc>
        <w:tc>
          <w:tcPr>
            <w:tcW w:w="24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-2015490</wp:posOffset>
            </wp:positionV>
            <wp:extent cx="29210" cy="2020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05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were effected pursuant to a 10b5-1 trading plan adopted by the Reporting Person on November 19, 2025.</w:t>
      </w:r>
    </w:p>
    <w:p>
      <w:pPr>
        <w:spacing w:after="0" w:line="45" w:lineRule="exact"/>
        <w:rPr>
          <w:rFonts w:ascii="Times New Roman" w:cs="Times New Roman" w:eastAsia="Times New Roman" w:hAnsi="Times New Roman"/>
          <w:sz w:val="13"/>
          <w:szCs w:val="13"/>
          <w:color w:val="008000"/>
        </w:rPr>
      </w:pPr>
    </w:p>
    <w:p>
      <w:pPr>
        <w:ind w:left="40" w:right="3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$2.69 to $2.73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4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Between March 10, 2026 and April 1, 2026, the reporting person disposed of 6.17 shares of the issuer's common stock under the issuer's 401(k) plan to cover administrative fees. The information in this report is based on a plan statement dated March 25, 2026.</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became exercisable in three equal annual installments beginning on May 22, 2025.</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E. Cabell Massey, Attorney- </w:t>
      </w:r>
      <w:r>
        <w:rPr>
          <w:rFonts w:ascii="Times New Roman" w:cs="Times New Roman" w:eastAsia="Times New Roman" w:hAnsi="Times New Roman"/>
          <w:sz w:val="33"/>
          <w:szCs w:val="33"/>
          <w:color w:val="0000FF"/>
          <w:vertAlign w:val="subscript"/>
        </w:rPr>
        <w:t>04/02/2026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4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303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353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9254" TargetMode="External"/><Relationship Id="rId14" Type="http://schemas.openxmlformats.org/officeDocument/2006/relationships/hyperlink" Target="http://www.sec.gov/cgi-bin/browse-edgar?action=getcompany&amp;CIK=00013923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2026-04-02T16:36:37Z</dcterms:created>
  <dcterms:modified xsi:type="dcterms:W3CDTF">2026-04-02T16:36:37Z</dcterms:modified>
</cp:coreProperties>
</file>