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00"/>
        <w:ind w:left="0" w:right="0" w:hanging="0"/>
        <w:jc w:val="left"/>
        <w:rPr/>
      </w:pPr>
      <w:hyperlink w:anchor="TOC">
        <w:bookmarkStart w:id="0" w:name="gevo-20240331x10q.htm"/>
        <w:bookmarkStart w:id="1" w:name="ksgevo2024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76a04d9b_5f33_4fc9_8478_98d37c8cfee5"/>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24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AND EXCHANGE ACT OF 1934</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 xml:space="preserve">For the transition period from </w:t>
      </w:r>
      <w:r>
        <w:rPr>
          <w:rFonts w:ascii="Times New Roman;Times;serif" w:hAnsi="Times New Roman;Times;serif"/>
          <w:sz w:val="20"/>
        </w:rPr>
        <w:t xml:space="preserve">                     </w:t>
      </w:r>
      <w:r>
        <w:rPr>
          <w:rFonts w:ascii="Times New Roman;Times;serif" w:hAnsi="Times New Roman;Times;serif"/>
          <w:b/>
          <w:sz w:val="20"/>
        </w:rPr>
        <w:t xml:space="preserve">to </w:t>
      </w:r>
      <w:r>
        <w:rPr>
          <w:rFonts w:ascii="Times New Roman;Times;serif" w:hAnsi="Times New Roman;Times;serif"/>
          <w:sz w:val="20"/>
        </w:rPr>
        <w:t>                    </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001-35073</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ah41vdchT0mSjhbmcJYsCw_2_2"/>
      <w:bookmarkStart w:id="4" w:name="Tc_M55M2K2wMkqjRbPyPp9fDw_2_0"/>
      <w:bookmarkStart w:id="5" w:name="_2546df90_7b40_4ff2_b8a3_71e1f1150cff"/>
      <w:bookmarkStart w:id="6" w:name="Tc_ah41vdchT0mSjhbmcJYsCw_2_2"/>
      <w:bookmarkStart w:id="7" w:name="Tc_M55M2K2wMkqjRbPyPp9fDw_2_0"/>
      <w:bookmarkStart w:id="8" w:name="_2546df90_7b40_4ff2_b8a3_71e1f1150cff"/>
      <w:bookmarkEnd w:id="6"/>
      <w:bookmarkEnd w:id="7"/>
      <w:bookmarkEnd w:id="8"/>
    </w:p>
    <w:tbl>
      <w:tblPr>
        <w:tblW w:w="4498" w:type="dxa"/>
        <w:jc w:val="left"/>
        <w:tblInd w:w="0" w:type="dxa"/>
        <w:tblLayout w:type="fixed"/>
        <w:tblCellMar>
          <w:top w:w="0" w:type="dxa"/>
          <w:left w:w="0" w:type="dxa"/>
          <w:bottom w:w="0" w:type="dxa"/>
          <w:right w:w="0" w:type="dxa"/>
        </w:tblCellMar>
      </w:tblPr>
      <w:tblGrid>
        <w:gridCol w:w="2581"/>
        <w:gridCol w:w="266"/>
        <w:gridCol w:w="1651"/>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38935" cy="175260"/>
                      <wp:effectExtent l="0" t="0" r="0" b="0"/>
                      <wp:wrapNone/>
                      <wp:docPr id="1" name="Frame1"/>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68910" cy="175260"/>
                      <wp:effectExtent l="0" t="0" r="0" b="0"/>
                      <wp:wrapNone/>
                      <wp:docPr id="2" name="Frame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266" w:type="dxa"/>
            <w:tcBorders/>
            <w:vAlign w:val="center"/>
          </w:tcPr>
          <w:p>
            <w:pPr>
              <w:pStyle w:val="TableContents"/>
              <w:bidi w:val="0"/>
              <w:spacing w:before="0" w:after="0"/>
              <w:ind w:left="0" w:right="0" w:hanging="0"/>
              <w:jc w:val="left"/>
              <w:rPr/>
            </w:pPr>
            <w:r>
              <w:rPr/>
              <w:t>   </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87-0747704</w:t>
            </w:r>
          </w:p>
        </w:tc>
      </w:tr>
      <w:tr>
        <w:trPr/>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266" w:type="dxa"/>
            <w:tcBorders/>
            <w:vAlign w:val="center"/>
          </w:tcPr>
          <w:p>
            <w:pPr>
              <w:pStyle w:val="TableContents"/>
              <w:bidi w:val="0"/>
              <w:spacing w:before="0" w:after="240"/>
              <w:ind w:left="0" w:right="0" w:hanging="0"/>
              <w:jc w:val="left"/>
              <w:rPr/>
            </w:pPr>
            <w:r>
              <w:rPr/>
              <w:t>​</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9" w:name="Tc_xWpg5qp2X0u2aPleB12z4w_2_2"/>
      <w:bookmarkStart w:id="10" w:name="Tc_FE8vaShCy0yoqnpzlU3z5g_2_0"/>
      <w:bookmarkStart w:id="11" w:name="Tc_KdqaaPxW3k-2KjhYiq10qA_1_0"/>
      <w:bookmarkStart w:id="12" w:name="_480dcf84_8648_49b4_9ac4_507218ea7a4f"/>
      <w:bookmarkStart w:id="13" w:name="Tc_xWpg5qp2X0u2aPleB12z4w_2_2"/>
      <w:bookmarkStart w:id="14" w:name="Tc_FE8vaShCy0yoqnpzlU3z5g_2_0"/>
      <w:bookmarkStart w:id="15" w:name="Tc_KdqaaPxW3k-2KjhYiq10qA_1_0"/>
      <w:bookmarkStart w:id="16" w:name="_480dcf84_8648_49b4_9ac4_507218ea7a4f"/>
      <w:bookmarkEnd w:id="13"/>
      <w:bookmarkEnd w:id="14"/>
      <w:bookmarkEnd w:id="15"/>
      <w:bookmarkEnd w:id="16"/>
    </w:p>
    <w:tbl>
      <w:tblPr>
        <w:tblW w:w="4603" w:type="dxa"/>
        <w:jc w:val="left"/>
        <w:tblInd w:w="0" w:type="dxa"/>
        <w:tblLayout w:type="fixed"/>
        <w:tblCellMar>
          <w:top w:w="0" w:type="dxa"/>
          <w:left w:w="0" w:type="dxa"/>
          <w:bottom w:w="0" w:type="dxa"/>
          <w:right w:w="0" w:type="dxa"/>
        </w:tblCellMar>
      </w:tblPr>
      <w:tblGrid>
        <w:gridCol w:w="3301"/>
        <w:gridCol w:w="266"/>
        <w:gridCol w:w="1036"/>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096135" cy="175260"/>
                      <wp:effectExtent l="0" t="0" r="0" b="0"/>
                      <wp:wrapNone/>
                      <wp:docPr id="4" name="Frame4"/>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68910" cy="175260"/>
                      <wp:effectExtent l="0" t="0" r="0" b="0"/>
                      <wp:wrapNone/>
                      <wp:docPr id="5" name="Frame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57860" cy="175260"/>
                      <wp:effectExtent l="0" t="0" r="0" b="0"/>
                      <wp:wrapNone/>
                      <wp:docPr id="6" name="Frame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345 Inverness Drive South,</w:t>
              <w:br/>
              <w:t>Building C, Suite 310</w:t>
              <w:br/>
              <w:t>Englewood, CO</w:t>
            </w:r>
          </w:p>
        </w:tc>
        <w:tc>
          <w:tcPr>
            <w:tcW w:w="26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80112</w:t>
            </w:r>
          </w:p>
        </w:tc>
      </w:tr>
      <w:tr>
        <w:trPr/>
        <w:tc>
          <w:tcPr>
            <w:tcW w:w="33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266" w:type="dxa"/>
            <w:tcBorders/>
            <w:vAlign w:val="center"/>
          </w:tcPr>
          <w:p>
            <w:pPr>
              <w:pStyle w:val="TableContents"/>
              <w:bidi w:val="0"/>
              <w:spacing w:before="0" w:after="24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(303) 858-8358</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 w:name="Tc_-Ef28hMpEEeApzu8M1jUJQ_1_4"/>
      <w:bookmarkStart w:id="18" w:name="Tc_P7q4MHAFwkWTXNgXR1c5MQ_1_2"/>
      <w:bookmarkStart w:id="19" w:name="Tc_3cYFVVJp0kOky6NBW1t1DA_1_0"/>
      <w:bookmarkStart w:id="20" w:name="_77b96a2c_1cc3_4128_b0bb_4e2e37c10090"/>
      <w:bookmarkStart w:id="21" w:name="Tc_-Ef28hMpEEeApzu8M1jUJQ_1_4"/>
      <w:bookmarkStart w:id="22" w:name="Tc_P7q4MHAFwkWTXNgXR1c5MQ_1_2"/>
      <w:bookmarkStart w:id="23" w:name="Tc_3cYFVVJp0kOky6NBW1t1DA_1_0"/>
      <w:bookmarkStart w:id="24" w:name="_77b96a2c_1cc3_4128_b0bb_4e2e37c10090"/>
      <w:bookmarkEnd w:id="21"/>
      <w:bookmarkEnd w:id="22"/>
      <w:bookmarkEnd w:id="23"/>
      <w:bookmarkEnd w:id="24"/>
    </w:p>
    <w:tbl>
      <w:tblPr>
        <w:tblW w:w="9670" w:type="dxa"/>
        <w:jc w:val="left"/>
        <w:tblInd w:w="0" w:type="dxa"/>
        <w:tblLayout w:type="fixed"/>
        <w:tblCellMar>
          <w:top w:w="0" w:type="dxa"/>
          <w:left w:w="0" w:type="dxa"/>
          <w:bottom w:w="0" w:type="dxa"/>
          <w:right w:w="0" w:type="dxa"/>
        </w:tblCellMar>
      </w:tblPr>
      <w:tblGrid>
        <w:gridCol w:w="3496"/>
        <w:gridCol w:w="326"/>
        <w:gridCol w:w="1501"/>
        <w:gridCol w:w="326"/>
        <w:gridCol w:w="4021"/>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21" w:type="dxa"/>
            <w:tcBorders/>
            <w:vAlign w:val="center"/>
          </w:tcPr>
          <w:p>
            <w:pPr>
              <w:pStyle w:val="TableContents"/>
              <w:bidi w:val="0"/>
              <w:spacing w:before="0" w:after="0"/>
              <w:ind w:left="0" w:right="0" w:hanging="0"/>
              <w:jc w:val="left"/>
              <w:rPr/>
            </w:pPr>
            <w:r>
              <w:rPr/>
              <w:t>​</w: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9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15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GEVO</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402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240"/>
        <w:ind w:left="0" w:right="0" w:firstLine="540"/>
        <w:jc w:val="left"/>
        <w:rPr/>
      </w:pPr>
      <w:r>
        <w:rPr/>
        <w:t>​</w:t>
      </w:r>
    </w:p>
    <w:p>
      <w:pPr>
        <w:pStyle w:val="TextBody"/>
        <w:bidi w:val="0"/>
        <w:spacing w:before="0" w:after="0"/>
        <w:ind w:left="15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240"/>
        <w:ind w:left="150" w:right="0" w:firstLine="36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5" w:name="Tc_Go2X2K634UyVFvpD9Gh3jw_2_2"/>
      <w:bookmarkStart w:id="26" w:name="Tc_3-s8b2bDqEmR54Cl436wYg_1_2"/>
      <w:bookmarkStart w:id="27" w:name="Tc_zcx8Q6-Js0mubfhnak4p9A_1_1"/>
      <w:bookmarkStart w:id="28" w:name="Tc_m_67-66VNkyz7-Ce568clA_0_3"/>
      <w:bookmarkStart w:id="29" w:name="Tc_TQVh71NXk0OOkuJo2bd0pQ_0_2"/>
      <w:bookmarkStart w:id="30" w:name="Tc_YnPTbI7_ekaBZmNtPKKs6w_0_1"/>
      <w:bookmarkStart w:id="31" w:name="Tc_4hePBExOr0GAgPBffj2Z9Q_0_0"/>
      <w:bookmarkStart w:id="32" w:name="_c97b7adc_7f84_4ae4_ace0_a37bf3a966ab"/>
      <w:bookmarkStart w:id="33" w:name="Tc_Go2X2K634UyVFvpD9Gh3jw_2_2"/>
      <w:bookmarkStart w:id="34" w:name="Tc_3-s8b2bDqEmR54Cl436wYg_1_2"/>
      <w:bookmarkStart w:id="35" w:name="Tc_zcx8Q6-Js0mubfhnak4p9A_1_1"/>
      <w:bookmarkStart w:id="36" w:name="Tc_m_67-66VNkyz7-Ce568clA_0_3"/>
      <w:bookmarkStart w:id="37" w:name="Tc_TQVh71NXk0OOkuJo2bd0pQ_0_2"/>
      <w:bookmarkStart w:id="38" w:name="Tc_YnPTbI7_ekaBZmNtPKKs6w_0_1"/>
      <w:bookmarkStart w:id="39" w:name="Tc_4hePBExOr0GAgPBffj2Z9Q_0_0"/>
      <w:bookmarkStart w:id="40" w:name="_c97b7adc_7f84_4ae4_ace0_a37bf3a966ab"/>
      <w:bookmarkEnd w:id="33"/>
      <w:bookmarkEnd w:id="34"/>
      <w:bookmarkEnd w:id="35"/>
      <w:bookmarkEnd w:id="36"/>
      <w:bookmarkEnd w:id="37"/>
      <w:bookmarkEnd w:id="38"/>
      <w:bookmarkEnd w:id="39"/>
      <w:bookmarkEnd w:id="40"/>
    </w:p>
    <w:tbl>
      <w:tblPr>
        <w:tblW w:w="4909" w:type="dxa"/>
        <w:jc w:val="left"/>
        <w:tblInd w:w="0" w:type="dxa"/>
        <w:tblLayout w:type="fixed"/>
        <w:tblCellMar>
          <w:top w:w="0" w:type="dxa"/>
          <w:left w:w="0" w:type="dxa"/>
          <w:bottom w:w="0" w:type="dxa"/>
          <w:right w:w="0" w:type="dxa"/>
        </w:tblCellMar>
      </w:tblPr>
      <w:tblGrid>
        <w:gridCol w:w="1921"/>
        <w:gridCol w:w="316"/>
        <w:gridCol w:w="2311"/>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center"/>
              <w:rPr/>
            </w:pPr>
            <w:r>
              <w:rPr/>
              <w:t>☒</w:t>
            </w:r>
          </w:p>
        </w:tc>
      </w:tr>
      <w:tr>
        <w:trPr/>
        <w:tc>
          <w:tcPr>
            <w:tcW w:w="192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center"/>
              <w:rPr/>
            </w:pPr>
            <w:r>
              <w:rPr/>
              <w:t>​</w:t>
            </w:r>
          </w:p>
        </w:tc>
        <w:tc>
          <w:tcPr>
            <w:tcW w:w="23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w:t>
            </w:r>
          </w:p>
        </w:tc>
        <w:tc>
          <w:tcPr>
            <w:tcW w:w="3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547"/>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As of May 1, 2024, 236,232,717 shares of the registrant’s common stock were outstanding.</w:t>
      </w:r>
    </w:p>
    <w:p>
      <w:pPr>
        <w:pStyle w:val="TextBody"/>
        <w:pBdr>
          <w:top w:val="single" w:sz="8" w:space="1" w:color="000000"/>
          <w:bottom w:val="single" w:sz="24" w:space="1" w:color="000000"/>
        </w:pBdr>
        <w:bidi w:val="0"/>
        <w:spacing w:before="0" w:after="240"/>
        <w:ind w:left="0" w:right="0" w:firstLine="540"/>
        <w:jc w:val="left"/>
        <w:rPr/>
      </w:pPr>
      <w:r>
        <w:rPr/>
        <w:t>​</w:t>
      </w:r>
    </w:p>
    <w:p>
      <w:pPr>
        <w:pStyle w:val="TextBody"/>
        <w:bidi w:val="0"/>
        <w:spacing w:before="0" w:after="0"/>
        <w:ind w:left="0" w:right="0" w:hanging="0"/>
        <w:jc w:val="left"/>
        <w:rPr/>
      </w:pPr>
      <w:r>
        <w:rPr/>
        <w:t>​</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_7314f13d_bcd3_470b_8074_10a4087402fa"/>
      <w:bookmarkEnd w:id="4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MARCH 31, 2024</w:t>
      </w:r>
    </w:p>
    <w:p>
      <w:pPr>
        <w:pStyle w:val="TextBody"/>
        <w:bidi w:val="0"/>
        <w:spacing w:before="0" w:after="240"/>
        <w:ind w:left="0" w:right="0" w:hanging="0"/>
        <w:jc w:val="center"/>
        <w:rPr>
          <w:rFonts w:ascii="Times New Roman;Times;serif" w:hAnsi="Times New Roman;Times;serif"/>
          <w:b/>
          <w:sz w:val="20"/>
        </w:rPr>
      </w:pPr>
      <w:bookmarkStart w:id="42" w:name="TOC"/>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853"/>
        <w:gridCol w:w="541"/>
      </w:tblGrid>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center"/>
              <w:rPr/>
            </w:pPr>
            <w:hyperlink w:anchor="PARTIFINANCIALINFORMATION_645820">
              <w:r>
                <w:rPr>
                  <w:rStyle w:val="InternetLink"/>
                  <w:rFonts w:ascii="Times New Roman;Times;serif" w:hAnsi="Times New Roman;Times;serif"/>
                  <w:b/>
                  <w:i w:val="false"/>
                  <w:caps w:val="false"/>
                  <w:smallCaps w:val="false"/>
                  <w:sz w:val="20"/>
                </w:rPr>
                <w:t>PART I. FINANCIAL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r>
      <w:tr>
        <w:trPr/>
        <w:tc>
          <w:tcPr>
            <w:tcW w:w="811"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FinancialStatements_375279">
              <w:r>
                <w:rPr>
                  <w:rStyle w:val="InternetLink"/>
                  <w:rFonts w:ascii="Times New Roman;Times;serif" w:hAnsi="Times New Roman;Times;serif"/>
                  <w:b w:val="false"/>
                  <w:i w:val="false"/>
                  <w:caps w:val="false"/>
                  <w:smallCaps w:val="false"/>
                  <w:sz w:val="20"/>
                </w:rPr>
                <w:t>Financial Statements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BALANCESHEETS_963619">
              <w:r>
                <w:rPr>
                  <w:rStyle w:val="InternetLink"/>
                  <w:rFonts w:ascii="Times New Roman;Times;serif" w:hAnsi="Times New Roman;Times;serif"/>
                  <w:b w:val="false"/>
                  <w:i w:val="false"/>
                  <w:caps w:val="false"/>
                  <w:smallCaps w:val="false"/>
                  <w:sz w:val="20"/>
                </w:rPr>
                <w:t>Consolidated Balance Sheets as of March 31, 2024 (unaudited) and December 31, 2023</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OPERATIONS_79993">
              <w:r>
                <w:rPr>
                  <w:rStyle w:val="InternetLink"/>
                  <w:rFonts w:ascii="Times New Roman;Times;serif" w:hAnsi="Times New Roman;Times;serif"/>
                  <w:b w:val="false"/>
                  <w:i w:val="false"/>
                  <w:caps w:val="false"/>
                  <w:smallCaps w:val="false"/>
                  <w:sz w:val="20"/>
                </w:rPr>
                <w:t>Consolidated Statements of Operations for the three months ended March 31,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 for the three months ended March 31,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STOCKHOLDERSEQUI">
              <w:r>
                <w:rPr>
                  <w:rStyle w:val="InternetLink"/>
                  <w:rFonts w:ascii="Times New Roman;Times;serif" w:hAnsi="Times New Roman;Times;serif"/>
                  <w:b w:val="false"/>
                  <w:i w:val="false"/>
                  <w:caps w:val="false"/>
                  <w:smallCaps w:val="false"/>
                  <w:sz w:val="20"/>
                </w:rPr>
                <w:t>Consolidated Statements of Stockholders’ Equity for the three months ended March 31,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CONSOLIDATEDSTATEMENTSOFCASHFLOWS_224163">
              <w:r>
                <w:rPr>
                  <w:rStyle w:val="InternetLink"/>
                  <w:rFonts w:ascii="Times New Roman;Times;serif" w:hAnsi="Times New Roman;Times;serif"/>
                  <w:b w:val="false"/>
                  <w:i w:val="false"/>
                  <w:caps w:val="false"/>
                  <w:smallCaps w:val="false"/>
                  <w:sz w:val="20"/>
                </w:rPr>
                <w:t>Consolidated Statements of Cash Flows for the three months ended March 31, 2024 and 2023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a1NatureofBusinessFinancialConditionandB">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ControlsandProcedures_150025">
              <w:r>
                <w:rPr>
                  <w:rStyle w:val="InternetLink"/>
                  <w:rFonts w:ascii="Times New Roman;Times;serif" w:hAnsi="Times New Roman;Times;serif"/>
                  <w:b w:val="false"/>
                  <w:i w:val="false"/>
                  <w:caps w:val="false"/>
                  <w:smallCaps w:val="false"/>
                  <w:sz w:val="20"/>
                </w:rPr>
                <w:t>Controls and Procedures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10205" w:type="dxa"/>
            <w:gridSpan w:val="3"/>
            <w:tcBorders/>
            <w:vAlign w:val="center"/>
          </w:tcPr>
          <w:p>
            <w:pPr>
              <w:pStyle w:val="TableContents"/>
              <w:bidi w:val="0"/>
              <w:spacing w:before="0" w:after="0"/>
              <w:ind w:left="0" w:right="0" w:hanging="0"/>
              <w:jc w:val="center"/>
              <w:rPr/>
            </w:pPr>
            <w:hyperlink w:anchor="PARTIIOTHERINFORMATION_881509">
              <w:r>
                <w:rPr>
                  <w:rStyle w:val="InternetLink"/>
                  <w:rFonts w:ascii="Times New Roman;Times;serif" w:hAnsi="Times New Roman;Times;serif"/>
                  <w:b/>
                  <w:i w:val="false"/>
                  <w:caps w:val="false"/>
                  <w:smallCaps w:val="false"/>
                  <w:sz w:val="20"/>
                </w:rPr>
                <w:t>PART II. OTHER INFORMATION</w:t>
              </w:r>
            </w:hyperlink>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Item 1.</w:t>
              </w:r>
            </w:hyperlink>
          </w:p>
        </w:tc>
        <w:tc>
          <w:tcPr>
            <w:tcW w:w="8853" w:type="dxa"/>
            <w:tcBorders/>
            <w:vAlign w:val="center"/>
          </w:tcPr>
          <w:p>
            <w:pPr>
              <w:pStyle w:val="TableContents"/>
              <w:bidi w:val="0"/>
              <w:spacing w:before="0" w:after="0"/>
              <w:ind w:left="0" w:right="0" w:hanging="0"/>
              <w:jc w:val="left"/>
              <w:rPr/>
            </w:pPr>
            <w:hyperlink w:anchor="Item1LegalProceedings_687788">
              <w:r>
                <w:rPr>
                  <w:rStyle w:val="InternetLink"/>
                  <w:rFonts w:ascii="Times New Roman;Times;serif" w:hAnsi="Times New Roman;Times;serif"/>
                  <w:b w:val="false"/>
                  <w:i w:val="false"/>
                  <w:caps w:val="false"/>
                  <w:smallCaps w:val="false"/>
                  <w:sz w:val="20"/>
                </w:rPr>
                <w:t>Legal Proceedings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Item 1A.</w:t>
              </w:r>
            </w:hyperlink>
          </w:p>
        </w:tc>
        <w:tc>
          <w:tcPr>
            <w:tcW w:w="8853" w:type="dxa"/>
            <w:tcBorders/>
            <w:vAlign w:val="center"/>
          </w:tcPr>
          <w:p>
            <w:pPr>
              <w:pStyle w:val="TableContents"/>
              <w:bidi w:val="0"/>
              <w:spacing w:before="0" w:after="0"/>
              <w:ind w:left="0" w:right="0" w:hanging="0"/>
              <w:jc w:val="left"/>
              <w:rPr/>
            </w:pPr>
            <w:hyperlink w:anchor="Item1ARiskFactors_410492">
              <w:r>
                <w:rPr>
                  <w:rStyle w:val="InternetLink"/>
                  <w:rFonts w:ascii="Times New Roman;Times;serif" w:hAnsi="Times New Roman;Times;serif"/>
                  <w:b w:val="false"/>
                  <w:i w:val="false"/>
                  <w:caps w:val="false"/>
                  <w:smallCaps w:val="false"/>
                  <w:sz w:val="20"/>
                </w:rPr>
                <w:t>Risk Factors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53" w:type="dxa"/>
            <w:tcBorders/>
            <w:vAlign w:val="center"/>
          </w:tcPr>
          <w:p>
            <w:pPr>
              <w:pStyle w:val="TableContents"/>
              <w:bidi w:val="0"/>
              <w:spacing w:before="0" w:after="0"/>
              <w:ind w:left="0" w:right="0" w:hanging="0"/>
              <w:jc w:val="left"/>
              <w:rPr/>
            </w:pPr>
            <w:hyperlink w:anchor="_Item_2._Unregistered">
              <w:r>
                <w:rPr>
                  <w:rStyle w:val="InternetLink"/>
                  <w:rFonts w:ascii="Times New Roman;Times;serif" w:hAnsi="Times New Roman;Times;serif"/>
                  <w:b w:val="false"/>
                  <w:i w:val="false"/>
                  <w:caps w:val="false"/>
                  <w:smallCaps w:val="false"/>
                  <w:sz w:val="20"/>
                </w:rPr>
                <w:t>Unregistered Sales of Equity Securities, Use of Proceeds</w:t>
              </w:r>
            </w:hyperlink>
            <w:r>
              <w:rPr>
                <w:rFonts w:ascii="Times New Roman;Times;serif" w:hAnsi="Times New Roman;Times;serif"/>
                <w:sz w:val="20"/>
              </w:rPr>
              <w:t>, and Issuer Purchases of Equity Securities</w:t>
            </w:r>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Item 3.</w:t>
              </w:r>
            </w:hyperlink>
          </w:p>
        </w:tc>
        <w:tc>
          <w:tcPr>
            <w:tcW w:w="8853" w:type="dxa"/>
            <w:tcBorders/>
            <w:vAlign w:val="center"/>
          </w:tcPr>
          <w:p>
            <w:pPr>
              <w:pStyle w:val="TableContents"/>
              <w:bidi w:val="0"/>
              <w:spacing w:before="0" w:after="0"/>
              <w:ind w:left="0" w:right="0" w:hanging="0"/>
              <w:jc w:val="left"/>
              <w:rPr/>
            </w:pPr>
            <w:hyperlink w:anchor="Item3DefaultsUponSeniorSecurities_300980">
              <w:r>
                <w:rPr>
                  <w:rStyle w:val="InternetLink"/>
                  <w:rFonts w:ascii="Times New Roman;Times;serif" w:hAnsi="Times New Roman;Times;serif"/>
                  <w:b w:val="false"/>
                  <w:i w:val="false"/>
                  <w:caps w:val="false"/>
                  <w:smallCaps w:val="false"/>
                  <w:sz w:val="20"/>
                </w:rPr>
                <w:t>Defaults Upon Senior Securities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Item 4.</w:t>
              </w:r>
            </w:hyperlink>
          </w:p>
        </w:tc>
        <w:tc>
          <w:tcPr>
            <w:tcW w:w="8853" w:type="dxa"/>
            <w:tcBorders/>
            <w:vAlign w:val="center"/>
          </w:tcPr>
          <w:p>
            <w:pPr>
              <w:pStyle w:val="TableContents"/>
              <w:bidi w:val="0"/>
              <w:spacing w:before="0" w:after="0"/>
              <w:ind w:left="0" w:right="0" w:hanging="0"/>
              <w:jc w:val="left"/>
              <w:rPr/>
            </w:pPr>
            <w:hyperlink w:anchor="Item4MineSafetyDisclosures_988747">
              <w:r>
                <w:rPr>
                  <w:rStyle w:val="InternetLink"/>
                  <w:rFonts w:ascii="Times New Roman;Times;serif" w:hAnsi="Times New Roman;Times;serif"/>
                  <w:b w:val="false"/>
                  <w:i w:val="false"/>
                  <w:caps w:val="false"/>
                  <w:smallCaps w:val="false"/>
                  <w:sz w:val="20"/>
                </w:rPr>
                <w:t>Mine Safety Disclosures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Item 5.</w:t>
              </w:r>
            </w:hyperlink>
          </w:p>
        </w:tc>
        <w:tc>
          <w:tcPr>
            <w:tcW w:w="8853" w:type="dxa"/>
            <w:tcBorders/>
            <w:vAlign w:val="center"/>
          </w:tcPr>
          <w:p>
            <w:pPr>
              <w:pStyle w:val="TableContents"/>
              <w:bidi w:val="0"/>
              <w:spacing w:before="0" w:after="0"/>
              <w:ind w:left="0" w:right="0" w:hanging="0"/>
              <w:jc w:val="left"/>
              <w:rPr/>
            </w:pPr>
            <w:hyperlink w:anchor="Item5OtherInformation_31786">
              <w:r>
                <w:rPr>
                  <w:rStyle w:val="InternetLink"/>
                  <w:rFonts w:ascii="Times New Roman;Times;serif" w:hAnsi="Times New Roman;Times;serif"/>
                  <w:b w:val="false"/>
                  <w:i w:val="false"/>
                  <w:caps w:val="false"/>
                  <w:smallCaps w:val="false"/>
                  <w:sz w:val="20"/>
                </w:rPr>
                <w:t>Other Information</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tc>
      </w:tr>
      <w:tr>
        <w:trPr/>
        <w:tc>
          <w:tcPr>
            <w:tcW w:w="811"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Item 6.</w:t>
              </w:r>
            </w:hyperlink>
          </w:p>
        </w:tc>
        <w:tc>
          <w:tcPr>
            <w:tcW w:w="8853" w:type="dxa"/>
            <w:tcBorders/>
            <w:vAlign w:val="center"/>
          </w:tcPr>
          <w:p>
            <w:pPr>
              <w:pStyle w:val="TableContents"/>
              <w:bidi w:val="0"/>
              <w:spacing w:before="0" w:after="0"/>
              <w:ind w:left="0" w:right="0" w:hanging="0"/>
              <w:jc w:val="left"/>
              <w:rPr/>
            </w:pPr>
            <w:hyperlink w:anchor="Item6Exhibits_75368">
              <w:r>
                <w:rPr>
                  <w:rStyle w:val="InternetLink"/>
                  <w:rFonts w:ascii="Times New Roman;Times;serif" w:hAnsi="Times New Roman;Times;serif"/>
                  <w:b w:val="false"/>
                  <w:i w:val="false"/>
                  <w:caps w:val="false"/>
                  <w:smallCaps w:val="false"/>
                  <w:sz w:val="20"/>
                </w:rPr>
                <w:t>Exhibits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center"/>
              <w:rPr/>
            </w:pPr>
            <w:r>
              <w:rPr/>
              <w:t>​</w:t>
            </w:r>
          </w:p>
        </w:tc>
      </w:tr>
      <w:tr>
        <w:trPr/>
        <w:tc>
          <w:tcPr>
            <w:tcW w:w="811" w:type="dxa"/>
            <w:tcBorders/>
            <w:vAlign w:val="center"/>
          </w:tcPr>
          <w:p>
            <w:pPr>
              <w:pStyle w:val="TableContents"/>
              <w:bidi w:val="0"/>
              <w:spacing w:before="0" w:after="0"/>
              <w:ind w:left="0" w:right="0" w:hanging="0"/>
              <w:jc w:val="left"/>
              <w:rPr/>
            </w:pPr>
            <w:r>
              <w:rPr/>
              <w:t>​</w:t>
            </w:r>
          </w:p>
        </w:tc>
        <w:tc>
          <w:tcPr>
            <w:tcW w:w="8853" w:type="dxa"/>
            <w:tcBorders/>
            <w:vAlign w:val="center"/>
          </w:tcPr>
          <w:p>
            <w:pPr>
              <w:pStyle w:val="TableContents"/>
              <w:bidi w:val="0"/>
              <w:spacing w:before="0" w:after="0"/>
              <w:ind w:left="0" w:right="0" w:hanging="0"/>
              <w:jc w:val="left"/>
              <w:rPr/>
            </w:pPr>
            <w:hyperlink w:anchor="SIGNATURES_446651">
              <w:r>
                <w:rPr>
                  <w:rStyle w:val="InternetLink"/>
                  <w:rFonts w:ascii="Times New Roman;Times;serif" w:hAnsi="Times New Roman;Times;serif"/>
                  <w:b w:val="false"/>
                  <w:i w:val="false"/>
                  <w:caps w:val="false"/>
                  <w:smallCaps w:val="false"/>
                  <w:sz w:val="20"/>
                </w:rPr>
                <w:t>Signatures</w:t>
              </w:r>
            </w:hyperlink>
          </w:p>
        </w:tc>
        <w:tc>
          <w:tcPr>
            <w:tcW w:w="5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3" w:name="PARTIFINANCIALINFORMATION_645820"/>
      <w:bookmarkStart w:id="44" w:name="_d6198905_d77d_46aa_bd06_47aa7ee1333e"/>
      <w:bookmarkEnd w:id="43"/>
      <w:bookmarkEnd w:id="44"/>
      <w:r>
        <w:rPr>
          <w:rFonts w:ascii="Times New Roman;Times;serif" w:hAnsi="Times New Roman;Times;serif"/>
          <w:b/>
          <w:sz w:val="20"/>
        </w:rPr>
        <w:t>PART I: FINANCIAL INFORMATION</w:t>
      </w:r>
    </w:p>
    <w:p>
      <w:pPr>
        <w:pStyle w:val="TextBody"/>
        <w:bidi w:val="0"/>
        <w:spacing w:before="0" w:after="240"/>
        <w:ind w:left="0" w:right="0" w:hanging="0"/>
        <w:jc w:val="left"/>
        <w:rPr>
          <w:rFonts w:ascii="Times New Roman;Times;serif" w:hAnsi="Times New Roman;Times;serif"/>
          <w:b/>
          <w:sz w:val="20"/>
        </w:rPr>
      </w:pPr>
      <w:bookmarkStart w:id="45" w:name="Item1FinancialStatements_375279"/>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46" w:name="CONSOLIDATEDBALANCESHEETS_963619"/>
      <w:bookmarkEnd w:id="46"/>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iktaw9NqHEy_uzV580DNiQ_35_7"/>
      <w:bookmarkStart w:id="48" w:name="Tc_zx-v3iaQvEu37SEG4D95lw_35_4"/>
      <w:bookmarkStart w:id="49" w:name="Tc_Tp1YKpvfCEWB_XzCY-4eRw_35_0"/>
      <w:bookmarkStart w:id="50" w:name="Tc_8TrFS1XEbkmBJHmyooyJZA_34_0"/>
      <w:bookmarkStart w:id="51" w:name="Tc_Miosw9jSg0iDk5TW93SWFw_33_0"/>
      <w:bookmarkStart w:id="52" w:name="Tc_CGu25PgB50iLpQL-qKYjMw_32_0"/>
      <w:bookmarkStart w:id="53" w:name="Tc_UX3aUt_Cl0qpTTP_lSltSQ_31_0"/>
      <w:bookmarkStart w:id="54" w:name="Tc_UGTsfBEahkCFZv21PBsGZw_30_0"/>
      <w:bookmarkStart w:id="55" w:name="Tc_YGsJPw0Mm0CL6owoFcA4Gw_29_0"/>
      <w:bookmarkStart w:id="56" w:name="Tc_u0iEvCzQK0K5mbUcbLYPjg_28_2"/>
      <w:bookmarkStart w:id="57" w:name="Tc_5xT5Bx0KCEulDprCReQK1A_28_0"/>
      <w:bookmarkStart w:id="58" w:name="Tc_ReFCZd93sE27lRiuJ8RtDQ_27_2"/>
      <w:bookmarkStart w:id="59" w:name="Tc_sPZJo1Pxo0mKw3Y1u-cbdw_27_0"/>
      <w:bookmarkStart w:id="60" w:name="Tc_pDthIrCw4kGg9IOKd_vvQA_26_5"/>
      <w:bookmarkStart w:id="61" w:name="Tc_fTKkzjXct06mceklmernqg_26_2"/>
      <w:bookmarkStart w:id="62" w:name="Tc_EvSV02CsEkGR37bRjlVANA_26_0"/>
      <w:bookmarkStart w:id="63" w:name="Tc_p98VJOgM3ESQR0GVZRa24g_25_8"/>
      <w:bookmarkStart w:id="64" w:name="Tc_d3r_mZpzk0-8fFC-Cpz-oA_25_2"/>
      <w:bookmarkStart w:id="65" w:name="Tc_uy1MHLcXL0yU5ufrbiK6yg_25_0"/>
      <w:bookmarkStart w:id="66" w:name="Tc_0m3OPOH7O0-U-88v6fh9bg_24_0"/>
      <w:bookmarkStart w:id="67" w:name="Tc_Hee9_tH3V0WZoNiLZ3IAeA_23_5"/>
      <w:bookmarkStart w:id="68" w:name="Tc_m55pdvzLOEO98WNwfoabyg_23_2"/>
      <w:bookmarkStart w:id="69" w:name="Tc_Gwq3iaOTxEKcsGCMshlF-Q_23_0"/>
      <w:bookmarkStart w:id="70" w:name="Tc_c6Ya1yblhUCUgbK0-pQ-ww_22_2"/>
      <w:bookmarkStart w:id="71" w:name="Tc_Eg3xt7ZGPk-ms_F25AaI8g_22_0"/>
      <w:bookmarkStart w:id="72" w:name="Tc_YtaT_re3EEuDkmNXjQQHTA_21_2"/>
      <w:bookmarkStart w:id="73" w:name="Tc_fg2pTe4h9EOJOYZGRAoTTw_21_0"/>
      <w:bookmarkStart w:id="74" w:name="Tc_3fWkJI29ekW9JFtI-euLBQ_20_2"/>
      <w:bookmarkStart w:id="75" w:name="Tc_5mIBfsipfE6c-qKxxcDw1Q_20_0"/>
      <w:bookmarkStart w:id="76" w:name="Tc_hhuhx01zR0CmuF_U7yxZjw_19_7"/>
      <w:bookmarkStart w:id="77" w:name="Tc_rThA1ag4t0iyWxFnlniqKg_19_4"/>
      <w:bookmarkStart w:id="78" w:name="Tc_DhNEg_zSvkOiHXA92Aw6nw_19_2"/>
      <w:bookmarkStart w:id="79" w:name="Tc_JD7fZWzXqUmjzJSamUBbTw_19_0"/>
      <w:bookmarkStart w:id="80" w:name="Tc__S9JeHkr7Ueocamz-gXA-g_18_0"/>
      <w:bookmarkStart w:id="81" w:name="Tc_ulFqfq9mKUuai0DfBK-7Hg_17_0"/>
      <w:bookmarkStart w:id="82" w:name="Tc_qgDIYSCvAkO-kZlvLDXqnA_16_7"/>
      <w:bookmarkStart w:id="83" w:name="Tc_DqCyOnklC02FM2teggz3CA_16_4"/>
      <w:bookmarkStart w:id="84" w:name="Tc_wt0EClaLdUuGRCnpNH9G_w_16_0"/>
      <w:bookmarkStart w:id="85" w:name="Tc_T8qolog46k2z-SaFgikrLQ_15_2"/>
      <w:bookmarkStart w:id="86" w:name="Tc_fgOGqXY050qTFRMacodrBg_15_0"/>
      <w:bookmarkStart w:id="87" w:name="Tc_d7_RG0lYuE6Aiu20LSs9gA_14_2"/>
      <w:bookmarkStart w:id="88" w:name="Tc_iCSlzXqF3EqBd9eFkHB9bQ_14_0"/>
      <w:bookmarkStart w:id="89" w:name="Tc_IVh6vIt1hUCdVI5IYS3LRQ_13_2"/>
      <w:bookmarkStart w:id="90" w:name="Tc_hmx60jnCjU6359P70KOvVg_13_0"/>
      <w:bookmarkStart w:id="91" w:name="Tc_uBfxWDCH_kW2z946mf4KSQ_12_2"/>
      <w:bookmarkStart w:id="92" w:name="Tc_NiSrzVId9ESKd2q0PCjchA_12_0"/>
      <w:bookmarkStart w:id="93" w:name="Tc_6Bo8hJ7St0Kndr83MH-luw_11_8"/>
      <w:bookmarkStart w:id="94" w:name="Tc_q1nlMycsW06HZVigz8lrfA_11_2"/>
      <w:bookmarkStart w:id="95" w:name="Tc_LbzVq7bIrk6RfbHI9QTu7Q_11_0"/>
      <w:bookmarkStart w:id="96" w:name="Tc_FRVpEz0TrkOmKW551O6mww_10_2"/>
      <w:bookmarkStart w:id="97" w:name="Tc_COEKEr2kikaj73Y3dZWEMw_10_0"/>
      <w:bookmarkStart w:id="98" w:name="Tc_cSYnQ5_SHUOq_Cxa6v6BBA_9_0"/>
      <w:bookmarkStart w:id="99" w:name="Tc_7j_inNMqGUG4WwC5rmordw_8_2"/>
      <w:bookmarkStart w:id="100" w:name="Tc_VY-mrv231U--NCXt03hZtw_8_0"/>
      <w:bookmarkStart w:id="101" w:name="Tc_jMOyJOVk-k6Hf8FO3JiK8g_7_2"/>
      <w:bookmarkStart w:id="102" w:name="Tc_r-0xZEZtWUumMlquZWlUuA_7_0"/>
      <w:bookmarkStart w:id="103" w:name="Tc_TCmyWulPrUaDAUB54sAsIw_6_0"/>
      <w:bookmarkStart w:id="104" w:name="Tc_fgc449P6o0urjK2uml84lw_5_5"/>
      <w:bookmarkStart w:id="105" w:name="Tc_WXJATCN0tUOXoX3Ssjloww_5_2"/>
      <w:bookmarkStart w:id="106" w:name="Tc_PLcN72QMr0S4ci7urtsO9A_5_0"/>
      <w:bookmarkStart w:id="107" w:name="Tc_Zf_r8xlbOk-PM0QfNjiHPw_4_7"/>
      <w:bookmarkStart w:id="108" w:name="Tc_z3RaweaIJU-8lUPnC4W0XQ_4_4"/>
      <w:bookmarkStart w:id="109" w:name="Tc_Yr8pi7w_GE6tuGfVwyv6Ng_4_0"/>
      <w:bookmarkStart w:id="110" w:name="Tc_PHvmpLicb0qVy4_aglem6Q_3_0"/>
      <w:bookmarkStart w:id="111" w:name="Tc_NVw3KXijCkyGNl6MzwPUYQ_2_0"/>
      <w:bookmarkStart w:id="112" w:name="Tc_s4M4MQlLQ0WV9ZfrpFZ_1g_1_7"/>
      <w:bookmarkStart w:id="113" w:name="Tc_obwxS6uckk2dLpWCvC9hqA_1_4"/>
      <w:bookmarkStart w:id="114" w:name="Tc_-WENc47hR0iv9ZqJpZB46g_1_2"/>
      <w:bookmarkStart w:id="115" w:name="_6d2b83b6_d1c6_4dea_8e24_6b7c1a1e72df"/>
      <w:bookmarkStart w:id="116" w:name="Tc_iktaw9NqHEy_uzV580DNiQ_35_7"/>
      <w:bookmarkStart w:id="117" w:name="Tc_zx-v3iaQvEu37SEG4D95lw_35_4"/>
      <w:bookmarkStart w:id="118" w:name="Tc_Tp1YKpvfCEWB_XzCY-4eRw_35_0"/>
      <w:bookmarkStart w:id="119" w:name="Tc_8TrFS1XEbkmBJHmyooyJZA_34_0"/>
      <w:bookmarkStart w:id="120" w:name="Tc_Miosw9jSg0iDk5TW93SWFw_33_0"/>
      <w:bookmarkStart w:id="121" w:name="Tc_CGu25PgB50iLpQL-qKYjMw_32_0"/>
      <w:bookmarkStart w:id="122" w:name="Tc_UX3aUt_Cl0qpTTP_lSltSQ_31_0"/>
      <w:bookmarkStart w:id="123" w:name="Tc_UGTsfBEahkCFZv21PBsGZw_30_0"/>
      <w:bookmarkStart w:id="124" w:name="Tc_YGsJPw0Mm0CL6owoFcA4Gw_29_0"/>
      <w:bookmarkStart w:id="125" w:name="Tc_u0iEvCzQK0K5mbUcbLYPjg_28_2"/>
      <w:bookmarkStart w:id="126" w:name="Tc_5xT5Bx0KCEulDprCReQK1A_28_0"/>
      <w:bookmarkStart w:id="127" w:name="Tc_ReFCZd93sE27lRiuJ8RtDQ_27_2"/>
      <w:bookmarkStart w:id="128" w:name="Tc_sPZJo1Pxo0mKw3Y1u-cbdw_27_0"/>
      <w:bookmarkStart w:id="129" w:name="Tc_pDthIrCw4kGg9IOKd_vvQA_26_5"/>
      <w:bookmarkStart w:id="130" w:name="Tc_fTKkzjXct06mceklmernqg_26_2"/>
      <w:bookmarkStart w:id="131" w:name="Tc_EvSV02CsEkGR37bRjlVANA_26_0"/>
      <w:bookmarkStart w:id="132" w:name="Tc_p98VJOgM3ESQR0GVZRa24g_25_8"/>
      <w:bookmarkStart w:id="133" w:name="Tc_d3r_mZpzk0-8fFC-Cpz-oA_25_2"/>
      <w:bookmarkStart w:id="134" w:name="Tc_uy1MHLcXL0yU5ufrbiK6yg_25_0"/>
      <w:bookmarkStart w:id="135" w:name="Tc_0m3OPOH7O0-U-88v6fh9bg_24_0"/>
      <w:bookmarkStart w:id="136" w:name="Tc_Hee9_tH3V0WZoNiLZ3IAeA_23_5"/>
      <w:bookmarkStart w:id="137" w:name="Tc_m55pdvzLOEO98WNwfoabyg_23_2"/>
      <w:bookmarkStart w:id="138" w:name="Tc_Gwq3iaOTxEKcsGCMshlF-Q_23_0"/>
      <w:bookmarkStart w:id="139" w:name="Tc_c6Ya1yblhUCUgbK0-pQ-ww_22_2"/>
      <w:bookmarkStart w:id="140" w:name="Tc_Eg3xt7ZGPk-ms_F25AaI8g_22_0"/>
      <w:bookmarkStart w:id="141" w:name="Tc_YtaT_re3EEuDkmNXjQQHTA_21_2"/>
      <w:bookmarkStart w:id="142" w:name="Tc_fg2pTe4h9EOJOYZGRAoTTw_21_0"/>
      <w:bookmarkStart w:id="143" w:name="Tc_3fWkJI29ekW9JFtI-euLBQ_20_2"/>
      <w:bookmarkStart w:id="144" w:name="Tc_5mIBfsipfE6c-qKxxcDw1Q_20_0"/>
      <w:bookmarkStart w:id="145" w:name="Tc_hhuhx01zR0CmuF_U7yxZjw_19_7"/>
      <w:bookmarkStart w:id="146" w:name="Tc_rThA1ag4t0iyWxFnlniqKg_19_4"/>
      <w:bookmarkStart w:id="147" w:name="Tc_DhNEg_zSvkOiHXA92Aw6nw_19_2"/>
      <w:bookmarkStart w:id="148" w:name="Tc_JD7fZWzXqUmjzJSamUBbTw_19_0"/>
      <w:bookmarkStart w:id="149" w:name="Tc__S9JeHkr7Ueocamz-gXA-g_18_0"/>
      <w:bookmarkStart w:id="150" w:name="Tc_ulFqfq9mKUuai0DfBK-7Hg_17_0"/>
      <w:bookmarkStart w:id="151" w:name="Tc_qgDIYSCvAkO-kZlvLDXqnA_16_7"/>
      <w:bookmarkStart w:id="152" w:name="Tc_DqCyOnklC02FM2teggz3CA_16_4"/>
      <w:bookmarkStart w:id="153" w:name="Tc_wt0EClaLdUuGRCnpNH9G_w_16_0"/>
      <w:bookmarkStart w:id="154" w:name="Tc_T8qolog46k2z-SaFgikrLQ_15_2"/>
      <w:bookmarkStart w:id="155" w:name="Tc_fgOGqXY050qTFRMacodrBg_15_0"/>
      <w:bookmarkStart w:id="156" w:name="Tc_d7_RG0lYuE6Aiu20LSs9gA_14_2"/>
      <w:bookmarkStart w:id="157" w:name="Tc_iCSlzXqF3EqBd9eFkHB9bQ_14_0"/>
      <w:bookmarkStart w:id="158" w:name="Tc_IVh6vIt1hUCdVI5IYS3LRQ_13_2"/>
      <w:bookmarkStart w:id="159" w:name="Tc_hmx60jnCjU6359P70KOvVg_13_0"/>
      <w:bookmarkStart w:id="160" w:name="Tc_uBfxWDCH_kW2z946mf4KSQ_12_2"/>
      <w:bookmarkStart w:id="161" w:name="Tc_NiSrzVId9ESKd2q0PCjchA_12_0"/>
      <w:bookmarkStart w:id="162" w:name="Tc_6Bo8hJ7St0Kndr83MH-luw_11_8"/>
      <w:bookmarkStart w:id="163" w:name="Tc_q1nlMycsW06HZVigz8lrfA_11_2"/>
      <w:bookmarkStart w:id="164" w:name="Tc_LbzVq7bIrk6RfbHI9QTu7Q_11_0"/>
      <w:bookmarkStart w:id="165" w:name="Tc_FRVpEz0TrkOmKW551O6mww_10_2"/>
      <w:bookmarkStart w:id="166" w:name="Tc_COEKEr2kikaj73Y3dZWEMw_10_0"/>
      <w:bookmarkStart w:id="167" w:name="Tc_cSYnQ5_SHUOq_Cxa6v6BBA_9_0"/>
      <w:bookmarkStart w:id="168" w:name="Tc_7j_inNMqGUG4WwC5rmordw_8_2"/>
      <w:bookmarkStart w:id="169" w:name="Tc_VY-mrv231U--NCXt03hZtw_8_0"/>
      <w:bookmarkStart w:id="170" w:name="Tc_jMOyJOVk-k6Hf8FO3JiK8g_7_2"/>
      <w:bookmarkStart w:id="171" w:name="Tc_r-0xZEZtWUumMlquZWlUuA_7_0"/>
      <w:bookmarkStart w:id="172" w:name="Tc_TCmyWulPrUaDAUB54sAsIw_6_0"/>
      <w:bookmarkStart w:id="173" w:name="Tc_fgc449P6o0urjK2uml84lw_5_5"/>
      <w:bookmarkStart w:id="174" w:name="Tc_WXJATCN0tUOXoX3Ssjloww_5_2"/>
      <w:bookmarkStart w:id="175" w:name="Tc_PLcN72QMr0S4ci7urtsO9A_5_0"/>
      <w:bookmarkStart w:id="176" w:name="Tc_Zf_r8xlbOk-PM0QfNjiHPw_4_7"/>
      <w:bookmarkStart w:id="177" w:name="Tc_z3RaweaIJU-8lUPnC4W0XQ_4_4"/>
      <w:bookmarkStart w:id="178" w:name="Tc_Yr8pi7w_GE6tuGfVwyv6Ng_4_0"/>
      <w:bookmarkStart w:id="179" w:name="Tc_PHvmpLicb0qVy4_aglem6Q_3_0"/>
      <w:bookmarkStart w:id="180" w:name="Tc_NVw3KXijCkyGNl6MzwPUYQ_2_0"/>
      <w:bookmarkStart w:id="181" w:name="Tc_s4M4MQlLQ0WV9ZfrpFZ_1g_1_7"/>
      <w:bookmarkStart w:id="182" w:name="Tc_obwxS6uckk2dLpWCvC9hqA_1_4"/>
      <w:bookmarkStart w:id="183" w:name="Tc_-WENc47hR0iv9ZqJpZB46g_1_2"/>
      <w:bookmarkStart w:id="184" w:name="_6d2b83b6_d1c6_4dea_8e24_6b7c1a1e72df"/>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tbl>
      <w:tblPr>
        <w:tblW w:w="10205" w:type="dxa"/>
        <w:jc w:val="left"/>
        <w:tblInd w:w="0" w:type="dxa"/>
        <w:tblLayout w:type="fixed"/>
        <w:tblCellMar>
          <w:top w:w="0" w:type="dxa"/>
          <w:left w:w="0" w:type="dxa"/>
          <w:bottom w:w="0" w:type="dxa"/>
          <w:right w:w="0" w:type="dxa"/>
        </w:tblCellMar>
      </w:tblPr>
      <w:tblGrid>
        <w:gridCol w:w="6038"/>
        <w:gridCol w:w="326"/>
        <w:gridCol w:w="501"/>
        <w:gridCol w:w="206"/>
        <w:gridCol w:w="232"/>
        <w:gridCol w:w="1029"/>
        <w:gridCol w:w="326"/>
        <w:gridCol w:w="274"/>
        <w:gridCol w:w="1273"/>
      </w:tblGrid>
      <w:tr>
        <w:trPr/>
        <w:tc>
          <w:tcPr>
            <w:tcW w:w="6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834130" cy="175260"/>
                      <wp:effectExtent l="0" t="0" r="0" b="0"/>
                      <wp:wrapNone/>
                      <wp:docPr id="7" name="Frame7"/>
                      <a:graphic xmlns:a="http://schemas.openxmlformats.org/drawingml/2006/main">
                        <a:graphicData uri="http://schemas.microsoft.com/office/word/2010/wordprocessingShape">
                          <wps:wsp>
                            <wps:cNvSpPr txBox="1"/>
                            <wps:spPr>
                              <a:xfrm>
                                <a:off x="0" y="0"/>
                                <a:ext cx="3834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18135" cy="175260"/>
                      <wp:effectExtent l="0" t="0" r="0" b="0"/>
                      <wp:wrapNone/>
                      <wp:docPr id="9" name="Frame9"/>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0810" cy="175260"/>
                      <wp:effectExtent l="0" t="0" r="0" b="0"/>
                      <wp:wrapNone/>
                      <wp:docPr id="10" name="Frame1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7320" cy="175260"/>
                      <wp:effectExtent l="0" t="0" r="0" b="0"/>
                      <wp:wrapNone/>
                      <wp:docPr id="11" name="Frame11"/>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3415" cy="175260"/>
                      <wp:effectExtent l="0" t="0" r="0" b="0"/>
                      <wp:wrapNone/>
                      <wp:docPr id="12" name="Frame12"/>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73990" cy="175260"/>
                      <wp:effectExtent l="0" t="0" r="0" b="0"/>
                      <wp:wrapNone/>
                      <wp:docPr id="14" name="Frame1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808355" cy="175260"/>
                      <wp:effectExtent l="0" t="0" r="0" b="0"/>
                      <wp:wrapNone/>
                      <wp:docPr id="15" name="Frame15"/>
                      <a:graphic xmlns:a="http://schemas.openxmlformats.org/drawingml/2006/main">
                        <a:graphicData uri="http://schemas.microsoft.com/office/word/2010/wordprocessingShape">
                          <wps:wsp>
                            <wps:cNvSpPr txBox="1"/>
                            <wps:spPr>
                              <a:xfrm>
                                <a:off x="0" y="0"/>
                                <a:ext cx="808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206" w:type="dxa"/>
            <w:tcBorders/>
            <w:vAlign w:val="center"/>
          </w:tcPr>
          <w:p>
            <w:pPr>
              <w:pStyle w:val="TableContents"/>
              <w:bidi w:val="0"/>
              <w:spacing w:before="0" w:after="0"/>
              <w:ind w:left="0" w:right="0" w:hanging="0"/>
              <w:jc w:val="left"/>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0"/>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232" w:type="dxa"/>
            <w:tcBorders/>
            <w:shd w:fill="CCEEFF" w:val="clear"/>
            <w:vAlign w:val="center"/>
          </w:tcPr>
          <w:p>
            <w:pPr>
              <w:pStyle w:val="TableContents"/>
              <w:bidi w:val="0"/>
              <w:spacing w:before="0" w:after="0"/>
              <w:ind w:left="0" w:right="0" w:hanging="0"/>
              <w:jc w:val="left"/>
              <w:rPr/>
            </w:pPr>
            <w:r>
              <w:rPr/>
              <w:t>​</w:t>
            </w:r>
          </w:p>
        </w:tc>
        <w:tc>
          <w:tcPr>
            <w:tcW w:w="102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w:t>
            </w:r>
          </w:p>
        </w:tc>
        <w:tc>
          <w:tcPr>
            <w:tcW w:w="1273" w:type="dxa"/>
            <w:tcBorders/>
            <w:shd w:fill="CCEEFF" w:val="clear"/>
            <w:vAlign w:val="center"/>
          </w:tcPr>
          <w:p>
            <w:pPr>
              <w:pStyle w:val="TableContents"/>
              <w:bidi w:val="0"/>
              <w:spacing w:before="0" w:after="0"/>
              <w:ind w:left="0" w:right="0" w:hanging="0"/>
              <w:jc w:val="right"/>
              <w:rPr/>
            </w:pPr>
            <w:r>
              <w:rPr/>
              <w:t>  </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 </w:t>
            </w:r>
          </w:p>
        </w:tc>
        <w:tc>
          <w:tcPr>
            <w:tcW w:w="232" w:type="dxa"/>
            <w:tcBorders/>
            <w:vAlign w:val="center"/>
          </w:tcPr>
          <w:p>
            <w:pPr>
              <w:pStyle w:val="TableContents"/>
              <w:bidi w:val="0"/>
              <w:spacing w:before="0" w:after="0"/>
              <w:ind w:left="0" w:right="0" w:hanging="0"/>
              <w:jc w:val="left"/>
              <w:rPr/>
            </w:pPr>
            <w:r>
              <w:rPr/>
              <w:t>​</w:t>
            </w:r>
          </w:p>
        </w:tc>
        <w:tc>
          <w:tcPr>
            <w:tcW w:w="102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74" w:type="dxa"/>
            <w:tcBorders/>
            <w:vAlign w:val="center"/>
          </w:tcPr>
          <w:p>
            <w:pPr>
              <w:pStyle w:val="TableContents"/>
              <w:bidi w:val="0"/>
              <w:spacing w:before="0" w:after="0"/>
              <w:ind w:left="0" w:right="0" w:hanging="0"/>
              <w:jc w:val="left"/>
              <w:rPr/>
            </w:pPr>
            <w:r>
              <w:rPr/>
              <w:t>​</w:t>
            </w:r>
          </w:p>
        </w:tc>
        <w:tc>
          <w:tcPr>
            <w:tcW w:w="1273" w:type="dxa"/>
            <w:tcBorders/>
            <w:vAlign w:val="center"/>
          </w:tcPr>
          <w:p>
            <w:pPr>
              <w:pStyle w:val="TableContents"/>
              <w:bidi w:val="0"/>
              <w:spacing w:before="0" w:after="0"/>
              <w:ind w:left="0" w:right="0" w:hanging="0"/>
              <w:jc w:val="right"/>
              <w:rPr/>
            </w:pPr>
            <w:r>
              <w:rPr/>
              <w:t>  </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270,642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298,349</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77,248</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2,623</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3,762</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3,809</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4,353</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282,300</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386,382</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9, 20</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227,674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211,563</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69,913</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pPr>
            <w:r>
              <w:rPr/>
              <w:t>—</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right-of-use assets</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6,232</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6,524</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Deposits and other assets</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20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45,949</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44,319</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633,571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650,322</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pPr>
            <w:r>
              <w:rPr/>
              <w:t>  </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pPr>
            <w:r>
              <w:rPr/>
              <w:t>  </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12, 20</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21,556</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22,752</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 Bonds payable, net</w:t>
            </w:r>
          </w:p>
        </w:tc>
        <w:tc>
          <w:tcPr>
            <w:tcW w:w="326" w:type="dxa"/>
            <w:tcBorders/>
            <w:vAlign w:val="center"/>
          </w:tcPr>
          <w:p>
            <w:pPr>
              <w:pStyle w:val="TableContents"/>
              <w:bidi w:val="0"/>
              <w:spacing w:before="0" w:after="0"/>
              <w:ind w:left="0" w:right="0" w:hanging="0"/>
              <w:jc w:val="left"/>
              <w:rPr/>
            </w:pPr>
            <w:r>
              <w:rPr/>
              <w:t>​</w:t>
            </w:r>
          </w:p>
        </w:tc>
        <w:tc>
          <w:tcPr>
            <w:tcW w:w="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20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67,967</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22,063</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91,426</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2021 Bonds payable, net</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pPr>
            <w:r>
              <w:rPr/>
              <w:t>—</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Loans payable</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91,626</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92,933</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pPr>
            <w:r>
              <w:rPr/>
              <w:t>  </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$0.01 par value per share; 500,000,000 shares authorized; 239,576,404 and 240,499,833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March 31, 2024, and December 31, 2023, respectively.</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 </w:t>
            </w:r>
          </w:p>
        </w:tc>
        <w:tc>
          <w:tcPr>
            <w:tcW w:w="10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w:t>
            </w:r>
          </w:p>
        </w:tc>
        <w:tc>
          <w:tcPr>
            <w:tcW w:w="32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 </w:t>
            </w:r>
          </w:p>
        </w:tc>
        <w:tc>
          <w:tcPr>
            <w:tcW w:w="12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pPr>
            <w:r>
              <w:rPr/>
              <w:t> </w:t>
            </w:r>
          </w:p>
        </w:tc>
        <w:tc>
          <w:tcPr>
            <w:tcW w:w="10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1,280,021</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 </w:t>
            </w:r>
          </w:p>
        </w:tc>
        <w:tc>
          <w:tcPr>
            <w:tcW w:w="12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1,276,581</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(740,472)</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(721,597)</w:t>
            </w:r>
          </w:p>
        </w:tc>
      </w:tr>
      <w:tr>
        <w:trPr/>
        <w:tc>
          <w:tcPr>
            <w:tcW w:w="60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501" w:type="dxa"/>
            <w:tcBorders/>
            <w:shd w:fill="CCEEFF" w:val="clear"/>
            <w:vAlign w:val="center"/>
          </w:tcPr>
          <w:p>
            <w:pPr>
              <w:pStyle w:val="TableContents"/>
              <w:bidi w:val="0"/>
              <w:spacing w:before="0" w:after="0"/>
              <w:ind w:left="0" w:right="0" w:hanging="0"/>
              <w:jc w:val="center"/>
              <w:rPr/>
            </w:pPr>
            <w:r>
              <w:rPr/>
              <w:t>  </w:t>
            </w:r>
          </w:p>
        </w:tc>
        <w:tc>
          <w:tcPr>
            <w:tcW w:w="206" w:type="dxa"/>
            <w:tcBorders/>
            <w:shd w:fill="CCEEFF" w:val="clear"/>
            <w:vAlign w:val="center"/>
          </w:tcPr>
          <w:p>
            <w:pPr>
              <w:pStyle w:val="TableContents"/>
              <w:bidi w:val="0"/>
              <w:spacing w:before="0" w:after="0"/>
              <w:ind w:left="0" w:right="0" w:hanging="0"/>
              <w:jc w:val="lef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541,945</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557,389</w:t>
            </w:r>
          </w:p>
        </w:tc>
      </w:tr>
      <w:tr>
        <w:trPr/>
        <w:tc>
          <w:tcPr>
            <w:tcW w:w="6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 </w:t>
            </w:r>
          </w:p>
        </w:tc>
        <w:tc>
          <w:tcPr>
            <w:tcW w:w="501"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633,571</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650,322</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5" w:name="_ae917840_f06c_4cb2_8a4d_de298e32c2a9"/>
      <w:bookmarkEnd w:id="185"/>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186" w:name="CONSOLIDATEDSTATEMENTSOFOPERATIONS_79993"/>
      <w:bookmarkEnd w:id="186"/>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87" w:name="Tc_OOv2xsui20Kro2KY-1iSzQ_20_2"/>
      <w:bookmarkStart w:id="188" w:name="Tc_vbekHwIQ9E2hFg47Rgtz_w_20_0"/>
      <w:bookmarkStart w:id="189" w:name="Tc_D7nxPW3HEkmOW8WpRB_0ug_19_2"/>
      <w:bookmarkStart w:id="190" w:name="Tc_UJmDhnXz8kWyLJCUxYaXLg_19_0"/>
      <w:bookmarkStart w:id="191" w:name="Tc_vPjo2DEJEE67oGFMfEeIMA_18_7"/>
      <w:bookmarkStart w:id="192" w:name="Tc_M7wTwlGvZ0CjQDoJYJdVMw_18_4"/>
      <w:bookmarkStart w:id="193" w:name="Tc_Rg0E80B8OUGl3XTA_2ZrLA_18_0"/>
      <w:bookmarkStart w:id="194" w:name="Tc_-XqF8QbGKEqkf6IESnqEYQ_17_0"/>
      <w:bookmarkStart w:id="195" w:name="Tc_3QQPQw0bDU2rwJGxbIWk3A_16_0"/>
      <w:bookmarkStart w:id="196" w:name="Tc_Sm4py-6lX06gTSpNbnuYmw_15_2"/>
      <w:bookmarkStart w:id="197" w:name="Tc_QjLWqTaAkE6_Ut0X_WwkgQ_15_0"/>
      <w:bookmarkStart w:id="198" w:name="Tc_aFqCHF9OuUu5V10_gFJE2g_14_0"/>
      <w:bookmarkStart w:id="199" w:name="Tc_IjCYHhZNxkalLNSHQX-UqA_13_0"/>
      <w:bookmarkStart w:id="200" w:name="Tc_EApscNXQg067sATEgRTZXQ_12_0"/>
      <w:bookmarkStart w:id="201" w:name="Tc_mPCtgANaTkK1ICrzK5aeyw_11_2"/>
      <w:bookmarkStart w:id="202" w:name="Tc_9tFB8RiJUE2pjlmoXC9GTQ_11_0"/>
      <w:bookmarkStart w:id="203" w:name="Tc_1rAdlqTILU2RWJxzLh9CXw_10_0"/>
      <w:bookmarkStart w:id="204" w:name="Tc_x_IhZLFKEUOwqcA7EkfU1g_9_2"/>
      <w:bookmarkStart w:id="205" w:name="Tc_XcpGU_Gzv0q3Hz5ClK0wxA_9_0"/>
      <w:bookmarkStart w:id="206" w:name="Tc_qUSn8ZV65EOKTRp-TE0KjQ_8_0"/>
      <w:bookmarkStart w:id="207" w:name="Tc_3SliQfs_kUKKb2SAo_wSqg_7_2"/>
      <w:bookmarkStart w:id="208" w:name="Tc_PeDwKTSQAkOqIRs2ZvFFiw_7_0"/>
      <w:bookmarkStart w:id="209" w:name="Tc_WHGm-wF-3U-kMYR_H-xBkQ_6_2"/>
      <w:bookmarkStart w:id="210" w:name="Tc_PHP-Xuyt4UyoiWRiIyXvSg_6_0"/>
      <w:bookmarkStart w:id="211" w:name="Tc_aV-4UmD5kkuc4U2z2rP2Ag_5_2"/>
      <w:bookmarkStart w:id="212" w:name="Tc_RHw6ZdWOdkCNPEQlvHVSYQ_5_0"/>
      <w:bookmarkStart w:id="213" w:name="Tc_iHR9yzDvqkOcItdfBGOx3w_4_0"/>
      <w:bookmarkStart w:id="214" w:name="Tc_KL6OWB4kq0OaupyjFujbtg_3_7"/>
      <w:bookmarkStart w:id="215" w:name="Tc_2l-EopZbN0SB5zfNm4vL2w_3_4"/>
      <w:bookmarkStart w:id="216" w:name="Tc_uCC6-Z0EY0-lTw9c6Kho7A_3_2"/>
      <w:bookmarkStart w:id="217" w:name="Tc_buPtnc8KhEKe8IJjiw9XqQ_3_0"/>
      <w:bookmarkStart w:id="218" w:name="Tc_fZiq_IrPFEGodLal-pNrNg_2_7"/>
      <w:bookmarkStart w:id="219" w:name="Tc_8DliiWCnNkq8uMlOKwHqJg_2_4"/>
      <w:bookmarkStart w:id="220" w:name="Tc_4vM0a4QKXkO0Jaj-firR6Q_2_2"/>
      <w:bookmarkStart w:id="221" w:name="Tc_8mkB5A7pB0-sY2vBb41TLQ_1_4"/>
      <w:bookmarkStart w:id="222" w:name="_1c0bdacb_143d_4cae_82a0_fcb38a31f497"/>
      <w:bookmarkStart w:id="223" w:name="Tc_OOv2xsui20Kro2KY-1iSzQ_20_2"/>
      <w:bookmarkStart w:id="224" w:name="Tc_vbekHwIQ9E2hFg47Rgtz_w_20_0"/>
      <w:bookmarkStart w:id="225" w:name="Tc_D7nxPW3HEkmOW8WpRB_0ug_19_2"/>
      <w:bookmarkStart w:id="226" w:name="Tc_UJmDhnXz8kWyLJCUxYaXLg_19_0"/>
      <w:bookmarkStart w:id="227" w:name="Tc_vPjo2DEJEE67oGFMfEeIMA_18_7"/>
      <w:bookmarkStart w:id="228" w:name="Tc_M7wTwlGvZ0CjQDoJYJdVMw_18_4"/>
      <w:bookmarkStart w:id="229" w:name="Tc_Rg0E80B8OUGl3XTA_2ZrLA_18_0"/>
      <w:bookmarkStart w:id="230" w:name="Tc_-XqF8QbGKEqkf6IESnqEYQ_17_0"/>
      <w:bookmarkStart w:id="231" w:name="Tc_3QQPQw0bDU2rwJGxbIWk3A_16_0"/>
      <w:bookmarkStart w:id="232" w:name="Tc_Sm4py-6lX06gTSpNbnuYmw_15_2"/>
      <w:bookmarkStart w:id="233" w:name="Tc_QjLWqTaAkE6_Ut0X_WwkgQ_15_0"/>
      <w:bookmarkStart w:id="234" w:name="Tc_aFqCHF9OuUu5V10_gFJE2g_14_0"/>
      <w:bookmarkStart w:id="235" w:name="Tc_IjCYHhZNxkalLNSHQX-UqA_13_0"/>
      <w:bookmarkStart w:id="236" w:name="Tc_EApscNXQg067sATEgRTZXQ_12_0"/>
      <w:bookmarkStart w:id="237" w:name="Tc_mPCtgANaTkK1ICrzK5aeyw_11_2"/>
      <w:bookmarkStart w:id="238" w:name="Tc_9tFB8RiJUE2pjlmoXC9GTQ_11_0"/>
      <w:bookmarkStart w:id="239" w:name="Tc_1rAdlqTILU2RWJxzLh9CXw_10_0"/>
      <w:bookmarkStart w:id="240" w:name="Tc_x_IhZLFKEUOwqcA7EkfU1g_9_2"/>
      <w:bookmarkStart w:id="241" w:name="Tc_XcpGU_Gzv0q3Hz5ClK0wxA_9_0"/>
      <w:bookmarkStart w:id="242" w:name="Tc_qUSn8ZV65EOKTRp-TE0KjQ_8_0"/>
      <w:bookmarkStart w:id="243" w:name="Tc_3SliQfs_kUKKb2SAo_wSqg_7_2"/>
      <w:bookmarkStart w:id="244" w:name="Tc_PeDwKTSQAkOqIRs2ZvFFiw_7_0"/>
      <w:bookmarkStart w:id="245" w:name="Tc_WHGm-wF-3U-kMYR_H-xBkQ_6_2"/>
      <w:bookmarkStart w:id="246" w:name="Tc_PHP-Xuyt4UyoiWRiIyXvSg_6_0"/>
      <w:bookmarkStart w:id="247" w:name="Tc_aV-4UmD5kkuc4U2z2rP2Ag_5_2"/>
      <w:bookmarkStart w:id="248" w:name="Tc_RHw6ZdWOdkCNPEQlvHVSYQ_5_0"/>
      <w:bookmarkStart w:id="249" w:name="Tc_iHR9yzDvqkOcItdfBGOx3w_4_0"/>
      <w:bookmarkStart w:id="250" w:name="Tc_KL6OWB4kq0OaupyjFujbtg_3_7"/>
      <w:bookmarkStart w:id="251" w:name="Tc_2l-EopZbN0SB5zfNm4vL2w_3_4"/>
      <w:bookmarkStart w:id="252" w:name="Tc_uCC6-Z0EY0-lTw9c6Kho7A_3_2"/>
      <w:bookmarkStart w:id="253" w:name="Tc_buPtnc8KhEKe8IJjiw9XqQ_3_0"/>
      <w:bookmarkStart w:id="254" w:name="Tc_fZiq_IrPFEGodLal-pNrNg_2_7"/>
      <w:bookmarkStart w:id="255" w:name="Tc_8DliiWCnNkq8uMlOKwHqJg_2_4"/>
      <w:bookmarkStart w:id="256" w:name="Tc_4vM0a4QKXkO0Jaj-firR6Q_2_2"/>
      <w:bookmarkStart w:id="257" w:name="Tc_8mkB5A7pB0-sY2vBb41TLQ_1_4"/>
      <w:bookmarkStart w:id="258" w:name="_1c0bdacb_143d_4cae_82a0_fcb38a31f497"/>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tbl>
      <w:tblPr>
        <w:tblW w:w="10205" w:type="dxa"/>
        <w:jc w:val="left"/>
        <w:tblInd w:w="0" w:type="dxa"/>
        <w:tblLayout w:type="fixed"/>
        <w:tblCellMar>
          <w:top w:w="0" w:type="dxa"/>
          <w:left w:w="0" w:type="dxa"/>
          <w:bottom w:w="0" w:type="dxa"/>
          <w:right w:w="0" w:type="dxa"/>
        </w:tblCellMar>
      </w:tblPr>
      <w:tblGrid>
        <w:gridCol w:w="5734"/>
        <w:gridCol w:w="326"/>
        <w:gridCol w:w="673"/>
        <w:gridCol w:w="326"/>
        <w:gridCol w:w="211"/>
        <w:gridCol w:w="1141"/>
        <w:gridCol w:w="326"/>
        <w:gridCol w:w="211"/>
        <w:gridCol w:w="1257"/>
      </w:tblGrid>
      <w:tr>
        <w:trPr/>
        <w:tc>
          <w:tcPr>
            <w:tcW w:w="57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641090" cy="175260"/>
                      <wp:effectExtent l="0" t="0" r="0" b="0"/>
                      <wp:wrapNone/>
                      <wp:docPr id="16" name="Frame16"/>
                      <a:graphic xmlns:a="http://schemas.openxmlformats.org/drawingml/2006/main">
                        <a:graphicData uri="http://schemas.microsoft.com/office/word/2010/wordprocessingShape">
                          <wps:wsp>
                            <wps:cNvSpPr txBox="1"/>
                            <wps:spPr>
                              <a:xfrm>
                                <a:off x="0" y="0"/>
                                <a:ext cx="3641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27355" cy="175260"/>
                      <wp:effectExtent l="0" t="0" r="0" b="0"/>
                      <wp:wrapNone/>
                      <wp:docPr id="18" name="Frame18"/>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1" name="Frame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98195" cy="175260"/>
                      <wp:effectExtent l="0" t="0" r="0" b="0"/>
                      <wp:wrapNone/>
                      <wp:docPr id="24" name="Frame24"/>
                      <a:graphic xmlns:a="http://schemas.openxmlformats.org/drawingml/2006/main">
                        <a:graphicData uri="http://schemas.microsoft.com/office/word/2010/wordprocessingShape">
                          <wps:wsp>
                            <wps:cNvSpPr txBox="1"/>
                            <wps:spPr>
                              <a:xfrm>
                                <a:off x="0" y="0"/>
                                <a:ext cx="798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7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14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73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4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3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2, 20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3,990</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4,060</w:t>
            </w:r>
          </w:p>
        </w:tc>
      </w:tr>
      <w:tr>
        <w:trPr/>
        <w:tc>
          <w:tcPr>
            <w:tcW w:w="573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257" w:type="dxa"/>
            <w:tcBorders/>
            <w:vAlign w:val="center"/>
          </w:tcPr>
          <w:p>
            <w:pPr>
              <w:pStyle w:val="TableContents"/>
              <w:bidi w:val="0"/>
              <w:spacing w:before="0" w:after="1"/>
              <w:ind w:left="0" w:right="0" w:hanging="0"/>
              <w:jc w:val="right"/>
              <w:rPr/>
            </w:pPr>
            <w:r>
              <w:rPr/>
              <w:t>​</w:t>
            </w:r>
          </w:p>
        </w:tc>
      </w:tr>
      <w:tr>
        <w:trPr/>
        <w:tc>
          <w:tcPr>
            <w:tcW w:w="57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4,425</w:t>
            </w:r>
          </w:p>
        </w:tc>
      </w:tr>
      <w:tr>
        <w:trPr/>
        <w:tc>
          <w:tcPr>
            <w:tcW w:w="57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9, 10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4,451</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4,575</w:t>
            </w:r>
          </w:p>
        </w:tc>
      </w:tr>
      <w:tr>
        <w:trPr/>
        <w:tc>
          <w:tcPr>
            <w:tcW w:w="57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w:t>
            </w:r>
          </w:p>
        </w:tc>
      </w:tr>
      <w:tr>
        <w:trPr/>
        <w:tc>
          <w:tcPr>
            <w:tcW w:w="57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67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12,150</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10,761</w:t>
            </w:r>
          </w:p>
        </w:tc>
      </w:tr>
      <w:tr>
        <w:trPr/>
        <w:tc>
          <w:tcPr>
            <w:tcW w:w="57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5,319</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2,959</w:t>
            </w:r>
          </w:p>
        </w:tc>
      </w:tr>
      <w:tr>
        <w:trPr/>
        <w:tc>
          <w:tcPr>
            <w:tcW w:w="57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r>
      <w:tr>
        <w:trPr/>
        <w:tc>
          <w:tcPr>
            <w:tcW w:w="57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27,131</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w:t>
            </w:r>
          </w:p>
        </w:tc>
      </w:tr>
      <w:tr>
        <w:trPr/>
        <w:tc>
          <w:tcPr>
            <w:tcW w:w="57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(23,141)</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2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(20,857)</w:t>
            </w:r>
          </w:p>
        </w:tc>
      </w:tr>
      <w:tr>
        <w:trPr/>
        <w:tc>
          <w:tcPr>
            <w:tcW w:w="573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257" w:type="dxa"/>
            <w:tcBorders/>
            <w:shd w:fill="CCEEFF" w:val="clear"/>
            <w:vAlign w:val="center"/>
          </w:tcPr>
          <w:p>
            <w:pPr>
              <w:pStyle w:val="TableContents"/>
              <w:bidi w:val="0"/>
              <w:spacing w:before="0" w:after="1"/>
              <w:ind w:left="0" w:right="0" w:hanging="0"/>
              <w:jc w:val="right"/>
              <w:rPr/>
            </w:pPr>
            <w:r>
              <w:rPr/>
              <w:t>  </w:t>
            </w:r>
          </w:p>
        </w:tc>
      </w:tr>
      <w:tr>
        <w:trPr/>
        <w:tc>
          <w:tcPr>
            <w:tcW w:w="57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c>
          <w:tcPr>
            <w:tcW w:w="326"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right"/>
              <w:rPr/>
            </w:pPr>
            <w:r>
              <w:rPr/>
              <w:t>​</w:t>
            </w:r>
          </w:p>
        </w:tc>
        <w:tc>
          <w:tcPr>
            <w:tcW w:w="125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57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4, 5, 17</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right"/>
              <w:rPr/>
            </w:pPr>
            <w:r>
              <w:rPr/>
              <w:t>​</w:t>
            </w:r>
          </w:p>
        </w:tc>
        <w:tc>
          <w:tcPr>
            <w:tcW w:w="12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3,784</w:t>
            </w:r>
          </w:p>
        </w:tc>
      </w:tr>
      <w:tr>
        <w:trPr/>
        <w:tc>
          <w:tcPr>
            <w:tcW w:w="57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2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57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4,266</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 </w:t>
            </w:r>
          </w:p>
        </w:tc>
        <w:tc>
          <w:tcPr>
            <w:tcW w:w="125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w:t>
            </w:r>
          </w:p>
        </w:tc>
      </w:tr>
      <w:tr>
        <w:trPr/>
        <w:tc>
          <w:tcPr>
            <w:tcW w:w="5734"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(18,875)</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125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(17,618)</w:t>
            </w:r>
          </w:p>
        </w:tc>
      </w:tr>
      <w:tr>
        <w:trPr/>
        <w:tc>
          <w:tcPr>
            <w:tcW w:w="57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1"/>
              <w:ind w:left="0" w:right="0" w:hanging="0"/>
              <w:jc w:val="left"/>
              <w:rPr/>
            </w:pPr>
            <w:r>
              <w:rPr/>
              <w:t> </w:t>
            </w:r>
          </w:p>
        </w:tc>
        <w:tc>
          <w:tcPr>
            <w:tcW w:w="6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r>
      <w:tr>
        <w:trPr/>
        <w:tc>
          <w:tcPr>
            <w:tcW w:w="573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number of common shares outstanding - basic and diluted</w:t>
            </w:r>
          </w:p>
        </w:tc>
        <w:tc>
          <w:tcPr>
            <w:tcW w:w="326" w:type="dxa"/>
            <w:tcBorders/>
            <w:vAlign w:val="center"/>
          </w:tcPr>
          <w:p>
            <w:pPr>
              <w:pStyle w:val="TableContents"/>
              <w:bidi w:val="0"/>
              <w:spacing w:before="0" w:after="1"/>
              <w:ind w:left="0" w:right="0" w:hanging="0"/>
              <w:jc w:val="left"/>
              <w:rPr/>
            </w:pPr>
            <w:r>
              <w:rPr/>
              <w:t> </w:t>
            </w:r>
          </w:p>
        </w:tc>
        <w:tc>
          <w:tcPr>
            <w:tcW w:w="67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240,844,334</w:t>
            </w:r>
          </w:p>
        </w:tc>
        <w:tc>
          <w:tcPr>
            <w:tcW w:w="326" w:type="dxa"/>
            <w:tcBorders/>
            <w:vAlign w:val="center"/>
          </w:tcPr>
          <w:p>
            <w:pPr>
              <w:pStyle w:val="TableContents"/>
              <w:bidi w:val="0"/>
              <w:spacing w:before="0" w:after="1"/>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257"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237,260,681</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9" w:name="_8612a737_9cc5_4d23_ad82_13c63c279fb6"/>
      <w:bookmarkEnd w:id="259"/>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260" w:name="CONSOLIDATEDSTATEMENTSOFCOMPREHENSIVELOS"/>
      <w:bookmarkEnd w:id="260"/>
      <w:r>
        <w:rPr>
          <w:rFonts w:ascii="Times New Roman;Times;serif" w:hAnsi="Times New Roman;Times;serif"/>
          <w:b/>
          <w:sz w:val="20"/>
        </w:rPr>
        <w:t>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61" w:name="Tc_Gz1y-ygg70e77IXgMPaIlQ_6_7"/>
      <w:bookmarkStart w:id="262" w:name="Tc_gAC_ChwfYECgIvzQalWAyA_6_4"/>
      <w:bookmarkStart w:id="263" w:name="Tc_t35hEla_EkOALLj_Qj_Ytg_6_0"/>
      <w:bookmarkStart w:id="264" w:name="Tc_duQE39Fx4kC8LVtceY2lUg_5_5"/>
      <w:bookmarkStart w:id="265" w:name="Tc_MSlYSJNiRkSVjH9ngKPwGQ_5_2"/>
      <w:bookmarkStart w:id="266" w:name="Tc_5y1W8ZBBsU60on-AAjfSLw_5_0"/>
      <w:bookmarkStart w:id="267" w:name="Tc_LVs91hrDLUa0ovsVQPVtWA_4_0"/>
      <w:bookmarkStart w:id="268" w:name="Tc_ALNECGj7uEqdCe-fDkgcBA_3_7"/>
      <w:bookmarkStart w:id="269" w:name="Tc_0w_aGrjcFkucz984pJp5oA_3_4"/>
      <w:bookmarkStart w:id="270" w:name="Tc_4MSp-wQLFUiIkN2SBLxO5Q_3_0"/>
      <w:bookmarkStart w:id="271" w:name="Tc_inFQqz8X-EyI2gG1iR6kLA_2_7"/>
      <w:bookmarkStart w:id="272" w:name="Tc_5lxqoM8lk0aHE0XIla7_Gg_2_4"/>
      <w:bookmarkStart w:id="273" w:name="Tc_VMPo8iQBaE-Ur-yx6QsTsg_2_2"/>
      <w:bookmarkStart w:id="274" w:name="Tc_3lYE4ov9nEGFkB3pPXDxfA_1_4"/>
      <w:bookmarkStart w:id="275" w:name="_28ceb5f7_d10e_44b5_83fa_79ec3e8e4bb2"/>
      <w:bookmarkStart w:id="276" w:name="Tc_Gz1y-ygg70e77IXgMPaIlQ_6_7"/>
      <w:bookmarkStart w:id="277" w:name="Tc_gAC_ChwfYECgIvzQalWAyA_6_4"/>
      <w:bookmarkStart w:id="278" w:name="Tc_t35hEla_EkOALLj_Qj_Ytg_6_0"/>
      <w:bookmarkStart w:id="279" w:name="Tc_duQE39Fx4kC8LVtceY2lUg_5_5"/>
      <w:bookmarkStart w:id="280" w:name="Tc_MSlYSJNiRkSVjH9ngKPwGQ_5_2"/>
      <w:bookmarkStart w:id="281" w:name="Tc_5y1W8ZBBsU60on-AAjfSLw_5_0"/>
      <w:bookmarkStart w:id="282" w:name="Tc_LVs91hrDLUa0ovsVQPVtWA_4_0"/>
      <w:bookmarkStart w:id="283" w:name="Tc_ALNECGj7uEqdCe-fDkgcBA_3_7"/>
      <w:bookmarkStart w:id="284" w:name="Tc_0w_aGrjcFkucz984pJp5oA_3_4"/>
      <w:bookmarkStart w:id="285" w:name="Tc_4MSp-wQLFUiIkN2SBLxO5Q_3_0"/>
      <w:bookmarkStart w:id="286" w:name="Tc_inFQqz8X-EyI2gG1iR6kLA_2_7"/>
      <w:bookmarkStart w:id="287" w:name="Tc_5lxqoM8lk0aHE0XIla7_Gg_2_4"/>
      <w:bookmarkStart w:id="288" w:name="Tc_VMPo8iQBaE-Ur-yx6QsTsg_2_2"/>
      <w:bookmarkStart w:id="289" w:name="Tc_3lYE4ov9nEGFkB3pPXDxfA_1_4"/>
      <w:bookmarkStart w:id="290" w:name="_28ceb5f7_d10e_44b5_83fa_79ec3e8e4bb2"/>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tbl>
      <w:tblPr>
        <w:tblW w:w="7403" w:type="dxa"/>
        <w:jc w:val="left"/>
        <w:tblInd w:w="0" w:type="dxa"/>
        <w:tblLayout w:type="fixed"/>
        <w:tblCellMar>
          <w:top w:w="0" w:type="dxa"/>
          <w:left w:w="0" w:type="dxa"/>
          <w:bottom w:w="0" w:type="dxa"/>
          <w:right w:w="0" w:type="dxa"/>
        </w:tblCellMar>
      </w:tblPr>
      <w:tblGrid>
        <w:gridCol w:w="3931"/>
        <w:gridCol w:w="326"/>
        <w:gridCol w:w="451"/>
        <w:gridCol w:w="206"/>
        <w:gridCol w:w="220"/>
        <w:gridCol w:w="831"/>
        <w:gridCol w:w="340"/>
        <w:gridCol w:w="220"/>
        <w:gridCol w:w="878"/>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496185" cy="175260"/>
                      <wp:effectExtent l="0" t="0" r="0" b="0"/>
                      <wp:wrapNone/>
                      <wp:docPr id="25" name="Frame25"/>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86385" cy="175260"/>
                      <wp:effectExtent l="0" t="0" r="0" b="0"/>
                      <wp:wrapNone/>
                      <wp:docPr id="27" name="Frame27"/>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0810" cy="175260"/>
                      <wp:effectExtent l="0" t="0" r="0" b="0"/>
                      <wp:wrapNone/>
                      <wp:docPr id="28" name="Frame2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9700" cy="175260"/>
                      <wp:effectExtent l="0" t="0" r="0" b="0"/>
                      <wp:wrapNone/>
                      <wp:docPr id="29" name="Frame2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27685" cy="175260"/>
                      <wp:effectExtent l="0" t="0" r="0" b="0"/>
                      <wp:wrapNone/>
                      <wp:docPr id="30" name="Frame30"/>
                      <a:graphic xmlns:a="http://schemas.openxmlformats.org/drawingml/2006/main">
                        <a:graphicData uri="http://schemas.microsoft.com/office/word/2010/wordprocessingShape">
                          <wps:wsp>
                            <wps:cNvSpPr txBox="1"/>
                            <wps:spPr>
                              <a:xfrm>
                                <a:off x="0" y="0"/>
                                <a:ext cx="527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5900" cy="175260"/>
                      <wp:effectExtent l="0" t="0" r="0" b="0"/>
                      <wp:wrapNone/>
                      <wp:docPr id="31" name="Frame31"/>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9700" cy="175260"/>
                      <wp:effectExtent l="0" t="0" r="0" b="0"/>
                      <wp:wrapNone/>
                      <wp:docPr id="32" name="Frame32"/>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57530" cy="175260"/>
                      <wp:effectExtent l="0" t="0" r="0" b="0"/>
                      <wp:wrapNone/>
                      <wp:docPr id="33" name="Frame33"/>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206" w:type="dxa"/>
            <w:tcBorders/>
            <w:vAlign w:val="center"/>
          </w:tcPr>
          <w:p>
            <w:pPr>
              <w:pStyle w:val="TableContents"/>
              <w:bidi w:val="0"/>
              <w:spacing w:before="0" w:after="1"/>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20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0" w:type="dxa"/>
            <w:tcBorders/>
            <w:vAlign w:val="center"/>
          </w:tcPr>
          <w:p>
            <w:pPr>
              <w:pStyle w:val="TableContents"/>
              <w:bidi w:val="0"/>
              <w:spacing w:before="0" w:after="1"/>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20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(18,875)</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(17,618)</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  </w:t>
            </w:r>
          </w:p>
        </w:tc>
        <w:tc>
          <w:tcPr>
            <w:tcW w:w="20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31" w:type="dxa"/>
            <w:tcBorders/>
            <w:vAlign w:val="center"/>
          </w:tcPr>
          <w:p>
            <w:pPr>
              <w:pStyle w:val="TableContents"/>
              <w:bidi w:val="0"/>
              <w:spacing w:before="0" w:after="1"/>
              <w:ind w:left="0" w:right="0" w:hanging="0"/>
              <w:jc w:val="right"/>
              <w:rPr/>
            </w:pPr>
            <w:r>
              <w:rPr/>
              <w:t>  </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78" w:type="dxa"/>
            <w:tcBorders/>
            <w:vAlign w:val="center"/>
          </w:tcPr>
          <w:p>
            <w:pPr>
              <w:pStyle w:val="TableContents"/>
              <w:bidi w:val="0"/>
              <w:spacing w:before="0" w:after="1"/>
              <w:ind w:left="0" w:right="0" w:hanging="0"/>
              <w:jc w:val="righ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gain on available-for-sale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20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  </w:t>
            </w:r>
          </w:p>
        </w:tc>
        <w:tc>
          <w:tcPr>
            <w:tcW w:w="20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(18,875)</w:t>
            </w:r>
          </w:p>
        </w:tc>
        <w:tc>
          <w:tcPr>
            <w:tcW w:w="340"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(16,693)</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1" w:name="_699b1714_a160_48e2_aba3_270ce445039f"/>
      <w:bookmarkEnd w:id="291"/>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292" w:name="CONSOLIDATEDSTATEMENTSOFSTOCKHOLDERSEQUI"/>
      <w:bookmarkEnd w:id="292"/>
      <w:r>
        <w:rPr>
          <w:rFonts w:ascii="Times New Roman;Times;serif" w:hAnsi="Times New Roman;Times;serif"/>
          <w:b/>
          <w:sz w:val="20"/>
        </w:rPr>
        <w:t>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3" w:name="Tc_Kwy9yWTQHEC27MnSiURr7w_16_18"/>
      <w:bookmarkStart w:id="294" w:name="Tc_eZVc8Eh6rUqIne7BlDkV6w_16_15"/>
      <w:bookmarkStart w:id="295" w:name="Tc_X3m3u5T0Z06Tkq_UAJ4JJg_16_12"/>
      <w:bookmarkStart w:id="296" w:name="Tc_3TOCbswXt0OO2YZS9hgzCQ_16_9"/>
      <w:bookmarkStart w:id="297" w:name="Tc_uzhv_Zi2aUmb8kmqWYkRhQ_16_6"/>
      <w:bookmarkStart w:id="298" w:name="Tc_yY0J5HDw9kmmsSO3vQN9PA_16_0"/>
      <w:bookmarkStart w:id="299" w:name="Tc_3AZ8h9dwvUywWXJf3_N9Qw_15_13"/>
      <w:bookmarkStart w:id="300" w:name="Tc_m_jk-0WASU2Hz9tLf6evpw_15_10"/>
      <w:bookmarkStart w:id="301" w:name="Tc_K4hWyRyuNk-n_17xlx8B-g_15_7"/>
      <w:bookmarkStart w:id="302" w:name="Tc_kIDUlxgtH06SkZeyqVxkUw_15_4"/>
      <w:bookmarkStart w:id="303" w:name="Tc_mPZdu4-0z0WhxC2710jThw_15_0"/>
      <w:bookmarkStart w:id="304" w:name="Tc_Ao-R6SzMo0u9RRz8jcdvgQ_14_16"/>
      <w:bookmarkStart w:id="305" w:name="Tc_DMztc4mAI0aP5H745NwBgQ_14_10"/>
      <w:bookmarkStart w:id="306" w:name="Tc_jKp_f_YBt0y-LN9BkPM48Q_14_7"/>
      <w:bookmarkStart w:id="307" w:name="Tc_VaYwwodg3kG_GmSW5LnqxA_14_4"/>
      <w:bookmarkStart w:id="308" w:name="Tc_BZiGxQUBe0Sh62JF1wvm_g_14_0"/>
      <w:bookmarkStart w:id="309" w:name="Tc_SkqtqNChQkaNxEt-YZabkw_13_16"/>
      <w:bookmarkStart w:id="310" w:name="Tc_O2LEL9J8SkWCK3efpJS7XA_13_13"/>
      <w:bookmarkStart w:id="311" w:name="Tc_k1tlEMkj5EOULjd72JOWkA_13_2"/>
      <w:bookmarkStart w:id="312" w:name="Tc_RT5XR9LGTkyaren-IFjwzw_13_0"/>
      <w:bookmarkStart w:id="313" w:name="Tc_-dI1JNwwF0ivtvz9oJe0eQ_12_16"/>
      <w:bookmarkStart w:id="314" w:name="Tc_BHXIgzPuz0-VGO0gJgUd4w_12_13"/>
      <w:bookmarkStart w:id="315" w:name="Tc_FlWsJlc-2ku4IK--Oc6XVQ_12_7"/>
      <w:bookmarkStart w:id="316" w:name="Tc_weYybaOOEEaDLrB-BoJcNQ_12_4"/>
      <w:bookmarkStart w:id="317" w:name="Tc_Bixbyazpm0CpEk_nMu23LA_12_2"/>
      <w:bookmarkStart w:id="318" w:name="Tc_Yx5ee7pN-UiLHPXisi4yLw_12_0"/>
      <w:bookmarkStart w:id="319" w:name="Tc_xML4uDmEKE6DeQ7BA5Q7dg_11_18"/>
      <w:bookmarkStart w:id="320" w:name="Tc_x78jouZ4CUSjMu22Po9zaA_11_15"/>
      <w:bookmarkStart w:id="321" w:name="Tc_14TAz6RZSkyXxNIEYOpSwg_11_12"/>
      <w:bookmarkStart w:id="322" w:name="Tc_SVZVMjoNKUWbg2pUNEfK2Q_11_9"/>
      <w:bookmarkStart w:id="323" w:name="Tc_OgHfO1RBIEqLj_FjdiMmyQ_11_6"/>
      <w:bookmarkStart w:id="324" w:name="Tc_ZAGjY9qQrEKyFYWLymgNUw_11_0"/>
      <w:bookmarkStart w:id="325" w:name="Tc_SUrjwiAmzkaAZ3mwxAqobQ_9_18"/>
      <w:bookmarkStart w:id="326" w:name="Tc_l5haW3cazUew9LTEBDkJNQ_9_15"/>
      <w:bookmarkStart w:id="327" w:name="Tc_C9PfWDJi-kiImnl8aoU26A_9_13"/>
      <w:bookmarkStart w:id="328" w:name="Tc_3rrUtjKEIkm7q5gcPKtfiw_9_12"/>
      <w:bookmarkStart w:id="329" w:name="Tc_82u22tI480OaWNszlRi4XA_9_9"/>
      <w:bookmarkStart w:id="330" w:name="Tc_cK6YYIdYd0CIVFuwwflSRQ_9_6"/>
      <w:bookmarkStart w:id="331" w:name="Tc_PodAr5Xii0qGdyUlyJgHOQ_9_0"/>
      <w:bookmarkStart w:id="332" w:name="Tc_K9-HJMgrf0CnMpbJeT-6QQ_8_13"/>
      <w:bookmarkStart w:id="333" w:name="Tc_96sOqLJWjEKscHCvrbdIAg_8_10"/>
      <w:bookmarkStart w:id="334" w:name="Tc_ZM9o3Fz7rEeaWUqsBM60Jw_8_7"/>
      <w:bookmarkStart w:id="335" w:name="Tc_sxOzemaovEmeTgFwfALnWA_8_4"/>
      <w:bookmarkStart w:id="336" w:name="Tc_IgSIVtM6XkeWbA79834PPQ_8_0"/>
      <w:bookmarkStart w:id="337" w:name="Tc_zSBkHh4oMkecag_ul8AUrQ_7_16"/>
      <w:bookmarkStart w:id="338" w:name="Tc_S64LUB1yGkyYJ_LZQAS4kQ_7_13"/>
      <w:bookmarkStart w:id="339" w:name="Tc_rKdIGrq54USz9lrr8XJE5A_7_2"/>
      <w:bookmarkStart w:id="340" w:name="Tc_FCTtuWwRak-otoQC4bI58w_7_0"/>
      <w:bookmarkStart w:id="341" w:name="Tc_yO0qww6qOka9Blgtc893BQ_6_16"/>
      <w:bookmarkStart w:id="342" w:name="Tc_zd5XkmLhokapl9UNH2r8KQ_6_13"/>
      <w:bookmarkStart w:id="343" w:name="Tc_yJD_wkWoSk2CS3J8bYTMRg_6_2"/>
      <w:bookmarkStart w:id="344" w:name="Tc__uQ9pYUD80-pxpK9GsITQg_6_0"/>
      <w:bookmarkStart w:id="345" w:name="Tc_uedkv843h026g1TjGbzU7g_5_16"/>
      <w:bookmarkStart w:id="346" w:name="Tc_wPouisezYUqnQ_qUI4pbmg_5_13"/>
      <w:bookmarkStart w:id="347" w:name="Tc_0wzsahZlRkyagfubiE_Nyg_5_7"/>
      <w:bookmarkStart w:id="348" w:name="Tc_mF3vGQQ3okCDFrIi45RpwQ_5_4"/>
      <w:bookmarkStart w:id="349" w:name="Tc_iEfpr-bwBku2dbfdB3rlaQ_5_2"/>
      <w:bookmarkStart w:id="350" w:name="Tc_1sSh5D88KkSJzOXfDWXlmw_5_0"/>
      <w:bookmarkStart w:id="351" w:name="Tc_4sptwrtVaUWeiH6RqgpIpQ_4_18"/>
      <w:bookmarkStart w:id="352" w:name="Tc_gMmXp0oxBUyriAscH9njgg_4_15"/>
      <w:bookmarkStart w:id="353" w:name="Tc_1SbEJGBcpUaK7upIMTACiA_4_13"/>
      <w:bookmarkStart w:id="354" w:name="Tc_yXsQgtjkg0av7YDC9y3gLg_4_12"/>
      <w:bookmarkStart w:id="355" w:name="Tc_mu4rpzCaF0uJ9gHUTOk8wg_4_9"/>
      <w:bookmarkStart w:id="356" w:name="Tc_hSX5keU2oEKYTaZuKwfr1A_4_6"/>
      <w:bookmarkStart w:id="357" w:name="Tc__4lID_tduE6JUUkkSqvAyw_4_0"/>
      <w:bookmarkStart w:id="358" w:name="Tc_aHOuAjaqW0ehyfZJZau-ZQ_3_18"/>
      <w:bookmarkStart w:id="359" w:name="Tc_OPucELRXe0G22vCuC05afw_3_15"/>
      <w:bookmarkStart w:id="360" w:name="Tc_AYMNE_wTVE2kwphTIkOkkw_3_12"/>
      <w:bookmarkStart w:id="361" w:name="Tc_2IKoTNsVJkmXyvuCBdFLnw_3_9"/>
      <w:bookmarkStart w:id="362" w:name="Tc_olyBkQUqxEeWhEOwBVN1zw_3_6"/>
      <w:bookmarkStart w:id="363" w:name="Tc_7LQDN_UbAUqicQiJ7XGaxg_3_4"/>
      <w:bookmarkStart w:id="364" w:name="Tc_jPmWiFAbUE6OgawlDyc7FQ_3_2"/>
      <w:bookmarkStart w:id="365" w:name="Tc_n5SEazGChk2G_peOrQHIuw_2_18"/>
      <w:bookmarkStart w:id="366" w:name="Tc_YFvvRRFAJU6uUXsfcnFyew_2_15"/>
      <w:bookmarkStart w:id="367" w:name="Tc_iZJWdzRWj0qPSNqMxvdRkw_2_12"/>
      <w:bookmarkStart w:id="368" w:name="Tc_-zT4VVpnY067vTlOIUmOkQ_2_4"/>
      <w:bookmarkStart w:id="369" w:name="Tc_Qr9Pdt_cNEGWMnBO8_jSYw_1_4"/>
      <w:bookmarkStart w:id="370" w:name="_6e04fd3c_cc99_4d2a_81e5_9516bb71e25d"/>
      <w:bookmarkStart w:id="371" w:name="Tc_Kwy9yWTQHEC27MnSiURr7w_16_18"/>
      <w:bookmarkStart w:id="372" w:name="Tc_eZVc8Eh6rUqIne7BlDkV6w_16_15"/>
      <w:bookmarkStart w:id="373" w:name="Tc_X3m3u5T0Z06Tkq_UAJ4JJg_16_12"/>
      <w:bookmarkStart w:id="374" w:name="Tc_3TOCbswXt0OO2YZS9hgzCQ_16_9"/>
      <w:bookmarkStart w:id="375" w:name="Tc_uzhv_Zi2aUmb8kmqWYkRhQ_16_6"/>
      <w:bookmarkStart w:id="376" w:name="Tc_yY0J5HDw9kmmsSO3vQN9PA_16_0"/>
      <w:bookmarkStart w:id="377" w:name="Tc_3AZ8h9dwvUywWXJf3_N9Qw_15_13"/>
      <w:bookmarkStart w:id="378" w:name="Tc_m_jk-0WASU2Hz9tLf6evpw_15_10"/>
      <w:bookmarkStart w:id="379" w:name="Tc_K4hWyRyuNk-n_17xlx8B-g_15_7"/>
      <w:bookmarkStart w:id="380" w:name="Tc_kIDUlxgtH06SkZeyqVxkUw_15_4"/>
      <w:bookmarkStart w:id="381" w:name="Tc_mPZdu4-0z0WhxC2710jThw_15_0"/>
      <w:bookmarkStart w:id="382" w:name="Tc_Ao-R6SzMo0u9RRz8jcdvgQ_14_16"/>
      <w:bookmarkStart w:id="383" w:name="Tc_DMztc4mAI0aP5H745NwBgQ_14_10"/>
      <w:bookmarkStart w:id="384" w:name="Tc_jKp_f_YBt0y-LN9BkPM48Q_14_7"/>
      <w:bookmarkStart w:id="385" w:name="Tc_VaYwwodg3kG_GmSW5LnqxA_14_4"/>
      <w:bookmarkStart w:id="386" w:name="Tc_BZiGxQUBe0Sh62JF1wvm_g_14_0"/>
      <w:bookmarkStart w:id="387" w:name="Tc_SkqtqNChQkaNxEt-YZabkw_13_16"/>
      <w:bookmarkStart w:id="388" w:name="Tc_O2LEL9J8SkWCK3efpJS7XA_13_13"/>
      <w:bookmarkStart w:id="389" w:name="Tc_k1tlEMkj5EOULjd72JOWkA_13_2"/>
      <w:bookmarkStart w:id="390" w:name="Tc_RT5XR9LGTkyaren-IFjwzw_13_0"/>
      <w:bookmarkStart w:id="391" w:name="Tc_-dI1JNwwF0ivtvz9oJe0eQ_12_16"/>
      <w:bookmarkStart w:id="392" w:name="Tc_BHXIgzPuz0-VGO0gJgUd4w_12_13"/>
      <w:bookmarkStart w:id="393" w:name="Tc_FlWsJlc-2ku4IK--Oc6XVQ_12_7"/>
      <w:bookmarkStart w:id="394" w:name="Tc_weYybaOOEEaDLrB-BoJcNQ_12_4"/>
      <w:bookmarkStart w:id="395" w:name="Tc_Bixbyazpm0CpEk_nMu23LA_12_2"/>
      <w:bookmarkStart w:id="396" w:name="Tc_Yx5ee7pN-UiLHPXisi4yLw_12_0"/>
      <w:bookmarkStart w:id="397" w:name="Tc_xML4uDmEKE6DeQ7BA5Q7dg_11_18"/>
      <w:bookmarkStart w:id="398" w:name="Tc_x78jouZ4CUSjMu22Po9zaA_11_15"/>
      <w:bookmarkStart w:id="399" w:name="Tc_14TAz6RZSkyXxNIEYOpSwg_11_12"/>
      <w:bookmarkStart w:id="400" w:name="Tc_SVZVMjoNKUWbg2pUNEfK2Q_11_9"/>
      <w:bookmarkStart w:id="401" w:name="Tc_OgHfO1RBIEqLj_FjdiMmyQ_11_6"/>
      <w:bookmarkStart w:id="402" w:name="Tc_ZAGjY9qQrEKyFYWLymgNUw_11_0"/>
      <w:bookmarkStart w:id="403" w:name="Tc_SUrjwiAmzkaAZ3mwxAqobQ_9_18"/>
      <w:bookmarkStart w:id="404" w:name="Tc_l5haW3cazUew9LTEBDkJNQ_9_15"/>
      <w:bookmarkStart w:id="405" w:name="Tc_C9PfWDJi-kiImnl8aoU26A_9_13"/>
      <w:bookmarkStart w:id="406" w:name="Tc_3rrUtjKEIkm7q5gcPKtfiw_9_12"/>
      <w:bookmarkStart w:id="407" w:name="Tc_82u22tI480OaWNszlRi4XA_9_9"/>
      <w:bookmarkStart w:id="408" w:name="Tc_cK6YYIdYd0CIVFuwwflSRQ_9_6"/>
      <w:bookmarkStart w:id="409" w:name="Tc_PodAr5Xii0qGdyUlyJgHOQ_9_0"/>
      <w:bookmarkStart w:id="410" w:name="Tc_K9-HJMgrf0CnMpbJeT-6QQ_8_13"/>
      <w:bookmarkStart w:id="411" w:name="Tc_96sOqLJWjEKscHCvrbdIAg_8_10"/>
      <w:bookmarkStart w:id="412" w:name="Tc_ZM9o3Fz7rEeaWUqsBM60Jw_8_7"/>
      <w:bookmarkStart w:id="413" w:name="Tc_sxOzemaovEmeTgFwfALnWA_8_4"/>
      <w:bookmarkStart w:id="414" w:name="Tc_IgSIVtM6XkeWbA79834PPQ_8_0"/>
      <w:bookmarkStart w:id="415" w:name="Tc_zSBkHh4oMkecag_ul8AUrQ_7_16"/>
      <w:bookmarkStart w:id="416" w:name="Tc_S64LUB1yGkyYJ_LZQAS4kQ_7_13"/>
      <w:bookmarkStart w:id="417" w:name="Tc_rKdIGrq54USz9lrr8XJE5A_7_2"/>
      <w:bookmarkStart w:id="418" w:name="Tc_FCTtuWwRak-otoQC4bI58w_7_0"/>
      <w:bookmarkStart w:id="419" w:name="Tc_yO0qww6qOka9Blgtc893BQ_6_16"/>
      <w:bookmarkStart w:id="420" w:name="Tc_zd5XkmLhokapl9UNH2r8KQ_6_13"/>
      <w:bookmarkStart w:id="421" w:name="Tc_yJD_wkWoSk2CS3J8bYTMRg_6_2"/>
      <w:bookmarkStart w:id="422" w:name="Tc__uQ9pYUD80-pxpK9GsITQg_6_0"/>
      <w:bookmarkStart w:id="423" w:name="Tc_uedkv843h026g1TjGbzU7g_5_16"/>
      <w:bookmarkStart w:id="424" w:name="Tc_wPouisezYUqnQ_qUI4pbmg_5_13"/>
      <w:bookmarkStart w:id="425" w:name="Tc_0wzsahZlRkyagfubiE_Nyg_5_7"/>
      <w:bookmarkStart w:id="426" w:name="Tc_mF3vGQQ3okCDFrIi45RpwQ_5_4"/>
      <w:bookmarkStart w:id="427" w:name="Tc_iEfpr-bwBku2dbfdB3rlaQ_5_2"/>
      <w:bookmarkStart w:id="428" w:name="Tc_1sSh5D88KkSJzOXfDWXlmw_5_0"/>
      <w:bookmarkStart w:id="429" w:name="Tc_4sptwrtVaUWeiH6RqgpIpQ_4_18"/>
      <w:bookmarkStart w:id="430" w:name="Tc_gMmXp0oxBUyriAscH9njgg_4_15"/>
      <w:bookmarkStart w:id="431" w:name="Tc_1SbEJGBcpUaK7upIMTACiA_4_13"/>
      <w:bookmarkStart w:id="432" w:name="Tc_yXsQgtjkg0av7YDC9y3gLg_4_12"/>
      <w:bookmarkStart w:id="433" w:name="Tc_mu4rpzCaF0uJ9gHUTOk8wg_4_9"/>
      <w:bookmarkStart w:id="434" w:name="Tc_hSX5keU2oEKYTaZuKwfr1A_4_6"/>
      <w:bookmarkStart w:id="435" w:name="Tc__4lID_tduE6JUUkkSqvAyw_4_0"/>
      <w:bookmarkStart w:id="436" w:name="Tc_aHOuAjaqW0ehyfZJZau-ZQ_3_18"/>
      <w:bookmarkStart w:id="437" w:name="Tc_OPucELRXe0G22vCuC05afw_3_15"/>
      <w:bookmarkStart w:id="438" w:name="Tc_AYMNE_wTVE2kwphTIkOkkw_3_12"/>
      <w:bookmarkStart w:id="439" w:name="Tc_2IKoTNsVJkmXyvuCBdFLnw_3_9"/>
      <w:bookmarkStart w:id="440" w:name="Tc_olyBkQUqxEeWhEOwBVN1zw_3_6"/>
      <w:bookmarkStart w:id="441" w:name="Tc_7LQDN_UbAUqicQiJ7XGaxg_3_4"/>
      <w:bookmarkStart w:id="442" w:name="Tc_jPmWiFAbUE6OgawlDyc7FQ_3_2"/>
      <w:bookmarkStart w:id="443" w:name="Tc_n5SEazGChk2G_peOrQHIuw_2_18"/>
      <w:bookmarkStart w:id="444" w:name="Tc_YFvvRRFAJU6uUXsfcnFyew_2_15"/>
      <w:bookmarkStart w:id="445" w:name="Tc_iZJWdzRWj0qPSNqMxvdRkw_2_12"/>
      <w:bookmarkStart w:id="446" w:name="Tc_-zT4VVpnY067vTlOIUmOkQ_2_4"/>
      <w:bookmarkStart w:id="447" w:name="Tc_Qr9Pdt_cNEGWMnBO8_jSYw_1_4"/>
      <w:bookmarkStart w:id="448" w:name="_6e04fd3c_cc99_4d2a_81e5_9516bb71e25d"/>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tbl>
      <w:tblPr>
        <w:tblW w:w="11017" w:type="dxa"/>
        <w:jc w:val="left"/>
        <w:tblInd w:w="0" w:type="dxa"/>
        <w:tblLayout w:type="fixed"/>
        <w:tblCellMar>
          <w:top w:w="0" w:type="dxa"/>
          <w:left w:w="0" w:type="dxa"/>
          <w:bottom w:w="0" w:type="dxa"/>
          <w:right w:w="0" w:type="dxa"/>
        </w:tblCellMar>
      </w:tblPr>
      <w:tblGrid>
        <w:gridCol w:w="1351"/>
        <w:gridCol w:w="326"/>
        <w:gridCol w:w="451"/>
        <w:gridCol w:w="326"/>
        <w:gridCol w:w="1141"/>
        <w:gridCol w:w="326"/>
        <w:gridCol w:w="211"/>
        <w:gridCol w:w="571"/>
        <w:gridCol w:w="326"/>
        <w:gridCol w:w="227"/>
        <w:gridCol w:w="1004"/>
        <w:gridCol w:w="326"/>
        <w:gridCol w:w="394"/>
        <w:gridCol w:w="1182"/>
        <w:gridCol w:w="326"/>
        <w:gridCol w:w="211"/>
        <w:gridCol w:w="885"/>
        <w:gridCol w:w="326"/>
        <w:gridCol w:w="211"/>
        <w:gridCol w:w="896"/>
      </w:tblGrid>
      <w:tr>
        <w:trPr/>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857885" cy="175260"/>
                      <wp:effectExtent l="0" t="0" r="0" b="0"/>
                      <wp:wrapNone/>
                      <wp:docPr id="34" name="Frame3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86385" cy="175260"/>
                      <wp:effectExtent l="0" t="0" r="0" b="0"/>
                      <wp:wrapNone/>
                      <wp:docPr id="36" name="Frame36"/>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724535" cy="175260"/>
                      <wp:effectExtent l="0" t="0" r="0" b="0"/>
                      <wp:wrapNone/>
                      <wp:docPr id="38" name="Frame3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362585" cy="175260"/>
                      <wp:effectExtent l="0" t="0" r="0" b="0"/>
                      <wp:wrapNone/>
                      <wp:docPr id="41" name="Frame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4145" cy="175260"/>
                      <wp:effectExtent l="0" t="0" r="0" b="0"/>
                      <wp:wrapNone/>
                      <wp:docPr id="43" name="Frame43"/>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37540" cy="175260"/>
                      <wp:effectExtent l="0" t="0" r="0" b="0"/>
                      <wp:wrapNone/>
                      <wp:docPr id="44" name="Frame44"/>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50190" cy="175260"/>
                      <wp:effectExtent l="0" t="0" r="0" b="0"/>
                      <wp:wrapNone/>
                      <wp:docPr id="46" name="Frame4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50570" cy="175260"/>
                      <wp:effectExtent l="0" t="0" r="0" b="0"/>
                      <wp:wrapNone/>
                      <wp:docPr id="47" name="Frame47"/>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61975" cy="175260"/>
                      <wp:effectExtent l="0" t="0" r="0" b="0"/>
                      <wp:wrapNone/>
                      <wp:docPr id="50" name="Frame50"/>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68960" cy="175260"/>
                      <wp:effectExtent l="0" t="0" r="0" b="0"/>
                      <wp:wrapNone/>
                      <wp:docPr id="53" name="Frame5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563"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March 31, 2024 and 2023</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7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Other </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5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vAlign w:val="center"/>
          </w:tcPr>
          <w:p>
            <w:pPr>
              <w:pStyle w:val="TableContents"/>
              <w:bidi w:val="0"/>
              <w:spacing w:before="0" w:after="1"/>
              <w:ind w:left="0" w:right="0" w:hanging="0"/>
              <w:jc w:val="left"/>
              <w:rPr/>
            </w:pPr>
            <w:r>
              <w:rPr/>
              <w:t>    </w:t>
            </w:r>
          </w:p>
        </w:tc>
        <w:tc>
          <w:tcPr>
            <w:tcW w:w="15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 Loss</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240,499,833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1,276,581</w:t>
            </w:r>
          </w:p>
        </w:tc>
        <w:tc>
          <w:tcPr>
            <w:tcW w:w="326" w:type="dxa"/>
            <w:tcBorders/>
            <w:shd w:fill="CCEEFF" w:val="clear"/>
            <w:vAlign w:val="center"/>
          </w:tcPr>
          <w:p>
            <w:pPr>
              <w:pStyle w:val="TableContents"/>
              <w:bidi w:val="0"/>
              <w:spacing w:before="0" w:after="1"/>
              <w:ind w:left="0" w:right="0" w:hanging="0"/>
              <w:jc w:val="left"/>
              <w:rPr/>
            </w:pPr>
            <w:r>
              <w:rPr/>
              <w:t>    </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(721,597)</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557,389</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4,233</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 </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4,233</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1,204,232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(2,127,661)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(18,875)</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March 31, 2024</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239,576,404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2,396</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1,280,021</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(740,472)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541,945</w:t>
            </w:r>
          </w:p>
        </w:tc>
      </w:tr>
      <w:tr>
        <w:trPr/>
        <w:tc>
          <w:tcPr>
            <w:tcW w:w="135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5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6" w:type="dxa"/>
            <w:tcBorders/>
            <w:shd w:fill="CCEEFF" w:val="clear"/>
            <w:vAlign w:val="center"/>
          </w:tcPr>
          <w:p>
            <w:pPr>
              <w:pStyle w:val="TableContents"/>
              <w:bidi w:val="0"/>
              <w:spacing w:before="0" w:after="1"/>
              <w:ind w:left="0" w:right="0" w:hanging="0"/>
              <w:jc w:val="right"/>
              <w:rPr/>
            </w:pPr>
            <w:r>
              <w:rPr/>
              <w:t>​</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December 31, 2022</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237,166,625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w:t>
            </w:r>
          </w:p>
        </w:tc>
        <w:tc>
          <w:tcPr>
            <w:tcW w:w="326" w:type="dxa"/>
            <w:tcBorders/>
            <w:vAlign w:val="center"/>
          </w:tcPr>
          <w:p>
            <w:pPr>
              <w:pStyle w:val="TableContents"/>
              <w:bidi w:val="0"/>
              <w:spacing w:before="0" w:after="1"/>
              <w:ind w:left="0" w:right="0" w:hanging="0"/>
              <w:jc w:val="left"/>
              <w:rPr/>
            </w:pPr>
            <w:r>
              <w:rPr/>
              <w:t>    </w:t>
            </w:r>
          </w:p>
        </w:tc>
        <w:tc>
          <w:tcPr>
            <w:tcW w:w="2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1,259,527</w:t>
            </w:r>
          </w:p>
        </w:tc>
        <w:tc>
          <w:tcPr>
            <w:tcW w:w="326" w:type="dxa"/>
            <w:tcBorders/>
            <w:vAlign w:val="center"/>
          </w:tcPr>
          <w:p>
            <w:pPr>
              <w:pStyle w:val="TableContents"/>
              <w:bidi w:val="0"/>
              <w:spacing w:before="0" w:after="1"/>
              <w:ind w:left="0" w:right="0" w:hanging="0"/>
              <w:jc w:val="left"/>
              <w:rPr/>
            </w:pPr>
            <w:r>
              <w:rPr/>
              <w:t>    </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(655,382)</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605,477</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Non-cash 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4,677</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4,677</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awards and related share issuances, net</w:t>
            </w:r>
          </w:p>
        </w:tc>
        <w:tc>
          <w:tcPr>
            <w:tcW w:w="326" w:type="dxa"/>
            <w:tcBorders/>
            <w:vAlign w:val="center"/>
          </w:tcPr>
          <w:p>
            <w:pPr>
              <w:pStyle w:val="TableContents"/>
              <w:bidi w:val="0"/>
              <w:spacing w:before="0" w:after="1"/>
              <w:ind w:left="0" w:right="0" w:hanging="0"/>
              <w:jc w:val="left"/>
              <w:rPr/>
            </w:pPr>
            <w:r>
              <w:rPr/>
              <w:t>​</w:t>
            </w:r>
          </w:p>
        </w:tc>
        <w:tc>
          <w:tcPr>
            <w:tcW w:w="4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94,539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10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8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96" w:type="dxa"/>
            <w:tcBorders/>
            <w:vAlign w:val="center"/>
          </w:tcPr>
          <w:p>
            <w:pPr>
              <w:pStyle w:val="TableContents"/>
              <w:bidi w:val="0"/>
              <w:spacing w:before="0" w:after="1"/>
              <w:ind w:left="0" w:right="0" w:hanging="0"/>
              <w:jc w:val="right"/>
              <w:rPr/>
            </w:pPr>
            <w:r>
              <w:rPr/>
              <w:t>—</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100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 </w:t>
            </w:r>
          </w:p>
        </w:tc>
        <w:tc>
          <w:tcPr>
            <w:tcW w:w="118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r>
      <w:tr>
        <w:trPr/>
        <w:tc>
          <w:tcPr>
            <w:tcW w:w="13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45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0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(17,618)</w:t>
            </w:r>
          </w:p>
        </w:tc>
      </w:tr>
      <w:tr>
        <w:trPr/>
        <w:tc>
          <w:tcPr>
            <w:tcW w:w="135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45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237,261,164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1,264,203</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(673,000)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593,461</w:t>
            </w:r>
          </w:p>
        </w:tc>
      </w:tr>
    </w:tbl>
    <w:p>
      <w:pPr>
        <w:pStyle w:val="TextBody"/>
        <w:bidi w:val="0"/>
        <w:spacing w:before="0" w:after="24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49" w:name="_1f5c765a_06c6_48ce_9958_da66dff5e9d4"/>
      <w:bookmarkEnd w:id="449"/>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bookmarkStart w:id="450" w:name="CONSOLIDATEDSTATEMENTSOFCASHFLOWS_224163"/>
      <w:bookmarkEnd w:id="450"/>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51" w:name="Tc_v-jUgGRs-kuqr2bu56RzxA_28_7"/>
      <w:bookmarkStart w:id="452" w:name="Tc_IJ6ayoaSIkeIcNpfWgWhfA_28_4"/>
      <w:bookmarkStart w:id="453" w:name="Tc_ky4KzAhdW0yHbVV4t3vTcw_28_0"/>
      <w:bookmarkStart w:id="454" w:name="Tc_LgOYGZTcAE24XZi2S9rTAw_27_0"/>
      <w:bookmarkStart w:id="455" w:name="Tc_iGoh2_o0PkaTlRDPLzJUAA_26_0"/>
      <w:bookmarkStart w:id="456" w:name="Tc_k8bdplGCaEmMANTmEo0EuA_25_0"/>
      <w:bookmarkStart w:id="457" w:name="Tc_CbbsVQdmaEu_OiqY63eW9w_24_2"/>
      <w:bookmarkStart w:id="458" w:name="Tc_zZW3jxz5TEG_X0iq3wS49A_24_0"/>
      <w:bookmarkStart w:id="459" w:name="Tc_HzV44GZzA0-LdBki3tYxHQ_23_2"/>
      <w:bookmarkStart w:id="460" w:name="Tc_xket33ga9EeNarLNafROfg_23_0"/>
      <w:bookmarkStart w:id="461" w:name="Tc_bStePPLt-E-CwJj3HKatXQ_22_2"/>
      <w:bookmarkStart w:id="462" w:name="Tc_F9qDgR4pa0S5VSD6lWbXtQ_22_0"/>
      <w:bookmarkStart w:id="463" w:name="Tc_XIxqh7u-GUKWzuGLP3l1CQ_21_0"/>
      <w:bookmarkStart w:id="464" w:name="Tc_PaCNyk3BJECFwIYENSBPaA_20_0"/>
      <w:bookmarkStart w:id="465" w:name="Tc_vpd-axGtgkOf4fk7lWdqmw_19_2"/>
      <w:bookmarkStart w:id="466" w:name="Tc_dTYYKjpPYkyYBijruDFRAA_19_0"/>
      <w:bookmarkStart w:id="467" w:name="Tc_DyfaN2BTsUCAGFQqx2852Q_18_2"/>
      <w:bookmarkStart w:id="468" w:name="Tc_s70Xa4Fd3kOtTyYzX58RgQ_18_0"/>
      <w:bookmarkStart w:id="469" w:name="Tc_ixOu_A6hgEyFIY1JAuaPUg_17_2"/>
      <w:bookmarkStart w:id="470" w:name="Tc_rTa7nbTXFUayBkjlepkt4Q_17_0"/>
      <w:bookmarkStart w:id="471" w:name="Tc_wj_eleeUlUWVbjO_ZP7lEQ_16_0"/>
      <w:bookmarkStart w:id="472" w:name="Tc_sMiWxH4iGkCFufrN3_cqww_15_0"/>
      <w:bookmarkStart w:id="473" w:name="Tc_quoDVpZWB0qqebt7IP-79A_14_2"/>
      <w:bookmarkStart w:id="474" w:name="Tc_kTAmfwgnhE26bIqT50R-hg_14_0"/>
      <w:bookmarkStart w:id="475" w:name="Tc_uQlm_qw8dUK5ZDx6_s-CRg_13_2"/>
      <w:bookmarkStart w:id="476" w:name="Tc_WWbEzJ6IXkqka-2HhGNuoA_13_0"/>
      <w:bookmarkStart w:id="477" w:name="Tc_Q1x10FGLyk-utRcmQewkEQ_12_2"/>
      <w:bookmarkStart w:id="478" w:name="Tc_a_ck24gy0E-1v0QTNPWGsw_12_0"/>
      <w:bookmarkStart w:id="479" w:name="Tc_PrNEJZQTe0iGzWnwIfxLXA_11_0"/>
      <w:bookmarkStart w:id="480" w:name="Tc_-TDqUkyrEkeMHK2uovdiuQ_10_0"/>
      <w:bookmarkStart w:id="481" w:name="Tc_zfI77S-NlEyykkZCEzCJAA_9_0"/>
      <w:bookmarkStart w:id="482" w:name="Tc_HNtRGkPa2EKLNQ1btl8ylQ_8_2"/>
      <w:bookmarkStart w:id="483" w:name="Tc_NyUzL9p2_E2b8RoI-ytMoQ_8_0"/>
      <w:bookmarkStart w:id="484" w:name="Tc_QlpZ3_Qvx0WPdMtHGdq-_g_7_2"/>
      <w:bookmarkStart w:id="485" w:name="Tc__KCN_uGFEkmgzkv08pLL9g_7_0"/>
      <w:bookmarkStart w:id="486" w:name="Tc_vlKyKLuxLEmq-hpkj3gM7A_6_2"/>
      <w:bookmarkStart w:id="487" w:name="Tc_5yLvoYoWDUCbLufYfiiTwg_6_0"/>
      <w:bookmarkStart w:id="488" w:name="Tc_njz1TJz4VEWmKR4px3HHLw_5_0"/>
      <w:bookmarkStart w:id="489" w:name="Tc_kfk3B-t_cUiNiEifowDI6w_4_7"/>
      <w:bookmarkStart w:id="490" w:name="Tc_DIPuxkZvoUKfL9jCERIb4A_4_4"/>
      <w:bookmarkStart w:id="491" w:name="Tc_EPF8Oqp6yUOR1ErLt48rxw_4_0"/>
      <w:bookmarkStart w:id="492" w:name="Tc_XrdzoqKm0UOmrPn-QR7M9Q_3_0"/>
      <w:bookmarkStart w:id="493" w:name="Tc_dtyhs9xmxEet7ImivFeF2Q_2_7"/>
      <w:bookmarkStart w:id="494" w:name="Tc_Zvdt9sAwSkaaYFP1MYLRww_2_4"/>
      <w:bookmarkStart w:id="495" w:name="Tc_QRsSYtINMkWi0I7zRt4-nQ_2_2"/>
      <w:bookmarkStart w:id="496" w:name="Tc_r3FascXBW0yl7DniTGzvMQ_1_4"/>
      <w:bookmarkStart w:id="497" w:name="_75ea06c2_783f_429f_b903_71e05484714d"/>
      <w:bookmarkStart w:id="498" w:name="Tc_v-jUgGRs-kuqr2bu56RzxA_28_7"/>
      <w:bookmarkStart w:id="499" w:name="Tc_IJ6ayoaSIkeIcNpfWgWhfA_28_4"/>
      <w:bookmarkStart w:id="500" w:name="Tc_ky4KzAhdW0yHbVV4t3vTcw_28_0"/>
      <w:bookmarkStart w:id="501" w:name="Tc_LgOYGZTcAE24XZi2S9rTAw_27_0"/>
      <w:bookmarkStart w:id="502" w:name="Tc_iGoh2_o0PkaTlRDPLzJUAA_26_0"/>
      <w:bookmarkStart w:id="503" w:name="Tc_k8bdplGCaEmMANTmEo0EuA_25_0"/>
      <w:bookmarkStart w:id="504" w:name="Tc_CbbsVQdmaEu_OiqY63eW9w_24_2"/>
      <w:bookmarkStart w:id="505" w:name="Tc_zZW3jxz5TEG_X0iq3wS49A_24_0"/>
      <w:bookmarkStart w:id="506" w:name="Tc_HzV44GZzA0-LdBki3tYxHQ_23_2"/>
      <w:bookmarkStart w:id="507" w:name="Tc_xket33ga9EeNarLNafROfg_23_0"/>
      <w:bookmarkStart w:id="508" w:name="Tc_bStePPLt-E-CwJj3HKatXQ_22_2"/>
      <w:bookmarkStart w:id="509" w:name="Tc_F9qDgR4pa0S5VSD6lWbXtQ_22_0"/>
      <w:bookmarkStart w:id="510" w:name="Tc_XIxqh7u-GUKWzuGLP3l1CQ_21_0"/>
      <w:bookmarkStart w:id="511" w:name="Tc_PaCNyk3BJECFwIYENSBPaA_20_0"/>
      <w:bookmarkStart w:id="512" w:name="Tc_vpd-axGtgkOf4fk7lWdqmw_19_2"/>
      <w:bookmarkStart w:id="513" w:name="Tc_dTYYKjpPYkyYBijruDFRAA_19_0"/>
      <w:bookmarkStart w:id="514" w:name="Tc_DyfaN2BTsUCAGFQqx2852Q_18_2"/>
      <w:bookmarkStart w:id="515" w:name="Tc_s70Xa4Fd3kOtTyYzX58RgQ_18_0"/>
      <w:bookmarkStart w:id="516" w:name="Tc_ixOu_A6hgEyFIY1JAuaPUg_17_2"/>
      <w:bookmarkStart w:id="517" w:name="Tc_rTa7nbTXFUayBkjlepkt4Q_17_0"/>
      <w:bookmarkStart w:id="518" w:name="Tc_wj_eleeUlUWVbjO_ZP7lEQ_16_0"/>
      <w:bookmarkStart w:id="519" w:name="Tc_sMiWxH4iGkCFufrN3_cqww_15_0"/>
      <w:bookmarkStart w:id="520" w:name="Tc_quoDVpZWB0qqebt7IP-79A_14_2"/>
      <w:bookmarkStart w:id="521" w:name="Tc_kTAmfwgnhE26bIqT50R-hg_14_0"/>
      <w:bookmarkStart w:id="522" w:name="Tc_uQlm_qw8dUK5ZDx6_s-CRg_13_2"/>
      <w:bookmarkStart w:id="523" w:name="Tc_WWbEzJ6IXkqka-2HhGNuoA_13_0"/>
      <w:bookmarkStart w:id="524" w:name="Tc_Q1x10FGLyk-utRcmQewkEQ_12_2"/>
      <w:bookmarkStart w:id="525" w:name="Tc_a_ck24gy0E-1v0QTNPWGsw_12_0"/>
      <w:bookmarkStart w:id="526" w:name="Tc_PrNEJZQTe0iGzWnwIfxLXA_11_0"/>
      <w:bookmarkStart w:id="527" w:name="Tc_-TDqUkyrEkeMHK2uovdiuQ_10_0"/>
      <w:bookmarkStart w:id="528" w:name="Tc_zfI77S-NlEyykkZCEzCJAA_9_0"/>
      <w:bookmarkStart w:id="529" w:name="Tc_HNtRGkPa2EKLNQ1btl8ylQ_8_2"/>
      <w:bookmarkStart w:id="530" w:name="Tc_NyUzL9p2_E2b8RoI-ytMoQ_8_0"/>
      <w:bookmarkStart w:id="531" w:name="Tc_QlpZ3_Qvx0WPdMtHGdq-_g_7_2"/>
      <w:bookmarkStart w:id="532" w:name="Tc__KCN_uGFEkmgzkv08pLL9g_7_0"/>
      <w:bookmarkStart w:id="533" w:name="Tc_vlKyKLuxLEmq-hpkj3gM7A_6_2"/>
      <w:bookmarkStart w:id="534" w:name="Tc_5yLvoYoWDUCbLufYfiiTwg_6_0"/>
      <w:bookmarkStart w:id="535" w:name="Tc_njz1TJz4VEWmKR4px3HHLw_5_0"/>
      <w:bookmarkStart w:id="536" w:name="Tc_kfk3B-t_cUiNiEifowDI6w_4_7"/>
      <w:bookmarkStart w:id="537" w:name="Tc_DIPuxkZvoUKfL9jCERIb4A_4_4"/>
      <w:bookmarkStart w:id="538" w:name="Tc_EPF8Oqp6yUOR1ErLt48rxw_4_0"/>
      <w:bookmarkStart w:id="539" w:name="Tc_XrdzoqKm0UOmrPn-QR7M9Q_3_0"/>
      <w:bookmarkStart w:id="540" w:name="Tc_dtyhs9xmxEet7ImivFeF2Q_2_7"/>
      <w:bookmarkStart w:id="541" w:name="Tc_Zvdt9sAwSkaaYFP1MYLRww_2_4"/>
      <w:bookmarkStart w:id="542" w:name="Tc_QRsSYtINMkWi0I7zRt4-nQ_2_2"/>
      <w:bookmarkStart w:id="543" w:name="Tc_r3FascXBW0yl7DniTGzvMQ_1_4"/>
      <w:bookmarkStart w:id="544" w:name="_75ea06c2_783f_429f_b903_71e05484714d"/>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tbl>
      <w:tblPr>
        <w:tblW w:w="9683" w:type="dxa"/>
        <w:jc w:val="left"/>
        <w:tblInd w:w="0" w:type="dxa"/>
        <w:tblLayout w:type="fixed"/>
        <w:tblCellMar>
          <w:top w:w="0" w:type="dxa"/>
          <w:left w:w="0" w:type="dxa"/>
          <w:bottom w:w="0" w:type="dxa"/>
          <w:right w:w="0" w:type="dxa"/>
        </w:tblCellMar>
      </w:tblPr>
      <w:tblGrid>
        <w:gridCol w:w="6031"/>
        <w:gridCol w:w="326"/>
        <w:gridCol w:w="511"/>
        <w:gridCol w:w="326"/>
        <w:gridCol w:w="216"/>
        <w:gridCol w:w="815"/>
        <w:gridCol w:w="334"/>
        <w:gridCol w:w="216"/>
        <w:gridCol w:w="908"/>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29685" cy="175260"/>
                      <wp:effectExtent l="0" t="0" r="0" b="0"/>
                      <wp:wrapNone/>
                      <wp:docPr id="54" name="Frame54"/>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24485" cy="175260"/>
                      <wp:effectExtent l="0" t="0" r="0" b="0"/>
                      <wp:wrapNone/>
                      <wp:docPr id="56" name="Frame5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7160" cy="175260"/>
                      <wp:effectExtent l="0" t="0" r="0" b="0"/>
                      <wp:wrapNone/>
                      <wp:docPr id="58" name="Frame5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17525" cy="175260"/>
                      <wp:effectExtent l="0" t="0" r="0" b="0"/>
                      <wp:wrapNone/>
                      <wp:docPr id="59" name="Frame59"/>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2090" cy="175260"/>
                      <wp:effectExtent l="0" t="0" r="0" b="0"/>
                      <wp:wrapNone/>
                      <wp:docPr id="60" name="Frame60"/>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7160" cy="175260"/>
                      <wp:effectExtent l="0" t="0" r="0" b="0"/>
                      <wp:wrapNone/>
                      <wp:docPr id="61" name="Frame61"/>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76580" cy="175260"/>
                      <wp:effectExtent l="0" t="0" r="0" b="0"/>
                      <wp:wrapNone/>
                      <wp:docPr id="62" name="Frame62"/>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48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6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26" w:type="dxa"/>
            <w:tcBorders/>
            <w:vAlign w:val="center"/>
          </w:tcPr>
          <w:p>
            <w:pPr>
              <w:pStyle w:val="TableContents"/>
              <w:bidi w:val="0"/>
              <w:spacing w:before="0" w:after="1"/>
              <w:ind w:left="0" w:right="0" w:hanging="0"/>
              <w:jc w:val="left"/>
              <w:rPr/>
            </w:pPr>
            <w:r>
              <w:rPr/>
              <w:t>  </w:t>
            </w:r>
          </w:p>
        </w:tc>
        <w:tc>
          <w:tcPr>
            <w:tcW w:w="10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4" w:type="dxa"/>
            <w:tcBorders/>
            <w:vAlign w:val="center"/>
          </w:tcPr>
          <w:p>
            <w:pPr>
              <w:pStyle w:val="TableContents"/>
              <w:bidi w:val="0"/>
              <w:spacing w:before="0" w:after="1"/>
              <w:ind w:left="0" w:right="0" w:hanging="0"/>
              <w:jc w:val="left"/>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    </w:t>
            </w:r>
          </w:p>
        </w:tc>
        <w:tc>
          <w:tcPr>
            <w:tcW w:w="21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(18,875)</w:t>
            </w:r>
          </w:p>
        </w:tc>
        <w:tc>
          <w:tcPr>
            <w:tcW w:w="33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(17,618)</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4,233</w:t>
            </w:r>
          </w:p>
        </w:tc>
        <w:tc>
          <w:tcPr>
            <w:tcW w:w="33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4,677</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9, 10</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4,451</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4,575</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marketable securities discount</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pPr>
            <w:r>
              <w:rPr/>
              <w:t>—</w:t>
            </w:r>
          </w:p>
        </w:tc>
        <w:tc>
          <w:tcPr>
            <w:tcW w:w="33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noncash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pPr>
            <w:r>
              <w:rPr/>
              <w:t>​</w:t>
            </w:r>
          </w:p>
        </w:tc>
        <w:tc>
          <w:tcPr>
            <w:tcW w:w="33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3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 deposits and other assets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6, 11</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(3,297)</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 accrued expenses and non-current liabilities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(3,326)</w:t>
            </w:r>
          </w:p>
        </w:tc>
        <w:tc>
          <w:tcPr>
            <w:tcW w:w="334"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(16,078)</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(8,772)</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Investing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pPr>
            <w:r>
              <w:rPr/>
              <w:t>  </w:t>
            </w:r>
          </w:p>
        </w:tc>
        <w:tc>
          <w:tcPr>
            <w:tcW w:w="33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  </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9, 20</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(17,512)</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(22,093)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maturity of marketable securities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pPr>
            <w:r>
              <w:rPr/>
              <w:t>—</w:t>
            </w:r>
          </w:p>
        </w:tc>
        <w:tc>
          <w:tcPr>
            <w:tcW w:w="33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135,550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provided by investing activities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(17,512)</w:t>
            </w:r>
          </w:p>
        </w:tc>
        <w:tc>
          <w:tcPr>
            <w:tcW w:w="334"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113,524</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pPr>
            <w:r>
              <w:rPr/>
              <w:t>  </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  </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loans payable</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3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of finance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(1,397)</w:t>
            </w:r>
          </w:p>
        </w:tc>
        <w:tc>
          <w:tcPr>
            <w:tcW w:w="334" w:type="dxa"/>
            <w:tcBorders/>
            <w:vAlign w:val="center"/>
          </w:tcPr>
          <w:p>
            <w:pPr>
              <w:pStyle w:val="TableContents"/>
              <w:bidi w:val="0"/>
              <w:spacing w:before="0" w:after="1"/>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cash used in by financing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(35,042)</w:t>
            </w:r>
          </w:p>
        </w:tc>
        <w:tc>
          <w:tcPr>
            <w:tcW w:w="334" w:type="dxa"/>
            <w:tcBorders/>
            <w:vAlign w:val="center"/>
          </w:tcPr>
          <w:p>
            <w:pPr>
              <w:pStyle w:val="TableContents"/>
              <w:bidi w:val="0"/>
              <w:spacing w:before="0" w:after="1"/>
              <w:ind w:left="0" w:right="0" w:hanging="0"/>
              <w:jc w:val="left"/>
              <w:rPr/>
            </w:pPr>
            <w:r>
              <w:rPr/>
              <w:t>​</w:t>
            </w:r>
          </w:p>
        </w:tc>
        <w:tc>
          <w:tcPr>
            <w:tcW w:w="216"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104,690</w:t>
            </w:r>
          </w:p>
        </w:tc>
      </w:tr>
      <w:tr>
        <w:trPr/>
        <w:tc>
          <w:tcPr>
            <w:tcW w:w="6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375,597</w:t>
            </w:r>
          </w:p>
        </w:tc>
        <w:tc>
          <w:tcPr>
            <w:tcW w:w="334" w:type="dxa"/>
            <w:tcBorders/>
            <w:shd w:fill="CCEEFF" w:val="clear"/>
            <w:vAlign w:val="center"/>
          </w:tcPr>
          <w:p>
            <w:pPr>
              <w:pStyle w:val="TableContents"/>
              <w:bidi w:val="0"/>
              <w:spacing w:before="0" w:after="1"/>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315,376</w:t>
            </w:r>
          </w:p>
        </w:tc>
      </w:tr>
      <w:tr>
        <w:trPr/>
        <w:tc>
          <w:tcPr>
            <w:tcW w:w="6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at end of period</w:t>
            </w:r>
          </w:p>
        </w:tc>
        <w:tc>
          <w:tcPr>
            <w:tcW w:w="32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340,555</w:t>
            </w:r>
          </w:p>
        </w:tc>
        <w:tc>
          <w:tcPr>
            <w:tcW w:w="334" w:type="dxa"/>
            <w:tcBorders/>
            <w:vAlign w:val="center"/>
          </w:tcPr>
          <w:p>
            <w:pPr>
              <w:pStyle w:val="TableContents"/>
              <w:bidi w:val="0"/>
              <w:spacing w:before="0" w:after="1"/>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420,066</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45" w:name="Tc_QSi-U_EZ6kGOAI40RizvBQ_6_5"/>
      <w:bookmarkStart w:id="546" w:name="Tc_ndqpe7PjV0K31b2XAvSzaA_6_2"/>
      <w:bookmarkStart w:id="547" w:name="Tc_0TaJ19f510CIQi6lirHVNg_6_0"/>
      <w:bookmarkStart w:id="548" w:name="Tc_UZ-p3GxbsUy6IMs4TOUlIA_5_0"/>
      <w:bookmarkStart w:id="549" w:name="Tc_EhcMXcJHDUamBrxUM4gadA_4_3"/>
      <w:bookmarkStart w:id="550" w:name="Tc_wcykQSeIsUyvAjlf2Tgbig_4_0"/>
      <w:bookmarkStart w:id="551" w:name="Tc_6yvespIdSEyyV72zULp4JA_3_5"/>
      <w:bookmarkStart w:id="552" w:name="Tc_gGdlOBNOkUqaYnG7mGNW9g_3_2"/>
      <w:bookmarkStart w:id="553" w:name="Tc_zyDQw2x07kSlmgJGoTuQ0A_3_0"/>
      <w:bookmarkStart w:id="554" w:name="Tc_U8stSsq4mkCTbC1HpVbepg_2_5"/>
      <w:bookmarkStart w:id="555" w:name="Tc_DzE-avkxqEeTq_7eNJs6nw_2_2"/>
      <w:bookmarkStart w:id="556" w:name="Tc_TxFnwtdN5UmgSDwbAomdyw_2_0"/>
      <w:bookmarkStart w:id="557" w:name="Tc_wmy_npFMK0WgTZZ0iHgssw_1_2"/>
      <w:bookmarkStart w:id="558" w:name="_a9c348a3_a5d0_4d9f_8481_89902312bf21"/>
      <w:bookmarkStart w:id="559" w:name="Tc_QSi-U_EZ6kGOAI40RizvBQ_6_5"/>
      <w:bookmarkStart w:id="560" w:name="Tc_ndqpe7PjV0K31b2XAvSzaA_6_2"/>
      <w:bookmarkStart w:id="561" w:name="Tc_0TaJ19f510CIQi6lirHVNg_6_0"/>
      <w:bookmarkStart w:id="562" w:name="Tc_UZ-p3GxbsUy6IMs4TOUlIA_5_0"/>
      <w:bookmarkStart w:id="563" w:name="Tc_EhcMXcJHDUamBrxUM4gadA_4_3"/>
      <w:bookmarkStart w:id="564" w:name="Tc_wcykQSeIsUyvAjlf2Tgbig_4_0"/>
      <w:bookmarkStart w:id="565" w:name="Tc_6yvespIdSEyyV72zULp4JA_3_5"/>
      <w:bookmarkStart w:id="566" w:name="Tc_gGdlOBNOkUqaYnG7mGNW9g_3_2"/>
      <w:bookmarkStart w:id="567" w:name="Tc_zyDQw2x07kSlmgJGoTuQ0A_3_0"/>
      <w:bookmarkStart w:id="568" w:name="Tc_U8stSsq4mkCTbC1HpVbepg_2_5"/>
      <w:bookmarkStart w:id="569" w:name="Tc_DzE-avkxqEeTq_7eNJs6nw_2_2"/>
      <w:bookmarkStart w:id="570" w:name="Tc_TxFnwtdN5UmgSDwbAomdyw_2_0"/>
      <w:bookmarkStart w:id="571" w:name="Tc_wmy_npFMK0WgTZZ0iHgssw_1_2"/>
      <w:bookmarkStart w:id="572" w:name="_a9c348a3_a5d0_4d9f_8481_89902312bf21"/>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tbl>
      <w:tblPr>
        <w:tblW w:w="7420" w:type="dxa"/>
        <w:jc w:val="left"/>
        <w:tblInd w:w="0" w:type="dxa"/>
        <w:tblLayout w:type="fixed"/>
        <w:tblCellMar>
          <w:top w:w="0" w:type="dxa"/>
          <w:left w:w="0" w:type="dxa"/>
          <w:bottom w:w="0" w:type="dxa"/>
          <w:right w:w="0" w:type="dxa"/>
        </w:tblCellMar>
      </w:tblPr>
      <w:tblGrid>
        <w:gridCol w:w="4606"/>
        <w:gridCol w:w="326"/>
        <w:gridCol w:w="217"/>
        <w:gridCol w:w="805"/>
        <w:gridCol w:w="336"/>
        <w:gridCol w:w="217"/>
        <w:gridCol w:w="913"/>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924810" cy="175260"/>
                      <wp:effectExtent l="0" t="0" r="0" b="0"/>
                      <wp:wrapNone/>
                      <wp:docPr id="63" name="Frame63"/>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7795" cy="175260"/>
                      <wp:effectExtent l="0" t="0" r="0" b="0"/>
                      <wp:wrapNone/>
                      <wp:docPr id="65" name="Frame65"/>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11175" cy="175260"/>
                      <wp:effectExtent l="0" t="0" r="0" b="0"/>
                      <wp:wrapNone/>
                      <wp:docPr id="66" name="Frame66"/>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3360" cy="175260"/>
                      <wp:effectExtent l="0" t="0" r="0" b="0"/>
                      <wp:wrapNone/>
                      <wp:docPr id="67" name="Frame67"/>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7795" cy="175260"/>
                      <wp:effectExtent l="0" t="0" r="0" b="0"/>
                      <wp:wrapNone/>
                      <wp:docPr id="68" name="Frame6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79755" cy="175260"/>
                      <wp:effectExtent l="0" t="0" r="0" b="0"/>
                      <wp:wrapNone/>
                      <wp:docPr id="69" name="Frame6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Schedule of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102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6" w:type="dxa"/>
            <w:tcBorders/>
            <w:vAlign w:val="center"/>
          </w:tcPr>
          <w:p>
            <w:pPr>
              <w:pStyle w:val="TableContents"/>
              <w:bidi w:val="0"/>
              <w:spacing w:before="0" w:after="1"/>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270,642</w:t>
            </w:r>
          </w:p>
        </w:tc>
        <w:tc>
          <w:tcPr>
            <w:tcW w:w="33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342,298</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(current)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05" w:type="dxa"/>
            <w:tcBorders/>
            <w:vAlign w:val="center"/>
          </w:tcPr>
          <w:p>
            <w:pPr>
              <w:pStyle w:val="TableContents"/>
              <w:bidi w:val="0"/>
              <w:spacing w:before="0" w:after="1"/>
              <w:ind w:left="0" w:right="0" w:hanging="0"/>
              <w:jc w:val="right"/>
              <w:rPr/>
            </w:pPr>
            <w:r>
              <w:rPr/>
              <w:t>—</w:t>
            </w:r>
          </w:p>
        </w:tc>
        <w:tc>
          <w:tcPr>
            <w:tcW w:w="33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9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w:t>
            </w:r>
          </w:p>
        </w:tc>
      </w:tr>
      <w:tr>
        <w:trPr/>
        <w:tc>
          <w:tcPr>
            <w:tcW w:w="46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0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69,913</w:t>
            </w:r>
          </w:p>
        </w:tc>
        <w:tc>
          <w:tcPr>
            <w:tcW w:w="336" w:type="dxa"/>
            <w:tcBorders/>
            <w:shd w:fill="CCEEFF" w:val="clear"/>
            <w:vAlign w:val="center"/>
          </w:tcPr>
          <w:p>
            <w:pPr>
              <w:pStyle w:val="TableContents"/>
              <w:bidi w:val="0"/>
              <w:spacing w:before="0" w:after="1"/>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76,736</w:t>
            </w:r>
          </w:p>
        </w:tc>
      </w:tr>
      <w:tr>
        <w:trPr/>
        <w:tc>
          <w:tcPr>
            <w:tcW w:w="460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cash, cash equivalents and restricted cash</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340,555</w:t>
            </w:r>
          </w:p>
        </w:tc>
        <w:tc>
          <w:tcPr>
            <w:tcW w:w="336" w:type="dxa"/>
            <w:tcBorders/>
            <w:vAlign w:val="center"/>
          </w:tcPr>
          <w:p>
            <w:pPr>
              <w:pStyle w:val="TableContents"/>
              <w:bidi w:val="0"/>
              <w:spacing w:before="0" w:after="1"/>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420,066</w:t>
            </w:r>
          </w:p>
        </w:tc>
      </w:tr>
    </w:tbl>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73" w:name="Tc_wOt5W7yg_EqsXlfpwh3XKg_5_6"/>
      <w:bookmarkStart w:id="574" w:name="Tc_-SB_J7cGVEOSU4BNzUWU2w_5_5"/>
      <w:bookmarkStart w:id="575" w:name="Tc_SXUD8gsH4kOWY-BduYXC4A_5_2"/>
      <w:bookmarkStart w:id="576" w:name="Tc_GzpCIEV2Ck6L8A1tFJ3_Hw_5_0"/>
      <w:bookmarkStart w:id="577" w:name="Tc_MXKEDBrXYUeQOToFYMIOsg_4_5"/>
      <w:bookmarkStart w:id="578" w:name="Tc_dE7hZkQU-EKrEoqSvsH70Q_4_2"/>
      <w:bookmarkStart w:id="579" w:name="Tc_EBZnpCDa5EWboPCCfXDzaA_4_0"/>
      <w:bookmarkStart w:id="580" w:name="Tc_9HPP9UC8nk-ZxuTped1k9g_3_5"/>
      <w:bookmarkStart w:id="581" w:name="Tc_L97GKoqoTEiSpIlPouwTow_3_2"/>
      <w:bookmarkStart w:id="582" w:name="Tc_1ibFbMwmmkagtBlPrrJY3w_3_0"/>
      <w:bookmarkStart w:id="583" w:name="Tc_4JDO7lmr-kGNPu7QBYfEPw_2_5"/>
      <w:bookmarkStart w:id="584" w:name="Tc_qJg-fhffOEW5FrA8n_Knhw_2_2"/>
      <w:bookmarkStart w:id="585" w:name="Tc_6TsJFbZxSEuTbBI5u1R9iw_2_0"/>
      <w:bookmarkStart w:id="586" w:name="Tc_7eM98CSGIEKHepZPZYOxxA_1_2"/>
      <w:bookmarkStart w:id="587" w:name="_848ee656_dc8b_440b_bd65_52abb7af0673"/>
      <w:bookmarkStart w:id="588" w:name="Tc_wOt5W7yg_EqsXlfpwh3XKg_5_6"/>
      <w:bookmarkStart w:id="589" w:name="Tc_-SB_J7cGVEOSU4BNzUWU2w_5_5"/>
      <w:bookmarkStart w:id="590" w:name="Tc_SXUD8gsH4kOWY-BduYXC4A_5_2"/>
      <w:bookmarkStart w:id="591" w:name="Tc_GzpCIEV2Ck6L8A1tFJ3_Hw_5_0"/>
      <w:bookmarkStart w:id="592" w:name="Tc_MXKEDBrXYUeQOToFYMIOsg_4_5"/>
      <w:bookmarkStart w:id="593" w:name="Tc_dE7hZkQU-EKrEoqSvsH70Q_4_2"/>
      <w:bookmarkStart w:id="594" w:name="Tc_EBZnpCDa5EWboPCCfXDzaA_4_0"/>
      <w:bookmarkStart w:id="595" w:name="Tc_9HPP9UC8nk-ZxuTped1k9g_3_5"/>
      <w:bookmarkStart w:id="596" w:name="Tc_L97GKoqoTEiSpIlPouwTow_3_2"/>
      <w:bookmarkStart w:id="597" w:name="Tc_1ibFbMwmmkagtBlPrrJY3w_3_0"/>
      <w:bookmarkStart w:id="598" w:name="Tc_4JDO7lmr-kGNPu7QBYfEPw_2_5"/>
      <w:bookmarkStart w:id="599" w:name="Tc_qJg-fhffOEW5FrA8n_Knhw_2_2"/>
      <w:bookmarkStart w:id="600" w:name="Tc_6TsJFbZxSEuTbBI5u1R9iw_2_0"/>
      <w:bookmarkStart w:id="601" w:name="Tc_7eM98CSGIEKHepZPZYOxxA_1_2"/>
      <w:bookmarkStart w:id="602" w:name="_848ee656_dc8b_440b_bd65_52abb7af0673"/>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tbl>
      <w:tblPr>
        <w:tblW w:w="9941" w:type="dxa"/>
        <w:jc w:val="left"/>
        <w:tblInd w:w="0" w:type="dxa"/>
        <w:tblLayout w:type="fixed"/>
        <w:tblCellMar>
          <w:top w:w="0" w:type="dxa"/>
          <w:left w:w="0" w:type="dxa"/>
          <w:bottom w:w="0" w:type="dxa"/>
          <w:right w:w="0" w:type="dxa"/>
        </w:tblCellMar>
      </w:tblPr>
      <w:tblGrid>
        <w:gridCol w:w="7126"/>
        <w:gridCol w:w="326"/>
        <w:gridCol w:w="257"/>
        <w:gridCol w:w="697"/>
        <w:gridCol w:w="398"/>
        <w:gridCol w:w="257"/>
        <w:gridCol w:w="880"/>
      </w:tblGrid>
      <w:tr>
        <w:trPr/>
        <w:tc>
          <w:tcPr>
            <w:tcW w:w="7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525010" cy="175260"/>
                      <wp:effectExtent l="0" t="0" r="0" b="0"/>
                      <wp:wrapNone/>
                      <wp:docPr id="70" name="Frame70"/>
                      <a:graphic xmlns:a="http://schemas.openxmlformats.org/drawingml/2006/main">
                        <a:graphicData uri="http://schemas.microsoft.com/office/word/2010/wordprocessingShape">
                          <wps:wsp>
                            <wps:cNvSpPr txBox="1"/>
                            <wps:spPr>
                              <a:xfrm>
                                <a:off x="0" y="0"/>
                                <a:ext cx="452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3195" cy="175260"/>
                      <wp:effectExtent l="0" t="0" r="0" b="0"/>
                      <wp:wrapNone/>
                      <wp:docPr id="72" name="Frame72"/>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42595" cy="175260"/>
                      <wp:effectExtent l="0" t="0" r="0" b="0"/>
                      <wp:wrapNone/>
                      <wp:docPr id="73" name="Frame73"/>
                      <a:graphic xmlns:a="http://schemas.openxmlformats.org/drawingml/2006/main">
                        <a:graphicData uri="http://schemas.microsoft.com/office/word/2010/wordprocessingShape">
                          <wps:wsp>
                            <wps:cNvSpPr txBox="1"/>
                            <wps:spPr>
                              <a:xfrm>
                                <a:off x="0" y="0"/>
                                <a:ext cx="442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52730" cy="175260"/>
                      <wp:effectExtent l="0" t="0" r="0" b="0"/>
                      <wp:wrapNone/>
                      <wp:docPr id="74" name="Frame74"/>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63195" cy="175260"/>
                      <wp:effectExtent l="0" t="0" r="0" b="0"/>
                      <wp:wrapNone/>
                      <wp:docPr id="75" name="Frame75"/>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58800" cy="175260"/>
                      <wp:effectExtent l="0" t="0" r="0" b="0"/>
                      <wp:wrapNone/>
                      <wp:docPr id="76" name="Frame76"/>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disclosures of cash and non-cash investing and financing transactions</w:t>
            </w:r>
          </w:p>
        </w:tc>
        <w:tc>
          <w:tcPr>
            <w:tcW w:w="326" w:type="dxa"/>
            <w:tcBorders/>
            <w:vAlign w:val="center"/>
          </w:tcPr>
          <w:p>
            <w:pPr>
              <w:pStyle w:val="TableContents"/>
              <w:bidi w:val="0"/>
              <w:spacing w:before="0" w:after="0"/>
              <w:ind w:left="0" w:right="0" w:hanging="0"/>
              <w:jc w:val="center"/>
              <w:rPr/>
            </w:pPr>
            <w:r>
              <w:rPr/>
              <w:t>​</w:t>
            </w:r>
          </w:p>
        </w:tc>
        <w:tc>
          <w:tcPr>
            <w:tcW w:w="9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8" w:type="dxa"/>
            <w:tcBorders/>
            <w:vAlign w:val="center"/>
          </w:tcPr>
          <w:p>
            <w:pPr>
              <w:pStyle w:val="TableContents"/>
              <w:bidi w:val="0"/>
              <w:spacing w:before="0" w:after="0"/>
              <w:ind w:left="0" w:right="0" w:hanging="0"/>
              <w:jc w:val="center"/>
              <w:rPr/>
            </w:pPr>
            <w:r>
              <w:rPr/>
              <w:t>    </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98"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w:t>
            </w:r>
          </w:p>
        </w:tc>
      </w:tr>
      <w:tr>
        <w:trPr/>
        <w:tc>
          <w:tcPr>
            <w:tcW w:w="7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purchase of property, plant and equipment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9,554</w:t>
            </w:r>
          </w:p>
        </w:tc>
        <w:tc>
          <w:tcPr>
            <w:tcW w:w="398"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13,277</w:t>
            </w:r>
          </w:p>
        </w:tc>
      </w:tr>
      <w:tr>
        <w:trPr/>
        <w:tc>
          <w:tcPr>
            <w:tcW w:w="7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purchased with operating lease</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98"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See the accompanying Notes to the Consolidated Financial Statements.</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03" w:name="a1NatureofBusinessFinancialConditionandB"/>
      <w:bookmarkStart w:id="604" w:name="a1NatureofBusinessFinancialConditionandB"/>
      <w:bookmarkEnd w:id="604"/>
    </w:p>
    <w:tbl>
      <w:tblPr>
        <w:tblW w:w="5942" w:type="dxa"/>
        <w:jc w:val="left"/>
        <w:tblInd w:w="0" w:type="dxa"/>
        <w:tblLayout w:type="fixed"/>
        <w:tblCellMar>
          <w:top w:w="0" w:type="dxa"/>
          <w:left w:w="0" w:type="dxa"/>
          <w:bottom w:w="0" w:type="dxa"/>
          <w:right w:w="0" w:type="dxa"/>
        </w:tblCellMar>
      </w:tblPr>
      <w:tblGrid>
        <w:gridCol w:w="271"/>
        <w:gridCol w:w="56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56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Nature of Business, Financial Condition and Basis of Presentation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Nature of business.</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 Inc. (Nasdaq: GEVO) (“Gevo”, “we”, “us”, “our”, or the “Company,” which, unless otherwise indicated, refers to Gevo, Inc. and its subsidiaries), a Delaware corporation founded in 2005, is a growth-oriented, carbon abatement company with the mission of solving greenhouse gas (“GHG”) emissions for those sectors of the transportation industry that are not amenable to electrification or hydrogen.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focused on transforming renewable energy into energy-dense liquid drop-in hydrocarbons that can be used as renewable fuels, such as sustainable aviation fuel (“SAF”) and other fuels and chemicals, with the potential to achieve a “net-zero” GHG, or even carbon negative footprint measured by the Argonne National Laboratory’s GREET (Greenhouse gases, Regulated Emissions, and Energy use in Transportation) model (the “GREET Model”) to measure, predict and verify GHG emissions across the life-cycle. Our “net-zero” concept means production of drop-in hydrocarbon fuels by using sustainably grown feedstocks (e.g., low till, no-till and dry corn cultivation), renewable and substantially decarbonized energy sources, resulting in a net-zero carbon footprint from the full life cycle of the fuel measured from the capture of renewable carbon through the burning of the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primary market focus, given current demand and growing customer interest, is SAF. The Company believes that SAF from carbohydrates to alcohol is the most economically viable approach for carbon abatement. The Company also has commercial opportunities for other renewable hydrocarbon products, such as (i) renewable natural gas, also known as biogas (“RNG”), (ii) hydrocarbons for gasoline blendstocks and diesel fuel, and (iii) plastics, materials and other chemicals.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Gevo’s business model is that of a developer of projects, a licensor, process technology developer, and operator of certain assets in the future.</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Net-Zero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early 2021, we announced our proprietary “Net-Zero Projects” that we are developing and engineering as a series of planned facilities to produce energy dense liquid hydrocarbons using renewable energy and our proprietary technology. Our Net-Zero Projects will convert renewable energy (e.g., photosynthetic, wind, RNG) from a variety of sources into energy dense liquid hydrocarbons that, when burned in traditional engines, has the potential to achieve net-zero GHG emissions across the whole lifecycle of the liquid fuel: from the way carbon is captured from the atmosphere, processed to make liquid fuel products, and burned as a fuel for planes, cars, trucks, and ships. Gevo owns our Net-Zero plant designs and the overall Gevo Net-Zero process (i.e., the process to enable carbon-negative olefins, and hydrocarbon fuels with an anticipated net-zero or better carbon footprint measured across the lifecycle of the whole processes). The proprietary Gevo Net-Zero processes and plant designs are based upon the conversion of carbohydrates to alcohols, then the conversion of the alcohols to olefins (i.e., building blocks for chemicals, plastics, and fuels), and then the conversion of the olefins into fuels, all optimized and integrated to achieve a net-zero carbon footprint. In the fermentation section of our plant design, we work with Fluid Quip Technologies, LLC and PRAJ Industries Limited (“PRAJ”), as well as other suppliers of unit operations, and using Axens North America, Inc. (“Axens”) as the unit operation technology supplier for producing olefins and fuels. Gevo owns the overall proprietary plant designs, engineering details, integration technologies, and has filed patents on several process improvements.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November 2021, Gevo entered into an agreement to exclusively utilize Axens’ technology for isobutanol conversion into hydrocarbons. In February of 2022, Gevo and Axens entered into a second exclusive agreement to specifically cover the process steps for ethanol to finished jet fuel.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initial Net-Zero Project, Net-Zero 1 (“NZ1”), is expected to be located in Lake Preston, South Dakota, and is being currently designed to produce approximately 65 million gallons per year (“MGPY”) of total hydrocarbon volumes, including 60 MGPY of SAF. Along with the hydrocarbons, NZ1 is being currently designed to produce approximately 1,390 million pounds per year of high-value protein products for use in the food chain and more than 34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We are also developing other commercial production projects for SAF at other locations in the United States where we expect to use our Net-Zero plant designs based on work done for NZ1 at Lake Preston. Gevo expects to play the role of project developer, plant design and technology licensor, and investor, based on traditional developer business models where the developer gets a partial ownership stake for developing the project. We may also co-invest in projects to increase our equity ownership in those projects.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Renewable Natural Gas Facilities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RNG facilities in Northwest Iowa (“NW Iowa RNG”), recorded in the Renewable Natural Gas segment, produce RNG captured from dairy cow manure supplied by three local dairies. Animal manure can be digested anaerobically to produce biogas, which is then upgraded to pipeline quality gas referred to as RNG. The original design capacity for this project was 355,000 MMBtu. We sell the produced RNG to the California market through an agreement with BP Canada Energy Marketing Corp. and BP Products North America Inc. (collectively, “BP”). In addition, we generate and sell Low Carbon Fuel Standard (“LCFS”) credits as well as D3 Renewable Identification Numbers (“RINs”) through the production of RNG (collectively, “environmental attributes”).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Luverne Facility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Gevo’s development plant in Luverne, Minnesota (the “Luverne Facility”), recorded in the Agri-Energy segment, was originally constructed in 1998 and is located on approximately 55 acres of land, which contains approximately 50,000 square feet of building space. Gevo may use the Luverne Facility in the future to prove our processes, process concepts, unit operations and for other purposes in order to optimize feedstocks and the processes used for producing hydrocarbons from alcohols. Currently, the activities at the Luverne Facility are minimized to care and maintenance, market development, and customer education.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U.S. generally accepted accounting principles (“GAAP”) along with the instructions to Form 10-Q and Article 10 of Regulation S-X assuming the Company will continue as a going concern. Accordingly, they do not include the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three months ended, March 31, 2024,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2023</w:t>
      </w:r>
      <w:r>
        <w:rPr>
          <w:rFonts w:ascii="Times New Roman;Times;serif" w:hAnsi="Times New Roman;Times;serif"/>
          <w:i/>
          <w:sz w:val="20"/>
        </w:rPr>
        <w:t xml:space="preserve">. </w:t>
      </w:r>
      <w:r>
        <w:rPr>
          <w:rFonts w:ascii="Times New Roman;Times;serif" w:hAnsi="Times New Roman;Times;serif"/>
          <w:sz w:val="20"/>
        </w:rPr>
        <w:t>The financial statements at December 31, 2023, have been derived from the audited financial statements as of that date. For further information, refer to our audited financial statements and notes thereto included for the year ended December 31, 2023 (the “2023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Governmental Grants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no U.S. GAAP that explicitly covers accounting for government "grants" to for-profit entities, with the exception of certain agricultural subsidies. In the absence of authoritative U.S. GAAP guidance, the Company considered the application of other authoritative accounting guidance by analogy and concluded that the guidance outlined in International Accounting Standard 20 – Accounting for Government Grants and Disclosures of Government Assistance (“IAS 20”) was the most appropriate analogy for the purpose of recording and classifying the federal funds received by the Company. Under IAS 20, once it is reasonably assured that the entity will comply with the conditions of the grant, the grant money should be recognized on a systematic basis over the periods in which the entity recognizes the related expenses or losses for which the grant money is intended to compensate.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 recognizes grants once both of the following conditions are met: (1) the Company is able to comply with the relevant conditions of the grant and (2) the grant is received. Further, IAS 20 permits for the recognition in earnings either (1) separately under a general heading such as other income, or (2) as a reduction of the related expenses. The Company records such grants either as a reduction of the related expense, a reduction of the cost of the related asset, or as other income depending upon the nature of the grant.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September 2023, the Company executed a Notice of Grant and Agreement Award with the U.S. Department of Agriculture (“USDA”) for a Partnerships for Climate-Smart Commodities grant of up to $30.0 million for Gevo’s Climate-Smart Farm-to-Flight Program (the “USDA Grant”), with project activity beginning in 2023 and continuing through 2027. The project expects to create critical structural climate-smart market incentives for corn with a low carbon intensity (“CI”) score as well as to accelerate the production of SAF to reduce the sector’s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During the three months ended March 31, 2024, the Company incurred $0.7 million of costs under the USDA Grant, which are included in Project development costs in the Consolidated Statement of Operations. During the three months ended </w:t>
      </w:r>
      <w:r>
        <w:rPr>
          <w:rFonts w:ascii="Times New Roman;Times;serif" w:hAnsi="Times New Roman;Times;serif"/>
          <w:b w:val="false"/>
          <w:i w:val="false"/>
          <w:caps w:val="false"/>
          <w:smallCaps w:val="false"/>
          <w:sz w:val="20"/>
        </w:rPr>
        <w:t>March 31, 2024</w:t>
      </w:r>
      <w:r>
        <w:rPr>
          <w:rFonts w:ascii="Times New Roman;Times;serif" w:hAnsi="Times New Roman;Times;serif"/>
          <w:sz w:val="20"/>
        </w:rPr>
        <w:t>, the Company recognized $0.8 million of grant reimbursements, included in Project development costs in the Consolidated Statement of Operations, which represent reimbursements for prior period costs. The Company expects to be reimbursed for all remaining costs not yet reimbursed by the USDA under the grant in future periods.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Recently Issued, Not Yet Adopted Accounting Pronouncements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Segment Reporting. </w:t>
      </w:r>
      <w:r>
        <w:rPr>
          <w:rFonts w:ascii="Times New Roman;Times;serif" w:hAnsi="Times New Roman;Times;serif"/>
          <w:sz w:val="20"/>
        </w:rPr>
        <w:t>In November 2023, the FASB issued ASU 2023-07, Segment Reporting (ASC 280): Improvements to Reportable Segment Disclosures (“ASU 2023-07”). ASU 2023-07 would enhance disclosures for significant segment expenses for all public entities required to report segment information in accordance with ASC 280. ASC 280 requires a public entity to report for each reportable segment a measure of segment profit or loss that its chief operating decision maker (“CODM”) uses to assess segment performance and to make decisions about resource allocations. The amendments in ASU 2023-07 improve financial reporting by requiring disclosure of incremental segment information on an annual and interim basis for all public entities to enable investors to develop more useful financial analyses. Currently, ASC 280 requires that a public entity disclose certain information about its reportable segments. For example, a public entity is required to report a measure of segment profit or loss that the CODM uses to assess segment performance and make decisions about allocating resources. ASC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Early adoption is permitted. A public entity should apply the amendments in ASU 2023-07 retrospectively to all prior periods presented in the financial statements. The Company is currently evaluating the impact that ASU 2023-07 may have on its financial statements and related disclosures when adopted.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05" w:name="Tc_zYCgSJN2q0yz6_sHP-5nUw_6_5"/>
      <w:bookmarkStart w:id="606" w:name="Tc_yz-AX5XK506ExotKGoG-3w_6_2"/>
      <w:bookmarkStart w:id="607" w:name="Tc_s2xPKlXRCkiOeMpJ-J8_pQ_6_0"/>
      <w:bookmarkStart w:id="608" w:name="Tc_rcivskhWk0-kev_eqldfrQ_5_0"/>
      <w:bookmarkStart w:id="609" w:name="Tc_hJOAF68YNEGlg7x8sBYBnw_4_0"/>
      <w:bookmarkStart w:id="610" w:name="Tc_MBRgeDDTr061IRaj1ygttQ_3_5"/>
      <w:bookmarkStart w:id="611" w:name="Tc_7aQwTixVnEG0xfkhFMkLmw_3_2"/>
      <w:bookmarkStart w:id="612" w:name="Tc_07PF3KbHKUGro7833EBq5g_3_0"/>
      <w:bookmarkStart w:id="613" w:name="Tc_0hrTNxrjOkmoqtwUqzFH9Q_2_5"/>
      <w:bookmarkStart w:id="614" w:name="Tc_YlYm-d-B3U-VFdN7zImkEg_2_2"/>
      <w:bookmarkStart w:id="615" w:name="Tc_PEFXcGyck0mYSliONSN2jg_2_0"/>
      <w:bookmarkStart w:id="616" w:name="Tc_E02afdpl3U65vT4olMEZcA_1_2"/>
      <w:bookmarkStart w:id="617" w:name="_14deeea8_748c_4709_bb39_2e84d7f8d00f"/>
      <w:bookmarkStart w:id="618" w:name="Tc_zYCgSJN2q0yz6_sHP-5nUw_6_5"/>
      <w:bookmarkStart w:id="619" w:name="Tc_yz-AX5XK506ExotKGoG-3w_6_2"/>
      <w:bookmarkStart w:id="620" w:name="Tc_s2xPKlXRCkiOeMpJ-J8_pQ_6_0"/>
      <w:bookmarkStart w:id="621" w:name="Tc_rcivskhWk0-kev_eqldfrQ_5_0"/>
      <w:bookmarkStart w:id="622" w:name="Tc_hJOAF68YNEGlg7x8sBYBnw_4_0"/>
      <w:bookmarkStart w:id="623" w:name="Tc_MBRgeDDTr061IRaj1ygttQ_3_5"/>
      <w:bookmarkStart w:id="624" w:name="Tc_7aQwTixVnEG0xfkhFMkLmw_3_2"/>
      <w:bookmarkStart w:id="625" w:name="Tc_07PF3KbHKUGro7833EBq5g_3_0"/>
      <w:bookmarkStart w:id="626" w:name="Tc_0hrTNxrjOkmoqtwUqzFH9Q_2_5"/>
      <w:bookmarkStart w:id="627" w:name="Tc_YlYm-d-B3U-VFdN7zImkEg_2_2"/>
      <w:bookmarkStart w:id="628" w:name="Tc_PEFXcGyck0mYSliONSN2jg_2_0"/>
      <w:bookmarkStart w:id="629" w:name="Tc_E02afdpl3U65vT4olMEZcA_1_2"/>
      <w:bookmarkStart w:id="630" w:name="_14deeea8_748c_4709_bb39_2e84d7f8d00f"/>
      <w:bookmarkEnd w:id="618"/>
      <w:bookmarkEnd w:id="619"/>
      <w:bookmarkEnd w:id="620"/>
      <w:bookmarkEnd w:id="621"/>
      <w:bookmarkEnd w:id="622"/>
      <w:bookmarkEnd w:id="623"/>
      <w:bookmarkEnd w:id="624"/>
      <w:bookmarkEnd w:id="625"/>
      <w:bookmarkEnd w:id="626"/>
      <w:bookmarkEnd w:id="627"/>
      <w:bookmarkEnd w:id="628"/>
      <w:bookmarkEnd w:id="629"/>
      <w:bookmarkEnd w:id="630"/>
    </w:p>
    <w:tbl>
      <w:tblPr>
        <w:tblW w:w="5567" w:type="dxa"/>
        <w:jc w:val="left"/>
        <w:tblInd w:w="0" w:type="dxa"/>
        <w:tblLayout w:type="fixed"/>
        <w:tblCellMar>
          <w:top w:w="0" w:type="dxa"/>
          <w:left w:w="0" w:type="dxa"/>
          <w:bottom w:w="0" w:type="dxa"/>
          <w:right w:w="0" w:type="dxa"/>
        </w:tblCellMar>
      </w:tblPr>
      <w:tblGrid>
        <w:gridCol w:w="271"/>
        <w:gridCol w:w="5296"/>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529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Revenues from Contracts with Customers and Other Revenue</w:t>
            </w:r>
          </w:p>
        </w:tc>
      </w:tr>
    </w:tbl>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RNG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The Company’s revenues are primarily comprised of the sale of RNG and related environmental attributes produced at the NW Iowa RNG facility under long-term contracts with customers. Revenue is recognized at a point in time when the Company transfers the product to its customer. The customer obtains control of the product upon RNG delivery into gas pipeline system, whereas the title and control for the environmental attributes are transferred to the customer subsequent to the issuance of such attributes by the relevant regulatory agency. The Company generally has a single performance obligation in our arrangements with customers. The Company’s performance obligation related to the sales of RNG and related environmental attributes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 </w:t>
      </w:r>
      <w:r>
        <w:rPr>
          <w:rFonts w:ascii="Times New Roman;Times;serif" w:hAnsi="Times New Roman;Times;serif"/>
          <w:sz w:val="20"/>
          <w:shd w:fill="FFFFFF" w:val="clear"/>
        </w:rPr>
        <w:t>All material contracts have payment terms of between one to three months and there are no return or refund rights.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Licensing and Development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licensing and development revenue is related to a joint development agreement with LG Chem, Ltd. ("LG Chem") to develop bio-propylene for renewable chemicals using Gevo’s Ethanol-to-Olefins ("ETO") technology. As the contractually promised intellectual properties (“IP”) are not individually distinct, the Company combined each individual IP noted in the contract into a bundle of IP (“IP Rights”) that is distinct and accounted for all of the IP Rights promised in the contract as a single performance obligation. The IP Rights granted were “functional IP rights” that have significant standalone functionality. The Company’s subsequent activities do not substantively change that functionality and do not significantly affect the utility of the IP to which the licensee has rights. The Company has no further obligation with respect to the grant of IP Rights, including no expressed or implied obligation to maintain or upgrade the technology, or provide future support or services. Licensees legally obtain control of the IP Rights upon execution of the contract. As such, the earnings process is complete and revenue is recognized upon the execution of the contract, when collectability is probable and all other revenue recognition criteria have been met.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realized $1.3 million in Q2 2023 when the first milestone was met under the joint development agreement, and expects to receive another $0.8 million in Q2 2024 due to the achievement of the second milestone in April 2024.</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Other Hydrocarbon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limited revenues from its development-scale plant, the Luverne Facility, during the three months ended March 31, 2023. These revenues were promotional in nature and from customer contracts for ethanol sales and related products and hydrocarbon revenues, which included SAF, isooctene, and isooctane. These products were sold mostly on a free-on-board shipping point basis (recognized at a point in time), were independent transactions, did not provide post-sale support or promises to deliver future goods, and were single performance obligations.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displays the Company’s revenue by major source based on product type (in thousands):</w:t>
      </w:r>
    </w:p>
    <w:tbl>
      <w:tblPr>
        <w:tblW w:w="6995" w:type="dxa"/>
        <w:jc w:val="left"/>
        <w:tblInd w:w="0" w:type="dxa"/>
        <w:tblLayout w:type="fixed"/>
        <w:tblCellMar>
          <w:top w:w="0" w:type="dxa"/>
          <w:left w:w="0" w:type="dxa"/>
          <w:bottom w:w="0" w:type="dxa"/>
          <w:right w:w="0" w:type="dxa"/>
        </w:tblCellMar>
      </w:tblPr>
      <w:tblGrid>
        <w:gridCol w:w="4396"/>
        <w:gridCol w:w="109"/>
        <w:gridCol w:w="262"/>
        <w:gridCol w:w="709"/>
        <w:gridCol w:w="405"/>
        <w:gridCol w:w="262"/>
        <w:gridCol w:w="852"/>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791460" cy="175260"/>
                      <wp:effectExtent l="0" t="0" r="0" b="0"/>
                      <wp:wrapNone/>
                      <wp:docPr id="77" name="Frame77"/>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78"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66370" cy="175260"/>
                      <wp:effectExtent l="0" t="0" r="0" b="0"/>
                      <wp:wrapNone/>
                      <wp:docPr id="79" name="Frame79"/>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50215" cy="175260"/>
                      <wp:effectExtent l="0" t="0" r="0" b="0"/>
                      <wp:wrapNone/>
                      <wp:docPr id="80" name="Frame80"/>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57175" cy="175260"/>
                      <wp:effectExtent l="0" t="0" r="0" b="0"/>
                      <wp:wrapNone/>
                      <wp:docPr id="81" name="Frame81"/>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6370" cy="175260"/>
                      <wp:effectExtent l="0" t="0" r="0" b="0"/>
                      <wp:wrapNone/>
                      <wp:docPr id="82" name="Frame8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41020" cy="175260"/>
                      <wp:effectExtent l="0" t="0" r="0" b="0"/>
                      <wp:wrapNone/>
                      <wp:docPr id="83" name="Frame83"/>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3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Major Goods/Service Line</w:t>
            </w:r>
          </w:p>
        </w:tc>
        <w:tc>
          <w:tcPr>
            <w:tcW w:w="109" w:type="dxa"/>
            <w:tcBorders/>
            <w:vAlign w:val="center"/>
          </w:tcPr>
          <w:p>
            <w:pPr>
              <w:pStyle w:val="TableContents"/>
              <w:bidi w:val="0"/>
              <w:spacing w:before="0" w:after="1"/>
              <w:ind w:left="0" w:right="0" w:hanging="0"/>
              <w:jc w:val="center"/>
              <w:rPr/>
            </w:pPr>
            <w:r>
              <w:rPr/>
              <w:t>​</w:t>
            </w:r>
          </w:p>
        </w:tc>
        <w:tc>
          <w:tcPr>
            <w:tcW w:w="9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5" w:type="dxa"/>
            <w:tcBorders/>
            <w:vAlign w:val="center"/>
          </w:tcPr>
          <w:p>
            <w:pPr>
              <w:pStyle w:val="TableContents"/>
              <w:bidi w:val="0"/>
              <w:spacing w:before="0" w:after="1"/>
              <w:ind w:left="0" w:right="0" w:hanging="0"/>
              <w:jc w:val="center"/>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405"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3,771</w:t>
            </w:r>
          </w:p>
        </w:tc>
        <w:tc>
          <w:tcPr>
            <w:tcW w:w="405"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3,533</w:t>
            </w:r>
          </w:p>
        </w:tc>
      </w:tr>
      <w:tr>
        <w:trPr/>
        <w:tc>
          <w:tcPr>
            <w:tcW w:w="4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hydrocarbon revenue - ethanol, isooctane, IBA</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43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109"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3,990</w:t>
            </w:r>
          </w:p>
        </w:tc>
        <w:tc>
          <w:tcPr>
            <w:tcW w:w="405"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4,060</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631" w:name="Tc_7_q7kipA60-Z9VUzW6b_ig_5_0"/>
      <w:bookmarkStart w:id="632" w:name="Tc_xCY-HBJApE2zqiJ5nN8JBA_4_0"/>
      <w:bookmarkStart w:id="633" w:name="Tc_0V0sxXCK10ePEmlv1kQfoA_3_0"/>
      <w:bookmarkStart w:id="634" w:name="Tc_HkukTSRFWEaXOAs-d87lhg_2_5"/>
      <w:bookmarkStart w:id="635" w:name="Tc_GHgmhblpo0mhCxWRm0h1GQ_2_2"/>
      <w:bookmarkStart w:id="636" w:name="Tc_mMZtsa-_OkeG55T_z97k4w_1_2"/>
      <w:bookmarkStart w:id="637" w:name="_a9338548_b010_4c5c_ba08_4c4c7ea6eeed"/>
      <w:bookmarkStart w:id="638" w:name="_c4f05e0f_83ec_4a96_899e_51c525181789"/>
      <w:bookmarkStart w:id="639" w:name="Tc_7_q7kipA60-Z9VUzW6b_ig_5_0"/>
      <w:bookmarkStart w:id="640" w:name="Tc_xCY-HBJApE2zqiJ5nN8JBA_4_0"/>
      <w:bookmarkStart w:id="641" w:name="Tc_0V0sxXCK10ePEmlv1kQfoA_3_0"/>
      <w:bookmarkStart w:id="642" w:name="Tc_HkukTSRFWEaXOAs-d87lhg_2_5"/>
      <w:bookmarkStart w:id="643" w:name="Tc_GHgmhblpo0mhCxWRm0h1GQ_2_2"/>
      <w:bookmarkStart w:id="644" w:name="Tc_mMZtsa-_OkeG55T_z97k4w_1_2"/>
      <w:bookmarkStart w:id="645" w:name="_a9338548_b010_4c5c_ba08_4c4c7ea6eeed"/>
      <w:bookmarkStart w:id="646" w:name="_c4f05e0f_83ec_4a96_899e_51c525181789"/>
      <w:bookmarkEnd w:id="639"/>
      <w:bookmarkEnd w:id="640"/>
      <w:bookmarkEnd w:id="641"/>
      <w:bookmarkEnd w:id="642"/>
      <w:bookmarkEnd w:id="643"/>
      <w:bookmarkEnd w:id="644"/>
      <w:bookmarkEnd w:id="645"/>
      <w:bookmarkEnd w:id="646"/>
    </w:p>
    <w:tbl>
      <w:tblPr>
        <w:tblW w:w="2012" w:type="dxa"/>
        <w:jc w:val="left"/>
        <w:tblInd w:w="0" w:type="dxa"/>
        <w:tblLayout w:type="fixed"/>
        <w:tblCellMar>
          <w:top w:w="0" w:type="dxa"/>
          <w:left w:w="0" w:type="dxa"/>
          <w:bottom w:w="0" w:type="dxa"/>
          <w:right w:w="0" w:type="dxa"/>
        </w:tblCellMar>
      </w:tblPr>
      <w:tblGrid>
        <w:gridCol w:w="271"/>
        <w:gridCol w:w="174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17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Net Loss per Share</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effect of the Company’s dilutive securities is calculated using the treasury stock method and only those instruments that result in a reduction in net income per common share are included in the calculation. Diluted net loss per share excluded common stock equivalents because the effect of their inclusion would be anti-dilutive or would decrease the reported net loss per share. Therefore 26,668 and 58,651 of dilutive common stock equivalents have been excluded for the three months ended March 31, 2024 and 2023, respectively, as the Company is in a net loss position. See Notes 14 and 18 for all outstanding options and warrants that were not included in the computation of diluted weighted average common shares outstanding, as the exercise price of the options and warrants exceeded the average price of the Company’s common stock during the reporting period, and therefore are anti-dilutive.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Basic and diluted net loss per share is calculated as follows (net loss in thousands):</w:t>
      </w:r>
    </w:p>
    <w:tbl>
      <w:tblPr>
        <w:tblW w:w="6800" w:type="dxa"/>
        <w:jc w:val="left"/>
        <w:tblInd w:w="0" w:type="dxa"/>
        <w:tblLayout w:type="fixed"/>
        <w:tblCellMar>
          <w:top w:w="0" w:type="dxa"/>
          <w:left w:w="0" w:type="dxa"/>
          <w:bottom w:w="0" w:type="dxa"/>
          <w:right w:w="0" w:type="dxa"/>
        </w:tblCellMar>
      </w:tblPr>
      <w:tblGrid>
        <w:gridCol w:w="3616"/>
        <w:gridCol w:w="109"/>
        <w:gridCol w:w="211"/>
        <w:gridCol w:w="1141"/>
        <w:gridCol w:w="326"/>
        <w:gridCol w:w="211"/>
        <w:gridCol w:w="1186"/>
      </w:tblGrid>
      <w:tr>
        <w:trPr/>
        <w:tc>
          <w:tcPr>
            <w:tcW w:w="3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296160" cy="175260"/>
                      <wp:effectExtent l="0" t="0" r="0" b="0"/>
                      <wp:wrapNone/>
                      <wp:docPr id="84" name="Frame84"/>
                      <a:graphic xmlns:a="http://schemas.openxmlformats.org/drawingml/2006/main">
                        <a:graphicData uri="http://schemas.microsoft.com/office/word/2010/wordprocessingShape">
                          <wps:wsp>
                            <wps:cNvSpPr txBox="1"/>
                            <wps:spPr>
                              <a:xfrm>
                                <a:off x="0" y="0"/>
                                <a:ext cx="2296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85"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724535" cy="175260"/>
                      <wp:effectExtent l="0" t="0" r="0" b="0"/>
                      <wp:wrapNone/>
                      <wp:docPr id="87" name="Frame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53110" cy="175260"/>
                      <wp:effectExtent l="0" t="0" r="0" b="0"/>
                      <wp:wrapNone/>
                      <wp:docPr id="90" name="Frame90"/>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30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6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(17,618)</w:t>
            </w:r>
          </w:p>
        </w:tc>
      </w:tr>
      <w:tr>
        <w:trPr/>
        <w:tc>
          <w:tcPr>
            <w:tcW w:w="3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weighted-average shares outstanding</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240,844,334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237,260,681</w:t>
            </w:r>
          </w:p>
        </w:tc>
      </w:tr>
      <w:tr>
        <w:trPr/>
        <w:tc>
          <w:tcPr>
            <w:tcW w:w="3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(0.07)</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2282" w:type="dxa"/>
        <w:jc w:val="left"/>
        <w:tblInd w:w="0" w:type="dxa"/>
        <w:tblLayout w:type="fixed"/>
        <w:tblCellMar>
          <w:top w:w="0" w:type="dxa"/>
          <w:left w:w="0" w:type="dxa"/>
          <w:bottom w:w="0" w:type="dxa"/>
          <w:right w:w="0" w:type="dxa"/>
        </w:tblCellMar>
      </w:tblPr>
      <w:tblGrid>
        <w:gridCol w:w="271"/>
        <w:gridCol w:w="20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20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Marketable Securities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Company’s investments in marketable securities are stated at fair value and are available for sale. All remaining investments in marketable securities matured with no realized gain or loss during May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cost of securities sold is based upon the specific identification method. The Company did not record investment income during the three months ended March 31, 2024, and recorded $0.8 million for the three months ended March 31, 2023, included in “Interest and investment income” in the Consolidated Statements of Operations.</w:t>
      </w:r>
    </w:p>
    <w:tbl>
      <w:tblPr>
        <w:tblW w:w="1742" w:type="dxa"/>
        <w:jc w:val="left"/>
        <w:tblInd w:w="0" w:type="dxa"/>
        <w:tblLayout w:type="fixed"/>
        <w:tblCellMar>
          <w:top w:w="0" w:type="dxa"/>
          <w:left w:w="0" w:type="dxa"/>
          <w:bottom w:w="0" w:type="dxa"/>
          <w:right w:w="0" w:type="dxa"/>
        </w:tblCellMar>
      </w:tblPr>
      <w:tblGrid>
        <w:gridCol w:w="271"/>
        <w:gridCol w:w="147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14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March 31, 2024, non-current restricted cash of $69.9 million consists of amounts held as collateral for letters of credit to provide financing support for the Company’s 2021 Bonds (as defined below).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entered into an irrevocable direct pay letter of credit (the “Bond Letter of Credit”) with Citibank N.A (“Citibank”) in April 2021 to support the 2021 Bonds for the development and construction of NW Iowa RNG. See Note 13, Debt, for additional information on the 2021 Bonds. The Bond Letter of Credit has a 0.5% annual fee and would have expired April 4, 2024 (but was terminated earlier and replaced with the New Bond Letter of Credit on April 1, 2024 as described below). The Company deposited $71.2 million with Citibank as restricted cash to secure any amounts drawn under the Bond Letter of Credit. As of March 31, 2024, no amounts have been drawn under the Bond Letter of Credit.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September 2022, the Company entered into a Pledge and Assignment agreement with Citibank to provide credit support in the form of a letter of credit (the “Power Letter of Credit”) from Citibank to a local electric utility company in order to induce the utility company to design and construct the power transmission and distribution facilities that will serve NZ1. The Company deposited $6.6 million of restricted cash in an account with Citibank to collateralize the Power Letter of Credit, which has a 0.3% annual fee and expires September 30, 2024 (unless terminated earlier). In January 2024, Citibank was notified by the local electric utility company to close the letter of credit, as the Company has discontinued its relationship with the local utility and fulfilled all obligations under the Power Letter of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entitled to receive interest income on the restricted cash, and recorded interest income of $0.9 million and $0.7 million for the three months ended March 31, 2024, and 2023, respectively, included in “Other income, net” in the Consolidated Statements of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April 2024, the Company entered into an irrevocable direct pay letter of credit (the “New Bond Letter of Credit”) with Citibank to support the Remarketed Bonds (as defined below). See Note 13, Debt, for additional information on the Remarketed Bonds. The New Bond Letter of Credit has a 0.75% annual fee and expires April 6, 2026 (unless terminated earlier). The Company maintained $69.6 million of the existing collateral with Citibank as restricted cash to secure any amounts drawn under the New Bond Letter of Credit, with $0.3 million of the balance as of March 31, 2024, returned to the Company in the second quarter of 2024. </w:t>
      </w:r>
    </w:p>
    <w:p>
      <w:pPr>
        <w:pStyle w:val="Normal"/>
        <w:bidi w:val="0"/>
        <w:spacing w:before="0" w:after="0"/>
        <w:jc w:val="left"/>
        <w:rPr>
          <w:sz w:val="4"/>
          <w:szCs w:val="4"/>
        </w:rPr>
      </w:pPr>
      <w:r>
        <w:rPr>
          <w:sz w:val="4"/>
          <w:szCs w:val="4"/>
        </w:rPr>
      </w:r>
      <w:bookmarkStart w:id="647" w:name="Tc_1_G2JlPe2UStx9oIkkGGSA_6_5"/>
      <w:bookmarkStart w:id="648" w:name="Tc_tzver3EW2EGWVH24W1Xawg_6_2"/>
      <w:bookmarkStart w:id="649" w:name="Tc_LWlG-qreWEiXt0LYkQX4CA_6_0"/>
      <w:bookmarkStart w:id="650" w:name="Tc_G86DPBFFkUa4G6ibGEUxzA_5_0"/>
      <w:bookmarkStart w:id="651" w:name="Tc_U4e1WlqhpkGXychyiFLNJg_4_0"/>
      <w:bookmarkStart w:id="652" w:name="Tc_7abERjFrXkaBLHWEcNgRVQ_3_0"/>
      <w:bookmarkStart w:id="653" w:name="Tc_4vbA45BXJkm9Qxt4Mk166Q_2_5"/>
      <w:bookmarkStart w:id="654" w:name="Tc_lVJHfOakMEmOvCV_aSuVDQ_2_2"/>
      <w:bookmarkStart w:id="655" w:name="Tc_X7T6ES3oJkehBgQcfdqFNw_2_0"/>
      <w:bookmarkStart w:id="656" w:name="Tc_wmAsE2db1kSedAgsX1_EIA_1_5"/>
      <w:bookmarkStart w:id="657" w:name="Tc_MZAljVNi1UyF8oSAkqatCA_1_2"/>
      <w:bookmarkStart w:id="658" w:name="_6fb8556f_31c7_4c47_b4ca_86220d3ecdf7"/>
      <w:bookmarkStart w:id="659" w:name="Tc_1_G2JlPe2UStx9oIkkGGSA_6_5"/>
      <w:bookmarkStart w:id="660" w:name="Tc_tzver3EW2EGWVH24W1Xawg_6_2"/>
      <w:bookmarkStart w:id="661" w:name="Tc_LWlG-qreWEiXt0LYkQX4CA_6_0"/>
      <w:bookmarkStart w:id="662" w:name="Tc_G86DPBFFkUa4G6ibGEUxzA_5_0"/>
      <w:bookmarkStart w:id="663" w:name="Tc_U4e1WlqhpkGXychyiFLNJg_4_0"/>
      <w:bookmarkStart w:id="664" w:name="Tc_7abERjFrXkaBLHWEcNgRVQ_3_0"/>
      <w:bookmarkStart w:id="665" w:name="Tc_4vbA45BXJkm9Qxt4Mk166Q_2_5"/>
      <w:bookmarkStart w:id="666" w:name="Tc_lVJHfOakMEmOvCV_aSuVDQ_2_2"/>
      <w:bookmarkStart w:id="667" w:name="Tc_X7T6ES3oJkehBgQcfdqFNw_2_0"/>
      <w:bookmarkStart w:id="668" w:name="Tc_wmAsE2db1kSedAgsX1_EIA_1_5"/>
      <w:bookmarkStart w:id="669" w:name="Tc_MZAljVNi1UyF8oSAkqatCA_1_2"/>
      <w:bookmarkStart w:id="670" w:name="_6fb8556f_31c7_4c47_b4ca_86220d3ecdf7"/>
      <w:bookmarkEnd w:id="659"/>
      <w:bookmarkEnd w:id="660"/>
      <w:bookmarkEnd w:id="661"/>
      <w:bookmarkEnd w:id="662"/>
      <w:bookmarkEnd w:id="663"/>
      <w:bookmarkEnd w:id="664"/>
      <w:bookmarkEnd w:id="665"/>
      <w:bookmarkEnd w:id="666"/>
      <w:bookmarkEnd w:id="667"/>
      <w:bookmarkEnd w:id="668"/>
      <w:bookmarkEnd w:id="669"/>
      <w:bookmarkEnd w:id="670"/>
    </w:p>
    <w:tbl>
      <w:tblPr>
        <w:tblW w:w="3272" w:type="dxa"/>
        <w:jc w:val="left"/>
        <w:tblInd w:w="0" w:type="dxa"/>
        <w:tblLayout w:type="fixed"/>
        <w:tblCellMar>
          <w:top w:w="0" w:type="dxa"/>
          <w:left w:w="0" w:type="dxa"/>
          <w:bottom w:w="0" w:type="dxa"/>
          <w:right w:w="0" w:type="dxa"/>
        </w:tblCellMar>
      </w:tblPr>
      <w:tblGrid>
        <w:gridCol w:w="271"/>
        <w:gridCol w:w="300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300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Prepaid and Other Current Assets</w:t>
            </w:r>
          </w:p>
        </w:tc>
      </w:tr>
    </w:tbl>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prepaid and other current assets (in thousands) as of:</w:t>
      </w:r>
    </w:p>
    <w:tbl>
      <w:tblPr>
        <w:tblW w:w="7173" w:type="dxa"/>
        <w:jc w:val="left"/>
        <w:tblInd w:w="0" w:type="dxa"/>
        <w:tblLayout w:type="fixed"/>
        <w:tblCellMar>
          <w:top w:w="0" w:type="dxa"/>
          <w:left w:w="0" w:type="dxa"/>
          <w:bottom w:w="0" w:type="dxa"/>
          <w:right w:w="0" w:type="dxa"/>
        </w:tblCellMar>
      </w:tblPr>
      <w:tblGrid>
        <w:gridCol w:w="3931"/>
        <w:gridCol w:w="109"/>
        <w:gridCol w:w="340"/>
        <w:gridCol w:w="921"/>
        <w:gridCol w:w="326"/>
        <w:gridCol w:w="363"/>
        <w:gridCol w:w="1183"/>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496185" cy="175260"/>
                      <wp:effectExtent l="0" t="0" r="0" b="0"/>
                      <wp:wrapNone/>
                      <wp:docPr id="91" name="Frame91"/>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5900" cy="175260"/>
                      <wp:effectExtent l="0" t="0" r="0" b="0"/>
                      <wp:wrapNone/>
                      <wp:docPr id="93" name="Frame9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84835" cy="175260"/>
                      <wp:effectExtent l="0" t="0" r="0" b="0"/>
                      <wp:wrapNone/>
                      <wp:docPr id="94" name="Frame94"/>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30505" cy="175260"/>
                      <wp:effectExtent l="0" t="0" r="0" b="0"/>
                      <wp:wrapNone/>
                      <wp:docPr id="96" name="Frame96"/>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751205" cy="175260"/>
                      <wp:effectExtent l="0" t="0" r="0" b="0"/>
                      <wp:wrapNone/>
                      <wp:docPr id="97" name="Frame97"/>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1,826</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109"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1,195</w:t>
            </w:r>
          </w:p>
        </w:tc>
        <w:tc>
          <w:tcPr>
            <w:tcW w:w="32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1,331</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feedstock</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1,290</w:t>
            </w:r>
          </w:p>
        </w:tc>
        <w:tc>
          <w:tcPr>
            <w:tcW w:w="326" w:type="dxa"/>
            <w:tcBorders/>
            <w:vAlign w:val="center"/>
          </w:tcPr>
          <w:p>
            <w:pPr>
              <w:pStyle w:val="TableContents"/>
              <w:bidi w:val="0"/>
              <w:spacing w:before="0" w:after="1"/>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109" w:type="dxa"/>
            <w:tcBorders/>
            <w:shd w:fill="CCEEFF" w:val="clear"/>
            <w:vAlign w:val="center"/>
          </w:tcPr>
          <w:p>
            <w:pPr>
              <w:pStyle w:val="TableContents"/>
              <w:bidi w:val="0"/>
              <w:spacing w:before="0" w:after="1"/>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5,408</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4,353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4652" w:type="dxa"/>
        <w:jc w:val="left"/>
        <w:tblInd w:w="0" w:type="dxa"/>
        <w:tblLayout w:type="fixed"/>
        <w:tblCellMar>
          <w:top w:w="0" w:type="dxa"/>
          <w:left w:w="0" w:type="dxa"/>
          <w:bottom w:w="0" w:type="dxa"/>
          <w:right w:w="0" w:type="dxa"/>
        </w:tblCellMar>
      </w:tblPr>
      <w:tblGrid>
        <w:gridCol w:w="271"/>
        <w:gridCol w:w="438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43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Leases, Right-of-Use Assets and Related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is party to an operating lease contract for the Company’s office and research facility in Englewood, Colorado, which expires in January 2029, and two operating lease contracts for additional office space in Albuquerque, New Mexico, and San Diego, California, which expire in 2025. These leases contain options to extend the leases, which management does not reasonably expect to exercise, so they are not included in the length of the terms.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four finance leases for land under arrangements related to NW Iowa RNG. Under these contracts, the Company leases land from dairy farmers on which it has built three anaerobic digesters, and a gas upgrade facility with related equipment and pipelines to condition raw biogas from cow manure provided by the farmers. These leases expire at various dates between 2031 and 2050</w:t>
      </w:r>
      <w:r>
        <w:rPr>
          <w:rFonts w:ascii="Times New Roman;Times;serif" w:hAnsi="Times New Roman;Times;serif"/>
          <w:i/>
          <w:sz w:val="20"/>
        </w:rPr>
        <w:t>.</w:t>
      </w:r>
      <w:r>
        <w:rPr>
          <w:rFonts w:ascii="Times New Roman;Times;serif" w:hAnsi="Times New Roman;Times;serif"/>
          <w:sz w:val="20"/>
        </w:rPr>
        <w:t xml:space="preserve"> The Company accounts for lease components separately from non-lease components for the Company’s dairy lease asset class. The total consideration in the lease agreement is allocated to the lease and non-lease components based on their relative standalone selling prices.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671" w:name="Tc_U5ELRtwah0uAYjEQDzalIg_12_5"/>
      <w:bookmarkStart w:id="672" w:name="Tc_XlSaRc_fvEWPbyL9xFynrA_12_2"/>
      <w:bookmarkStart w:id="673" w:name="Tc_cMtFJs_460ynogUNN_uJZw_12_0"/>
      <w:bookmarkStart w:id="674" w:name="Tc_Gc2QL03itUquLM7O762b1Q_11_0"/>
      <w:bookmarkStart w:id="675" w:name="Tc_SrPiYxfh20CcoWpPrXHr7g_10_0"/>
      <w:bookmarkStart w:id="676" w:name="Tc_L5dnFFB3yEKB-hWiPdbKSQ_9_0"/>
      <w:bookmarkStart w:id="677" w:name="Tc_APLlv9nvYUOr-kgcSunZWw_8_0"/>
      <w:bookmarkStart w:id="678" w:name="Tc_rYjftqLDDUSMlOj78K440g_7_3"/>
      <w:bookmarkStart w:id="679" w:name="Tc_9yFiRPW2C0WQ272dLXJWMQ_7_0"/>
      <w:bookmarkStart w:id="680" w:name="Tc_FofJWcz6b0iwVllRdfRCdQ_6_0"/>
      <w:bookmarkStart w:id="681" w:name="Tc_xEkCyfcBV0G0P1n3Peq-Pg_5_0"/>
      <w:bookmarkStart w:id="682" w:name="Tc_mzcGpGOiBUu19mhBWsoV9A_4_0"/>
      <w:bookmarkStart w:id="683" w:name="Tc_pW-zAlznMU6mlk8xklZ_Xw_3_0"/>
      <w:bookmarkStart w:id="684" w:name="Tc_Jkw69ncuZ0em6vkm5FnYbw_2_5"/>
      <w:bookmarkStart w:id="685" w:name="Tc_J_63dWiyv0KNsdcxF6K4iw_2_2"/>
      <w:bookmarkStart w:id="686" w:name="Tc_uDCKiJjC40-W8p8GjcIgJA_2_0"/>
      <w:bookmarkStart w:id="687" w:name="Tc__9om6T8lpkmWL8J5LXqZ1Q_1_5"/>
      <w:bookmarkStart w:id="688" w:name="Tc_YKg7vCVTFk2L_uFsCjFELw_1_2"/>
      <w:bookmarkStart w:id="689" w:name="Tc_RAflqVpNpU6e5JExRRjSyg_1_0"/>
      <w:bookmarkStart w:id="690" w:name="Tc_JL7Ml0FLs0S1of44fjRNFA_12_7"/>
      <w:bookmarkStart w:id="691" w:name="Tc_FvSC2NB4bEKRycZf1iGuEw_12_4"/>
      <w:bookmarkStart w:id="692" w:name="Tc_FDu_b1R9t0yT2d_cSUyDlQ_12_0"/>
      <w:bookmarkStart w:id="693" w:name="Tc_42XcjJoNcEK8w6V7MDppRA_11_7"/>
      <w:bookmarkStart w:id="694" w:name="Tc_1GSog5d_60yvy9mBb8tzNQ_11_4"/>
      <w:bookmarkStart w:id="695" w:name="Tc_Id13S145Gkay3H3fQWfMWw_11_0"/>
      <w:bookmarkStart w:id="696" w:name="Tc_KnPA8-6iIk60jMdfShhocw_10_0"/>
      <w:bookmarkStart w:id="697" w:name="Tc_0KYIybM-mEOa0hZ-UFMYcQ_9_0"/>
      <w:bookmarkStart w:id="698" w:name="Tc_ZSFm1HThMkixP7WKJK_aRw_8_5"/>
      <w:bookmarkStart w:id="699" w:name="Tc_q2P3I7giQ02SvYwPkL_gPg_8_2"/>
      <w:bookmarkStart w:id="700" w:name="Tc_LbjTFej1iEu0LJG5bkPM9A_8_0"/>
      <w:bookmarkStart w:id="701" w:name="Tc_ovScA4GqgU-75LJrT9-Cng_7_5"/>
      <w:bookmarkStart w:id="702" w:name="Tc_X0DKqjYAWEaANOWvviNO4A_7_2"/>
      <w:bookmarkStart w:id="703" w:name="Tc_3PufLw0BkEiChf94sfZqpw_7_0"/>
      <w:bookmarkStart w:id="704" w:name="Tc_9spsCLNg5UmBRIo-MUjzsA_6_5"/>
      <w:bookmarkStart w:id="705" w:name="Tc_6kC__vgD70S_TxsR_szdtw_6_2"/>
      <w:bookmarkStart w:id="706" w:name="Tc_FmujjPKaeEGB6evKL7lldw_6_0"/>
      <w:bookmarkStart w:id="707" w:name="Tc_QwUJ_r7eYUe66fGC8hrAQw_5_5"/>
      <w:bookmarkStart w:id="708" w:name="Tc_ivdZbXtqDUegN1-qBCUn6g_5_2"/>
      <w:bookmarkStart w:id="709" w:name="Tc_QkUMfspy_EC0mzSV9uooQg_5_0"/>
      <w:bookmarkStart w:id="710" w:name="Tc_aZOv8d9d-0eKCKhEOxz65w_4_0"/>
      <w:bookmarkStart w:id="711" w:name="Tc_pMRjwzus6kO9zMjUVS_3Uw_3_0"/>
      <w:bookmarkStart w:id="712" w:name="Tc_-tvGQF8JAUK2OCx_dyLzPQ_2_5"/>
      <w:bookmarkStart w:id="713" w:name="Tc_S6dEGHSv3U6Z1c7QbHkt4g_2_2"/>
      <w:bookmarkStart w:id="714" w:name="Tc_fkBy6p70NkqqIOlw9sE_UQ_1_2"/>
      <w:bookmarkStart w:id="715" w:name="_fafa6307_760a_4868_a239_e430cb9c5c58"/>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Pr>
          <w:rFonts w:ascii="Times New Roman;Times;serif" w:hAnsi="Times New Roman;Times;serif"/>
          <w:sz w:val="20"/>
        </w:rPr>
        <w:t>The following tables present the (i) other quantitative information and (ii) future minimum payments under non-cancelable financing and operating leases as they relate to the Company’s leases (in thousands, except for weighted averages):</w:t>
      </w:r>
    </w:p>
    <w:tbl>
      <w:tblPr>
        <w:tblW w:w="9206" w:type="dxa"/>
        <w:jc w:val="left"/>
        <w:tblInd w:w="0" w:type="dxa"/>
        <w:tblLayout w:type="fixed"/>
        <w:tblCellMar>
          <w:top w:w="0" w:type="dxa"/>
          <w:left w:w="0" w:type="dxa"/>
          <w:bottom w:w="0" w:type="dxa"/>
          <w:right w:w="0" w:type="dxa"/>
        </w:tblCellMar>
      </w:tblPr>
      <w:tblGrid>
        <w:gridCol w:w="6121"/>
        <w:gridCol w:w="326"/>
        <w:gridCol w:w="317"/>
        <w:gridCol w:w="633"/>
        <w:gridCol w:w="543"/>
        <w:gridCol w:w="317"/>
        <w:gridCol w:w="633"/>
        <w:gridCol w:w="316"/>
      </w:tblGrid>
      <w:tr>
        <w:trPr/>
        <w:tc>
          <w:tcPr>
            <w:tcW w:w="6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3886835" cy="175260"/>
                      <wp:effectExtent l="0" t="0" r="0" b="0"/>
                      <wp:wrapNone/>
                      <wp:docPr id="98" name="Frame98"/>
                      <a:graphic xmlns:a="http://schemas.openxmlformats.org/drawingml/2006/main">
                        <a:graphicData uri="http://schemas.microsoft.com/office/word/2010/wordprocessingShape">
                          <wps:wsp>
                            <wps:cNvSpPr txBox="1"/>
                            <wps:spPr>
                              <a:xfrm>
                                <a:off x="0" y="0"/>
                                <a:ext cx="3886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1295" cy="175260"/>
                      <wp:effectExtent l="0" t="0" r="0" b="0"/>
                      <wp:wrapNone/>
                      <wp:docPr id="100" name="Frame100"/>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01955" cy="175260"/>
                      <wp:effectExtent l="0" t="0" r="0" b="0"/>
                      <wp:wrapNone/>
                      <wp:docPr id="101" name="Frame101"/>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44805" cy="175260"/>
                      <wp:effectExtent l="0" t="0" r="0" b="0"/>
                      <wp:wrapNone/>
                      <wp:docPr id="102" name="Frame102"/>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1295" cy="175260"/>
                      <wp:effectExtent l="0" t="0" r="0" b="0"/>
                      <wp:wrapNone/>
                      <wp:docPr id="103" name="Frame103"/>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01955" cy="175260"/>
                      <wp:effectExtent l="0" t="0" r="0" b="0"/>
                      <wp:wrapNone/>
                      <wp:docPr id="104" name="Frame104"/>
                      <a:graphic xmlns:a="http://schemas.openxmlformats.org/drawingml/2006/main">
                        <a:graphicData uri="http://schemas.microsoft.com/office/word/2010/wordprocessingShape">
                          <wps:wsp>
                            <wps:cNvSpPr txBox="1"/>
                            <wps:spPr>
                              <a:xfrm>
                                <a:off x="0" y="0"/>
                                <a:ext cx="401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0660" cy="175260"/>
                      <wp:effectExtent l="0" t="0" r="0" b="0"/>
                      <wp:wrapNone/>
                      <wp:docPr id="105" name="Frame10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4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43" w:type="dxa"/>
            <w:tcBorders/>
            <w:vAlign w:val="center"/>
          </w:tcPr>
          <w:p>
            <w:pPr>
              <w:pStyle w:val="TableContents"/>
              <w:bidi w:val="0"/>
              <w:spacing w:before="0" w:after="1"/>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326" w:type="dxa"/>
            <w:tcBorders/>
            <w:shd w:fill="CCEEFF" w:val="clear"/>
            <w:vAlign w:val="center"/>
          </w:tcPr>
          <w:p>
            <w:pPr>
              <w:pStyle w:val="TableContents"/>
              <w:bidi w:val="0"/>
              <w:spacing w:before="0" w:after="1"/>
              <w:ind w:left="0" w:right="0" w:hanging="0"/>
              <w:jc w:val="left"/>
              <w:rPr/>
            </w:pPr>
            <w:r>
              <w:rPr/>
              <w:t> </w:t>
            </w:r>
          </w:p>
        </w:tc>
        <w:tc>
          <w:tcPr>
            <w:tcW w:w="317"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right"/>
              <w:rPr/>
            </w:pPr>
            <w:r>
              <w:rPr/>
              <w:t>  </w:t>
            </w:r>
          </w:p>
        </w:tc>
        <w:tc>
          <w:tcPr>
            <w:tcW w:w="543" w:type="dxa"/>
            <w:tcBorders/>
            <w:shd w:fill="CCEEFF" w:val="clear"/>
            <w:vAlign w:val="center"/>
          </w:tcPr>
          <w:p>
            <w:pPr>
              <w:pStyle w:val="TableContents"/>
              <w:bidi w:val="0"/>
              <w:spacing w:before="0" w:after="1"/>
              <w:ind w:left="0" w:right="0" w:hanging="0"/>
              <w:jc w:val="left"/>
              <w:rPr/>
            </w:pPr>
            <w:r>
              <w:rPr/>
              <w:t> </w:t>
            </w:r>
          </w:p>
        </w:tc>
        <w:tc>
          <w:tcPr>
            <w:tcW w:w="317" w:type="dxa"/>
            <w:tcBorders/>
            <w:shd w:fill="CCEEFF" w:val="clear"/>
            <w:vAlign w:val="center"/>
          </w:tcPr>
          <w:p>
            <w:pPr>
              <w:pStyle w:val="TableContents"/>
              <w:bidi w:val="0"/>
              <w:spacing w:before="0" w:after="1"/>
              <w:ind w:left="0" w:right="0" w:hanging="0"/>
              <w:jc w:val="left"/>
              <w:rPr/>
            </w:pPr>
            <w:r>
              <w:rPr/>
              <w:t>​</w:t>
            </w:r>
          </w:p>
        </w:tc>
        <w:tc>
          <w:tcPr>
            <w:tcW w:w="633"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vAlign w:val="center"/>
          </w:tcPr>
          <w:p>
            <w:pPr>
              <w:pStyle w:val="TableContents"/>
              <w:bidi w:val="0"/>
              <w:spacing w:before="0" w:after="1"/>
              <w:ind w:left="0" w:right="0" w:hanging="0"/>
              <w:jc w:val="left"/>
              <w:rPr/>
            </w:pPr>
            <w:r>
              <w:rPr/>
              <w:t> </w:t>
            </w:r>
          </w:p>
        </w:tc>
        <w:tc>
          <w:tcPr>
            <w:tcW w:w="317"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right"/>
              <w:rPr/>
            </w:pPr>
            <w:r>
              <w:rPr/>
              <w:t>  </w:t>
            </w:r>
          </w:p>
        </w:tc>
        <w:tc>
          <w:tcPr>
            <w:tcW w:w="543" w:type="dxa"/>
            <w:tcBorders/>
            <w:vAlign w:val="center"/>
          </w:tcPr>
          <w:p>
            <w:pPr>
              <w:pStyle w:val="TableContents"/>
              <w:bidi w:val="0"/>
              <w:spacing w:before="0" w:after="1"/>
              <w:ind w:left="0" w:right="0" w:hanging="0"/>
              <w:jc w:val="left"/>
              <w:rPr/>
            </w:pPr>
            <w:r>
              <w:rPr/>
              <w:t> </w:t>
            </w:r>
          </w:p>
        </w:tc>
        <w:tc>
          <w:tcPr>
            <w:tcW w:w="317" w:type="dxa"/>
            <w:tcBorders/>
            <w:vAlign w:val="center"/>
          </w:tcPr>
          <w:p>
            <w:pPr>
              <w:pStyle w:val="TableContents"/>
              <w:bidi w:val="0"/>
              <w:spacing w:before="0" w:after="1"/>
              <w:ind w:left="0" w:right="0" w:hanging="0"/>
              <w:jc w:val="left"/>
              <w:rPr/>
            </w:pPr>
            <w:r>
              <w:rPr/>
              <w:t>​</w:t>
            </w:r>
          </w:p>
        </w:tc>
        <w:tc>
          <w:tcPr>
            <w:tcW w:w="633"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543"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543"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cash flows from finance leases</w:t>
            </w:r>
          </w:p>
        </w:tc>
        <w:tc>
          <w:tcPr>
            <w:tcW w:w="326"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543"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 obtained in exchange for new operating lease liabilities</w:t>
            </w:r>
          </w:p>
        </w:tc>
        <w:tc>
          <w:tcPr>
            <w:tcW w:w="32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543"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finance lease (months)</w:t>
            </w:r>
          </w:p>
        </w:tc>
        <w:tc>
          <w:tcPr>
            <w:tcW w:w="326"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w:t>
            </w:r>
          </w:p>
        </w:tc>
        <w:tc>
          <w:tcPr>
            <w:tcW w:w="543"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6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 operating leases (months)</w:t>
            </w:r>
          </w:p>
        </w:tc>
        <w:tc>
          <w:tcPr>
            <w:tcW w:w="32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543"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16" w:type="dxa"/>
            <w:tcBorders/>
            <w:vAlign w:val="center"/>
          </w:tcPr>
          <w:p>
            <w:pPr>
              <w:pStyle w:val="TableContents"/>
              <w:bidi w:val="0"/>
              <w:spacing w:before="0" w:after="1"/>
              <w:ind w:left="0" w:right="0" w:hanging="0"/>
              <w:jc w:val="left"/>
              <w:rPr/>
            </w:pPr>
            <w:r>
              <w:rPr/>
              <w:t>​</w:t>
            </w:r>
          </w:p>
        </w:tc>
      </w:tr>
      <w:tr>
        <w:trPr/>
        <w:tc>
          <w:tcPr>
            <w:tcW w:w="612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finance leases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17"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5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17" w:type="dxa"/>
            <w:tcBorders/>
            <w:shd w:fill="CCEEFF" w:val="clear"/>
            <w:vAlign w:val="center"/>
          </w:tcPr>
          <w:p>
            <w:pPr>
              <w:pStyle w:val="TableContents"/>
              <w:bidi w:val="0"/>
              <w:spacing w:before="0" w:after="1"/>
              <w:ind w:left="0" w:right="0" w:hanging="0"/>
              <w:jc w:val="left"/>
              <w:rPr/>
            </w:pPr>
            <w:r>
              <w:rPr/>
              <w:t> </w:t>
            </w:r>
          </w:p>
        </w:tc>
        <w:tc>
          <w:tcPr>
            <w:tcW w:w="6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12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Weighted-average discount rate - operating leases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317"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5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17" w:type="dxa"/>
            <w:tcBorders/>
            <w:vAlign w:val="center"/>
          </w:tcPr>
          <w:p>
            <w:pPr>
              <w:pStyle w:val="TableContents"/>
              <w:bidi w:val="0"/>
              <w:spacing w:before="0" w:after="1"/>
              <w:ind w:left="0" w:right="0" w:hanging="0"/>
              <w:jc w:val="left"/>
              <w:rPr/>
            </w:pPr>
            <w:r>
              <w:rPr/>
              <w:t> </w:t>
            </w:r>
          </w:p>
        </w:tc>
        <w:tc>
          <w:tcPr>
            <w:tcW w:w="6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leases do not provide an implicit interest rate, and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7523" w:type="dxa"/>
        <w:jc w:val="left"/>
        <w:tblInd w:w="0" w:type="dxa"/>
        <w:tblLayout w:type="fixed"/>
        <w:tblCellMar>
          <w:top w:w="0" w:type="dxa"/>
          <w:left w:w="0" w:type="dxa"/>
          <w:bottom w:w="0" w:type="dxa"/>
          <w:right w:w="0" w:type="dxa"/>
        </w:tblCellMar>
      </w:tblPr>
      <w:tblGrid>
        <w:gridCol w:w="4276"/>
        <w:gridCol w:w="326"/>
        <w:gridCol w:w="367"/>
        <w:gridCol w:w="998"/>
        <w:gridCol w:w="326"/>
        <w:gridCol w:w="347"/>
        <w:gridCol w:w="883"/>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715260" cy="175260"/>
                      <wp:effectExtent l="0" t="0" r="0" b="0"/>
                      <wp:wrapNone/>
                      <wp:docPr id="106" name="Frame106"/>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33045" cy="175260"/>
                      <wp:effectExtent l="0" t="0" r="0" b="0"/>
                      <wp:wrapNone/>
                      <wp:docPr id="108" name="Frame10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33730" cy="175260"/>
                      <wp:effectExtent l="0" t="0" r="0" b="0"/>
                      <wp:wrapNone/>
                      <wp:docPr id="109" name="Frame109"/>
                      <a:graphic xmlns:a="http://schemas.openxmlformats.org/drawingml/2006/main">
                        <a:graphicData uri="http://schemas.microsoft.com/office/word/2010/wordprocessingShape">
                          <wps:wsp>
                            <wps:cNvSpPr txBox="1"/>
                            <wps:spPr>
                              <a:xfrm>
                                <a:off x="0" y="0"/>
                                <a:ext cx="633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20345" cy="175260"/>
                      <wp:effectExtent l="0" t="0" r="0" b="0"/>
                      <wp:wrapNone/>
                      <wp:docPr id="111" name="Frame111"/>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560705" cy="175260"/>
                      <wp:effectExtent l="0" t="0" r="0" b="0"/>
                      <wp:wrapNone/>
                      <wp:docPr id="112" name="Frame112"/>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0"/>
              <w:ind w:left="0" w:right="0" w:hanging="0"/>
              <w:jc w:val="center"/>
              <w:rPr/>
            </w:pPr>
            <w:r>
              <w:rPr/>
              <w:t>    </w:t>
            </w:r>
          </w:p>
        </w:tc>
        <w:tc>
          <w:tcPr>
            <w:tcW w:w="13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 Leases</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9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 </w:t>
            </w:r>
          </w:p>
        </w:tc>
        <w:tc>
          <w:tcPr>
            <w:tcW w:w="8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representing present value discounts</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 </w:t>
            </w:r>
          </w:p>
        </w:tc>
        <w:tc>
          <w:tcPr>
            <w:tcW w:w="9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vAlign w:val="center"/>
          </w:tcPr>
          <w:p>
            <w:pPr>
              <w:pStyle w:val="TableContents"/>
              <w:bidi w:val="0"/>
              <w:spacing w:before="0" w:after="0"/>
              <w:ind w:left="0" w:right="0" w:hanging="0"/>
              <w:jc w:val="left"/>
              <w:rPr/>
            </w:pPr>
            <w:r>
              <w:rPr/>
              <w:t>​</w:t>
            </w:r>
          </w:p>
        </w:tc>
        <w:tc>
          <w:tcPr>
            <w:tcW w:w="3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716" w:name="Tc_nY5McxzBY06SDgAqmwumPg_8_5"/>
      <w:bookmarkStart w:id="717" w:name="Tc_6t_s7JzjOUGZ_L_OA-j67w_8_2"/>
      <w:bookmarkStart w:id="718" w:name="Tc_Udxw_EVKGkudi1tQm-gt8w_8_0"/>
      <w:bookmarkStart w:id="719" w:name="Tc_ljFpFzATsE6y39SzYlFrPg_7_0"/>
      <w:bookmarkStart w:id="720" w:name="Tc_QXw7qDEuGEmjw5mKEhzjjw_6_0"/>
      <w:bookmarkStart w:id="721" w:name="Tc_aqqKkjz1yE-MXdZgoPGeBQ_5_0"/>
      <w:bookmarkStart w:id="722" w:name="Tc_Rxe9sh_bCkCHLLF_lMa5Eg_4_0"/>
      <w:bookmarkStart w:id="723" w:name="Tc_M9GuYqf5fUyOurItwGHx1g_3_0"/>
      <w:bookmarkStart w:id="724" w:name="Tc_dGNfUP1y8Ea0ZjLZSz33uQ_2_5"/>
      <w:bookmarkStart w:id="725" w:name="Tc_n3wrwkbiHUKcnanndaKBuA_2_2"/>
      <w:bookmarkStart w:id="726" w:name="Tc_EZZxFGmjxk-6fNHdst1XbQ_2_0"/>
      <w:bookmarkStart w:id="727" w:name="Tc_OgDbhQRjbUeKyO62vVsMJg_1_5"/>
      <w:bookmarkStart w:id="728" w:name="Tc_CBUZmPTD5U-4GOnObTe2gw_1_2"/>
      <w:bookmarkStart w:id="729" w:name="_2e0ed70a_f699_48c0_9530_ab44c79c5143"/>
      <w:bookmarkStart w:id="730" w:name="Tc_nY5McxzBY06SDgAqmwumPg_8_5"/>
      <w:bookmarkStart w:id="731" w:name="Tc_6t_s7JzjOUGZ_L_OA-j67w_8_2"/>
      <w:bookmarkStart w:id="732" w:name="Tc_Udxw_EVKGkudi1tQm-gt8w_8_0"/>
      <w:bookmarkStart w:id="733" w:name="Tc_ljFpFzATsE6y39SzYlFrPg_7_0"/>
      <w:bookmarkStart w:id="734" w:name="Tc_QXw7qDEuGEmjw5mKEhzjjw_6_0"/>
      <w:bookmarkStart w:id="735" w:name="Tc_aqqKkjz1yE-MXdZgoPGeBQ_5_0"/>
      <w:bookmarkStart w:id="736" w:name="Tc_Rxe9sh_bCkCHLLF_lMa5Eg_4_0"/>
      <w:bookmarkStart w:id="737" w:name="Tc_M9GuYqf5fUyOurItwGHx1g_3_0"/>
      <w:bookmarkStart w:id="738" w:name="Tc_dGNfUP1y8Ea0ZjLZSz33uQ_2_5"/>
      <w:bookmarkStart w:id="739" w:name="Tc_n3wrwkbiHUKcnanndaKBuA_2_2"/>
      <w:bookmarkStart w:id="740" w:name="Tc_EZZxFGmjxk-6fNHdst1XbQ_2_0"/>
      <w:bookmarkStart w:id="741" w:name="Tc_OgDbhQRjbUeKyO62vVsMJg_1_5"/>
      <w:bookmarkStart w:id="742" w:name="Tc_CBUZmPTD5U-4GOnObTe2gw_1_2"/>
      <w:bookmarkStart w:id="743" w:name="_2e0ed70a_f699_48c0_9530_ab44c79c5143"/>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tbl>
      <w:tblPr>
        <w:tblW w:w="1382" w:type="dxa"/>
        <w:jc w:val="left"/>
        <w:tblInd w:w="0" w:type="dxa"/>
        <w:tblLayout w:type="fixed"/>
        <w:tblCellMar>
          <w:top w:w="0" w:type="dxa"/>
          <w:left w:w="0" w:type="dxa"/>
          <w:bottom w:w="0" w:type="dxa"/>
          <w:right w:w="0" w:type="dxa"/>
        </w:tblCellMar>
      </w:tblPr>
      <w:tblGrid>
        <w:gridCol w:w="271"/>
        <w:gridCol w:w="111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11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inventory balances (in thousands) as of:</w:t>
      </w:r>
    </w:p>
    <w:tbl>
      <w:tblPr>
        <w:tblW w:w="6295" w:type="dxa"/>
        <w:jc w:val="left"/>
        <w:tblInd w:w="0" w:type="dxa"/>
        <w:tblLayout w:type="fixed"/>
        <w:tblCellMar>
          <w:top w:w="0" w:type="dxa"/>
          <w:left w:w="0" w:type="dxa"/>
          <w:bottom w:w="0" w:type="dxa"/>
          <w:right w:w="0" w:type="dxa"/>
        </w:tblCellMar>
      </w:tblPr>
      <w:tblGrid>
        <w:gridCol w:w="3016"/>
        <w:gridCol w:w="146"/>
        <w:gridCol w:w="340"/>
        <w:gridCol w:w="921"/>
        <w:gridCol w:w="326"/>
        <w:gridCol w:w="363"/>
        <w:gridCol w:w="1183"/>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915160" cy="175260"/>
                      <wp:effectExtent l="0" t="0" r="0" b="0"/>
                      <wp:wrapNone/>
                      <wp:docPr id="113" name="Frame113"/>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92710" cy="175260"/>
                      <wp:effectExtent l="0" t="0" r="0" b="0"/>
                      <wp:wrapNone/>
                      <wp:docPr id="114" name="Frame11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5900" cy="175260"/>
                      <wp:effectExtent l="0" t="0" r="0" b="0"/>
                      <wp:wrapNone/>
                      <wp:docPr id="115" name="Frame115"/>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84835" cy="175260"/>
                      <wp:effectExtent l="0" t="0" r="0" b="0"/>
                      <wp:wrapNone/>
                      <wp:docPr id="116" name="Frame116"/>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30505" cy="175260"/>
                      <wp:effectExtent l="0" t="0" r="0" b="0"/>
                      <wp:wrapNone/>
                      <wp:docPr id="118" name="Frame118"/>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51205" cy="175260"/>
                      <wp:effectExtent l="0" t="0" r="0" b="0"/>
                      <wp:wrapNone/>
                      <wp:docPr id="119" name="Frame119"/>
                      <a:graphic xmlns:a="http://schemas.openxmlformats.org/drawingml/2006/main">
                        <a:graphicData uri="http://schemas.microsoft.com/office/word/2010/wordprocessingShape">
                          <wps:wsp>
                            <wps:cNvSpPr txBox="1"/>
                            <wps:spPr>
                              <a:xfrm>
                                <a:off x="0" y="0"/>
                                <a:ext cx="751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146" w:type="dxa"/>
            <w:tcBorders/>
            <w:shd w:fill="CCEEFF" w:val="clear"/>
            <w:vAlign w:val="center"/>
          </w:tcPr>
          <w:p>
            <w:pPr>
              <w:pStyle w:val="TableContents"/>
              <w:bidi w:val="0"/>
              <w:spacing w:before="0" w:after="1"/>
              <w:ind w:left="0" w:right="0" w:hanging="0"/>
              <w:jc w:val="left"/>
              <w:rPr/>
            </w:pPr>
            <w:r>
              <w:rPr/>
              <w:t> </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1"/>
              <w:ind w:left="0" w:right="0" w:hanging="0"/>
              <w:jc w:val="left"/>
              <w:rPr/>
            </w:pPr>
            <w:r>
              <w:rPr/>
              <w:t> </w:t>
            </w:r>
          </w:p>
        </w:tc>
        <w:tc>
          <w:tcPr>
            <w:tcW w:w="3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14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pPr>
            <w:r>
              <w:rPr/>
              <w:t>  </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SAF, Isooctane, Isooctene and other</w:t>
            </w:r>
          </w:p>
        </w:tc>
        <w:tc>
          <w:tcPr>
            <w:tcW w:w="1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 </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14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92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63" w:type="dxa"/>
            <w:tcBorders/>
            <w:vAlign w:val="center"/>
          </w:tcPr>
          <w:p>
            <w:pPr>
              <w:pStyle w:val="TableContents"/>
              <w:bidi w:val="0"/>
              <w:spacing w:before="0" w:after="1"/>
              <w:ind w:left="0" w:right="0" w:hanging="0"/>
              <w:jc w:val="left"/>
              <w:rPr/>
            </w:pPr>
            <w:r>
              <w:rPr/>
              <w:t> </w:t>
            </w:r>
          </w:p>
        </w:tc>
        <w:tc>
          <w:tcPr>
            <w:tcW w:w="1183" w:type="dxa"/>
            <w:tcBorders/>
            <w:vAlign w:val="center"/>
          </w:tcPr>
          <w:p>
            <w:pPr>
              <w:pStyle w:val="TableContents"/>
              <w:bidi w:val="0"/>
              <w:spacing w:before="0" w:after="1"/>
              <w:ind w:left="0" w:right="0" w:hanging="0"/>
              <w:jc w:val="right"/>
              <w:rPr/>
            </w:pPr>
            <w:r>
              <w:rPr/>
              <w:t>  </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w:t>
            </w:r>
          </w:p>
        </w:tc>
        <w:tc>
          <w:tcPr>
            <w:tcW w:w="14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9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shd w:fill="CCEEFF" w:val="clear"/>
            <w:vAlign w:val="center"/>
          </w:tcPr>
          <w:p>
            <w:pPr>
              <w:pStyle w:val="TableContents"/>
              <w:bidi w:val="0"/>
              <w:spacing w:before="0" w:after="1"/>
              <w:ind w:left="0" w:right="0" w:hanging="0"/>
              <w:jc w:val="left"/>
              <w:rPr/>
            </w:pPr>
            <w:r>
              <w:rPr/>
              <w:t>​</w:t>
            </w:r>
          </w:p>
        </w:tc>
        <w:tc>
          <w:tcPr>
            <w:tcW w:w="11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2,067</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Spare parts</w:t>
            </w:r>
          </w:p>
        </w:tc>
        <w:tc>
          <w:tcPr>
            <w:tcW w:w="146"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vAlign w:val="center"/>
          </w:tcPr>
          <w:p>
            <w:pPr>
              <w:pStyle w:val="TableContents"/>
              <w:bidi w:val="0"/>
              <w:spacing w:before="0" w:after="1"/>
              <w:ind w:left="0" w:right="0" w:hanging="0"/>
              <w:jc w:val="left"/>
              <w:rPr/>
            </w:pPr>
            <w:r>
              <w:rPr/>
              <w:t>​</w:t>
            </w:r>
          </w:p>
        </w:tc>
        <w:tc>
          <w:tcPr>
            <w:tcW w:w="36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8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146" w:type="dxa"/>
            <w:tcBorders/>
            <w:shd w:fill="CCEEFF" w:val="clear"/>
            <w:vAlign w:val="center"/>
          </w:tcPr>
          <w:p>
            <w:pPr>
              <w:pStyle w:val="TableContents"/>
              <w:bidi w:val="0"/>
              <w:spacing w:before="0" w:after="1"/>
              <w:ind w:left="0" w:right="0" w:hanging="0"/>
              <w:jc w:val="left"/>
              <w:rPr/>
            </w:pPr>
            <w:r>
              <w:rPr/>
              <w:t>​</w:t>
            </w:r>
          </w:p>
        </w:tc>
        <w:tc>
          <w:tcPr>
            <w:tcW w:w="34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3,762</w:t>
            </w:r>
          </w:p>
        </w:tc>
        <w:tc>
          <w:tcPr>
            <w:tcW w:w="326" w:type="dxa"/>
            <w:tcBorders/>
            <w:shd w:fill="CCEEFF" w:val="clear"/>
            <w:vAlign w:val="center"/>
          </w:tcPr>
          <w:p>
            <w:pPr>
              <w:pStyle w:val="TableContents"/>
              <w:bidi w:val="0"/>
              <w:spacing w:before="0" w:after="1"/>
              <w:ind w:left="0" w:right="0" w:hanging="0"/>
              <w:jc w:val="left"/>
              <w:rPr/>
            </w:pPr>
            <w:r>
              <w:rPr/>
              <w:t>​</w:t>
            </w:r>
          </w:p>
        </w:tc>
        <w:tc>
          <w:tcPr>
            <w:tcW w:w="36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83"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3,809</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During each of the three months ended March 31, 2024 and 2023, the Company recorded net realizable value adjustments of $0.3 million.</w:t>
      </w:r>
    </w:p>
    <w:p>
      <w:pPr>
        <w:pStyle w:val="Normal"/>
        <w:bidi w:val="0"/>
        <w:spacing w:before="0" w:after="0"/>
        <w:jc w:val="left"/>
        <w:rPr>
          <w:sz w:val="4"/>
          <w:szCs w:val="4"/>
        </w:rPr>
      </w:pPr>
      <w:r>
        <w:rPr>
          <w:sz w:val="4"/>
          <w:szCs w:val="4"/>
        </w:rPr>
      </w:r>
      <w:bookmarkStart w:id="744" w:name="Tc_sDGClQOOpkSRImkcMx8NiA_10_5"/>
      <w:bookmarkStart w:id="745" w:name="Tc_4jKrTvPUG0eYcTQAIJXGvA_10_2"/>
      <w:bookmarkStart w:id="746" w:name="Tc_JYgo4Kkal0OBf8SzpVdnyw_10_0"/>
      <w:bookmarkStart w:id="747" w:name="Tc_9CfbwmMTO0CkuEtGCftP1g_9_0"/>
      <w:bookmarkStart w:id="748" w:name="Tc_Oz5wWi5GQUiYoR9QSS9d6w_8_0"/>
      <w:bookmarkStart w:id="749" w:name="Tc_IlBzGZJp7EitLFWTR8cvcw_7_0"/>
      <w:bookmarkStart w:id="750" w:name="Tc_eVQht5oXT0ChP4IgO_TFMQ_6_0"/>
      <w:bookmarkStart w:id="751" w:name="Tc_NB78DQ1nJkGBzloYyEWCqQ_5_0"/>
      <w:bookmarkStart w:id="752" w:name="Tc_5c5KqznsSk6n3Dab44o1cg_4_0"/>
      <w:bookmarkStart w:id="753" w:name="Tc_fRdprIKgcU6bu2UoYUCPAg_3_0"/>
      <w:bookmarkStart w:id="754" w:name="Tc_e-kGPgquvUCAINkVAonrVQ_2_5"/>
      <w:bookmarkStart w:id="755" w:name="Tc_FiZk3Dzeg0GOXgb-MVW43g_2_2"/>
      <w:bookmarkStart w:id="756" w:name="Tc_1x2CMvDpQEiUIBDd5ODUXw_2_0"/>
      <w:bookmarkStart w:id="757" w:name="Tc_bt0VruBD60W1nOgPR9BG0Q_1_5"/>
      <w:bookmarkStart w:id="758" w:name="Tc_hZtHBDglx0-r4kxWHeFyrQ_1_2"/>
      <w:bookmarkStart w:id="759" w:name="_8d027fb1_4af5_4450_881a_1a445b8776bb"/>
      <w:bookmarkStart w:id="760" w:name="Tc_sDGClQOOpkSRImkcMx8NiA_10_5"/>
      <w:bookmarkStart w:id="761" w:name="Tc_4jKrTvPUG0eYcTQAIJXGvA_10_2"/>
      <w:bookmarkStart w:id="762" w:name="Tc_JYgo4Kkal0OBf8SzpVdnyw_10_0"/>
      <w:bookmarkStart w:id="763" w:name="Tc_9CfbwmMTO0CkuEtGCftP1g_9_0"/>
      <w:bookmarkStart w:id="764" w:name="Tc_Oz5wWi5GQUiYoR9QSS9d6w_8_0"/>
      <w:bookmarkStart w:id="765" w:name="Tc_IlBzGZJp7EitLFWTR8cvcw_7_0"/>
      <w:bookmarkStart w:id="766" w:name="Tc_eVQht5oXT0ChP4IgO_TFMQ_6_0"/>
      <w:bookmarkStart w:id="767" w:name="Tc_NB78DQ1nJkGBzloYyEWCqQ_5_0"/>
      <w:bookmarkStart w:id="768" w:name="Tc_5c5KqznsSk6n3Dab44o1cg_4_0"/>
      <w:bookmarkStart w:id="769" w:name="Tc_fRdprIKgcU6bu2UoYUCPAg_3_0"/>
      <w:bookmarkStart w:id="770" w:name="Tc_e-kGPgquvUCAINkVAonrVQ_2_5"/>
      <w:bookmarkStart w:id="771" w:name="Tc_FiZk3Dzeg0GOXgb-MVW43g_2_2"/>
      <w:bookmarkStart w:id="772" w:name="Tc_1x2CMvDpQEiUIBDd5ODUXw_2_0"/>
      <w:bookmarkStart w:id="773" w:name="Tc_bt0VruBD60W1nOgPR9BG0Q_1_5"/>
      <w:bookmarkStart w:id="774" w:name="Tc_hZtHBDglx0-r4kxWHeFyrQ_1_2"/>
      <w:bookmarkStart w:id="775" w:name="_8d027fb1_4af5_4450_881a_1a445b8776bb"/>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p>
    <w:tbl>
      <w:tblPr>
        <w:tblW w:w="3062" w:type="dxa"/>
        <w:jc w:val="left"/>
        <w:tblInd w:w="0" w:type="dxa"/>
        <w:tblLayout w:type="fixed"/>
        <w:tblCellMar>
          <w:top w:w="0" w:type="dxa"/>
          <w:left w:w="0" w:type="dxa"/>
          <w:bottom w:w="0" w:type="dxa"/>
          <w:right w:w="0" w:type="dxa"/>
        </w:tblCellMar>
      </w:tblPr>
      <w:tblGrid>
        <w:gridCol w:w="271"/>
        <w:gridCol w:w="2791"/>
      </w:tblGrid>
      <w:tr>
        <w:trPr/>
        <w:tc>
          <w:tcPr>
            <w:tcW w:w="27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9.</w:t>
            </w:r>
          </w:p>
        </w:tc>
        <w:tc>
          <w:tcPr>
            <w:tcW w:w="279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property, plant and equipment by classification (in thousands) as of:</w:t>
      </w:r>
    </w:p>
    <w:tbl>
      <w:tblPr>
        <w:tblW w:w="7570" w:type="dxa"/>
        <w:jc w:val="left"/>
        <w:tblInd w:w="0" w:type="dxa"/>
        <w:tblLayout w:type="fixed"/>
        <w:tblCellMar>
          <w:top w:w="0" w:type="dxa"/>
          <w:left w:w="0" w:type="dxa"/>
          <w:bottom w:w="0" w:type="dxa"/>
          <w:right w:w="0" w:type="dxa"/>
        </w:tblCellMar>
      </w:tblPr>
      <w:tblGrid>
        <w:gridCol w:w="4111"/>
        <w:gridCol w:w="326"/>
        <w:gridCol w:w="268"/>
        <w:gridCol w:w="993"/>
        <w:gridCol w:w="326"/>
        <w:gridCol w:w="294"/>
        <w:gridCol w:w="1252"/>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610485" cy="175260"/>
                      <wp:effectExtent l="0" t="0" r="0" b="0"/>
                      <wp:wrapNone/>
                      <wp:docPr id="120" name="Frame120"/>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70180" cy="175260"/>
                      <wp:effectExtent l="0" t="0" r="0" b="0"/>
                      <wp:wrapNone/>
                      <wp:docPr id="122" name="Frame12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30555" cy="175260"/>
                      <wp:effectExtent l="0" t="0" r="0" b="0"/>
                      <wp:wrapNone/>
                      <wp:docPr id="123" name="Frame123"/>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86690" cy="175260"/>
                      <wp:effectExtent l="0" t="0" r="0" b="0"/>
                      <wp:wrapNone/>
                      <wp:docPr id="125" name="Frame125"/>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795020" cy="175260"/>
                      <wp:effectExtent l="0" t="0" r="0" b="0"/>
                      <wp:wrapNone/>
                      <wp:docPr id="126" name="Frame126"/>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6,505</w:t>
            </w:r>
          </w:p>
        </w:tc>
        <w:tc>
          <w:tcPr>
            <w:tcW w:w="32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6,505</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Plant facilities and infrastructure</w:t>
            </w:r>
          </w:p>
        </w:tc>
        <w:tc>
          <w:tcPr>
            <w:tcW w:w="32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77,426</w:t>
            </w:r>
          </w:p>
        </w:tc>
        <w:tc>
          <w:tcPr>
            <w:tcW w:w="326" w:type="dxa"/>
            <w:tcBorders/>
            <w:vAlign w:val="center"/>
          </w:tcPr>
          <w:p>
            <w:pPr>
              <w:pStyle w:val="TableContents"/>
              <w:bidi w:val="0"/>
              <w:spacing w:before="0" w:after="1"/>
              <w:ind w:left="0" w:right="0" w:hanging="0"/>
              <w:jc w:val="right"/>
              <w:rPr/>
            </w:pPr>
            <w:r>
              <w:rPr/>
              <w:t>​</w:t>
            </w:r>
          </w:p>
        </w:tc>
        <w:tc>
          <w:tcPr>
            <w:tcW w:w="294"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77,329</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95,581</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95,212</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Furniture and office equipment</w:t>
            </w:r>
          </w:p>
        </w:tc>
        <w:tc>
          <w:tcPr>
            <w:tcW w:w="326" w:type="dxa"/>
            <w:tcBorders/>
            <w:vAlign w:val="center"/>
          </w:tcPr>
          <w:p>
            <w:pPr>
              <w:pStyle w:val="TableContents"/>
              <w:bidi w:val="0"/>
              <w:spacing w:before="0" w:after="1"/>
              <w:ind w:left="0" w:right="0" w:hanging="0"/>
              <w:jc w:val="left"/>
              <w:rPr/>
            </w:pPr>
            <w:r>
              <w:rPr/>
              <w:t>​</w:t>
            </w:r>
          </w:p>
        </w:tc>
        <w:tc>
          <w:tcPr>
            <w:tcW w:w="268" w:type="dxa"/>
            <w:tcBorders/>
            <w:vAlign w:val="center"/>
          </w:tcPr>
          <w:p>
            <w:pPr>
              <w:pStyle w:val="TableContents"/>
              <w:bidi w:val="0"/>
              <w:spacing w:before="0" w:after="1"/>
              <w:ind w:left="0" w:right="0" w:hanging="0"/>
              <w:jc w:val="left"/>
              <w:rPr/>
            </w:pPr>
            <w:r>
              <w:rPr/>
              <w:t> </w:t>
            </w:r>
          </w:p>
        </w:tc>
        <w:tc>
          <w:tcPr>
            <w:tcW w:w="99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2,881</w:t>
            </w:r>
          </w:p>
        </w:tc>
        <w:tc>
          <w:tcPr>
            <w:tcW w:w="326" w:type="dxa"/>
            <w:tcBorders/>
            <w:vAlign w:val="center"/>
          </w:tcPr>
          <w:p>
            <w:pPr>
              <w:pStyle w:val="TableContents"/>
              <w:bidi w:val="0"/>
              <w:spacing w:before="0" w:after="1"/>
              <w:ind w:left="0" w:right="0" w:hanging="0"/>
              <w:jc w:val="right"/>
              <w:rPr/>
            </w:pPr>
            <w:r>
              <w:rPr/>
              <w:t>​</w:t>
            </w:r>
          </w:p>
        </w:tc>
        <w:tc>
          <w:tcPr>
            <w:tcW w:w="294" w:type="dxa"/>
            <w:tcBorders/>
            <w:vAlign w:val="center"/>
          </w:tcPr>
          <w:p>
            <w:pPr>
              <w:pStyle w:val="TableContents"/>
              <w:bidi w:val="0"/>
              <w:spacing w:before="0" w:after="1"/>
              <w:ind w:left="0" w:right="0" w:hanging="0"/>
              <w:jc w:val="left"/>
              <w:rPr/>
            </w:pPr>
            <w:r>
              <w:rPr/>
              <w:t> </w:t>
            </w:r>
          </w:p>
        </w:tc>
        <w:tc>
          <w:tcPr>
            <w:tcW w:w="12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2,864</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1,656</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1,636</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2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133,886</w:t>
            </w:r>
          </w:p>
        </w:tc>
        <w:tc>
          <w:tcPr>
            <w:tcW w:w="326" w:type="dxa"/>
            <w:tcBorders/>
            <w:vAlign w:val="center"/>
          </w:tcPr>
          <w:p>
            <w:pPr>
              <w:pStyle w:val="TableContents"/>
              <w:bidi w:val="0"/>
              <w:spacing w:before="0" w:after="1"/>
              <w:ind w:left="0" w:right="0" w:hanging="0"/>
              <w:jc w:val="righ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114,332</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shd w:fill="CCEEFF" w:val="clear"/>
            <w:vAlign w:val="center"/>
          </w:tcPr>
          <w:p>
            <w:pPr>
              <w:pStyle w:val="TableContents"/>
              <w:bidi w:val="0"/>
              <w:spacing w:before="0" w:after="1"/>
              <w:ind w:left="0" w:right="0" w:hanging="0"/>
              <w:jc w:val="left"/>
              <w:rPr/>
            </w:pPr>
            <w:r>
              <w:rPr/>
              <w:t> </w:t>
            </w:r>
          </w:p>
        </w:tc>
        <w:tc>
          <w:tcPr>
            <w:tcW w:w="9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317,935</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shd w:fill="CCEEFF" w:val="clear"/>
            <w:vAlign w:val="center"/>
          </w:tcPr>
          <w:p>
            <w:pPr>
              <w:pStyle w:val="TableContents"/>
              <w:bidi w:val="0"/>
              <w:spacing w:before="0" w:after="1"/>
              <w:ind w:left="0" w:right="0" w:hanging="0"/>
              <w:jc w:val="left"/>
              <w:rPr/>
            </w:pPr>
            <w:r>
              <w:rPr/>
              <w:t> </w:t>
            </w:r>
          </w:p>
        </w:tc>
        <w:tc>
          <w:tcPr>
            <w:tcW w:w="12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297,878</w:t>
            </w:r>
          </w:p>
        </w:tc>
      </w:tr>
      <w:tr>
        <w:trPr/>
        <w:tc>
          <w:tcPr>
            <w:tcW w:w="41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vAlign w:val="center"/>
          </w:tcPr>
          <w:p>
            <w:pPr>
              <w:pStyle w:val="TableContents"/>
              <w:bidi w:val="0"/>
              <w:spacing w:before="0" w:after="1"/>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(90,261)</w:t>
            </w:r>
          </w:p>
        </w:tc>
        <w:tc>
          <w:tcPr>
            <w:tcW w:w="326" w:type="dxa"/>
            <w:tcBorders/>
            <w:vAlign w:val="center"/>
          </w:tcPr>
          <w:p>
            <w:pPr>
              <w:pStyle w:val="TableContents"/>
              <w:bidi w:val="0"/>
              <w:spacing w:before="0" w:after="1"/>
              <w:ind w:left="0" w:right="0" w:hanging="0"/>
              <w:jc w:val="righ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(86,315)</w:t>
            </w:r>
          </w:p>
        </w:tc>
      </w:tr>
      <w:tr>
        <w:trPr/>
        <w:tc>
          <w:tcPr>
            <w:tcW w:w="4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227,674</w:t>
            </w:r>
          </w:p>
        </w:tc>
        <w:tc>
          <w:tcPr>
            <w:tcW w:w="326" w:type="dxa"/>
            <w:tcBorders/>
            <w:shd w:fill="CCEEFF" w:val="clear"/>
            <w:vAlign w:val="center"/>
          </w:tcPr>
          <w:p>
            <w:pPr>
              <w:pStyle w:val="TableContents"/>
              <w:bidi w:val="0"/>
              <w:spacing w:before="0" w:after="1"/>
              <w:ind w:left="0" w:right="0" w:hanging="0"/>
              <w:jc w:val="righ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211,563</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depreciation expense of $4.0 million and $4.2 million for the three months ended March 31, 2024, and 2023, respectively.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Construction in progress includes $117.5 million for Gevo, primarily related to the NZ1 project, $16.0 million for the Agri-Energy segment (“Agri-Energy”) related to a fractionation and hydrocarbon skid, and $0.4 million for NW Iowa RNG at March 31, 2024. Construction in progress includes $98.2 million for Gevo, primarily related to the NZ1 project, $15.5 million for Agri-Energy, and $0.6 million for NW Iowa RNG at December 31, 2023. Construction in progress is not subject to depreciation until the assets are placed into service.</w:t>
      </w:r>
    </w:p>
    <w:tbl>
      <w:tblPr>
        <w:tblW w:w="1952" w:type="dxa"/>
        <w:jc w:val="left"/>
        <w:tblInd w:w="0" w:type="dxa"/>
        <w:tblLayout w:type="fixed"/>
        <w:tblCellMar>
          <w:top w:w="0" w:type="dxa"/>
          <w:left w:w="0" w:type="dxa"/>
          <w:bottom w:w="0" w:type="dxa"/>
          <w:right w:w="0" w:type="dxa"/>
        </w:tblCellMar>
      </w:tblPr>
      <w:tblGrid>
        <w:gridCol w:w="376"/>
        <w:gridCol w:w="15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10.</w:t>
            </w:r>
          </w:p>
        </w:tc>
        <w:tc>
          <w:tcPr>
            <w:tcW w:w="15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Intangible Assets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Identifiable intangible assets consist of acquired patents, which management evaluates to determine whether they (i) support current products, (ii) support planned research and development, or (iii) prevent others from competing with Gevo’s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776" w:name="Tc_LZ2DTB9HRE20lV5IVU1tJA_8_8"/>
      <w:bookmarkStart w:id="777" w:name="Tc_fhPLLJK64EiEi9vfbplOvA_8_5"/>
      <w:bookmarkStart w:id="778" w:name="Tc_j8Ak06dfrESrJXzfEj1wXQ_8_2"/>
      <w:bookmarkStart w:id="779" w:name="Tc_0ezVjDq1jk24QGBgLhQ1OA_8_0"/>
      <w:bookmarkStart w:id="780" w:name="Tc_iMFZG0hDbk2ZaEBl-Lt07g_7_0"/>
      <w:bookmarkStart w:id="781" w:name="Tc_rzVsQ-5zPUWFo07GE553ww_6_0"/>
      <w:bookmarkStart w:id="782" w:name="Tc_8_EZM7SxoU2CEQaM5jInuQ_5_0"/>
      <w:bookmarkStart w:id="783" w:name="Tc_xVnxJUYwUkqpnNaHeM9R5Q_4_0"/>
      <w:bookmarkStart w:id="784" w:name="Tc_mbQGPokFpUCcSQJWy1togQ_3_0"/>
      <w:bookmarkStart w:id="785" w:name="Tc_rCgVQx-azkeMKc_yA6gWxg_2_8"/>
      <w:bookmarkStart w:id="786" w:name="Tc_bsT1aslW9E-BX4F3H07DSA_2_5"/>
      <w:bookmarkStart w:id="787" w:name="Tc_kWzCqyFYf0e3YEf_uEShWw_2_2"/>
      <w:bookmarkStart w:id="788" w:name="Tc_SEEGYmiRpEmzHunTXt2oEw_2_0"/>
      <w:bookmarkStart w:id="789" w:name="Tc_UfKjSnqW1U6pyB5T_xGDCA_1_8"/>
      <w:bookmarkStart w:id="790" w:name="Tc_83DcO1C1VkyJvDG2VZ_WMA_1_5"/>
      <w:bookmarkStart w:id="791" w:name="Tc_i8IA1751xEiVD2dPjii52Q_1_2"/>
      <w:bookmarkStart w:id="792" w:name="Tc_DyoLNSGUq0i_jl8nqkGuzA_1_0"/>
      <w:bookmarkStart w:id="793" w:name="_a9d8aa79_3bf3_4ebf_9e9b_b2c60457a516"/>
      <w:bookmarkStart w:id="794" w:name="Tc_6sNf36duLUiAK-5txg8kxA_7_8"/>
      <w:bookmarkStart w:id="795" w:name="Tc_xX04J5wwnEWlYchT4F-3Eg_7_5"/>
      <w:bookmarkStart w:id="796" w:name="Tc_R_gxqE5H00KK9-YkP8rWZQ_7_2"/>
      <w:bookmarkStart w:id="797" w:name="Tc_71X5MNGFwUmBspsVZntmng_7_0"/>
      <w:bookmarkStart w:id="798" w:name="Tc_vgCgbs8jzk-GgIXGov9nnA_6_0"/>
      <w:bookmarkStart w:id="799" w:name="Tc_uRbBiOo-XkuAmOuf42fLfA_5_8"/>
      <w:bookmarkStart w:id="800" w:name="Tc_kfUkVY8ntk-3DcNmHheOcg_5_5"/>
      <w:bookmarkStart w:id="801" w:name="Tc_YlIaGfDmBUqRSphaJjTfBg_5_2"/>
      <w:bookmarkStart w:id="802" w:name="Tc_uGzxnqFiTESKRTsyh3gEhQ_5_0"/>
      <w:bookmarkStart w:id="803" w:name="Tc_UFdarBZalEehn6pgb2Wuzw_4_11"/>
      <w:bookmarkStart w:id="804" w:name="Tc_l6kBP4q4Z0CxFUvXdRTIhg_4_8"/>
      <w:bookmarkStart w:id="805" w:name="Tc_KdeNU_mW_US0l3yk5nhrVg_4_5"/>
      <w:bookmarkStart w:id="806" w:name="Tc_qvUguXEGI0ucS0BuPVs1Iw_4_2"/>
      <w:bookmarkStart w:id="807" w:name="Tc_AW27Tt-7V0uXXfRHSF-tHQ_3_11"/>
      <w:bookmarkStart w:id="808" w:name="Tc_1D9G-HZH_EaxTlVK5Mv7wg_3_8"/>
      <w:bookmarkStart w:id="809" w:name="Tc_HN_iarwMeUKURFsvImLE3w_3_5"/>
      <w:bookmarkStart w:id="810" w:name="Tc_fWTv38cLy06mvcfGVvSnIA_3_2"/>
      <w:bookmarkStart w:id="811" w:name="Tc_5uzDqWi8jUewnPL5CrhyZg_2_11"/>
      <w:bookmarkStart w:id="812" w:name="Tc_j_shMXmxTUS5u-oYCiet2Q_2_8"/>
      <w:bookmarkStart w:id="813" w:name="Tc_DWJVXa-TBE6E_XSvDFzcTQ_1_2"/>
      <w:bookmarkStart w:id="814" w:name="_9420d2c3_4102_48fb_af9e_11d675399932"/>
      <w:bookmarkStart w:id="815" w:name="Tc_nfLd7FasN0Wvu7m4bvUvVg_7_8"/>
      <w:bookmarkStart w:id="816" w:name="Tc_XddUNRVzg0qZYnabfgwzdw_7_5"/>
      <w:bookmarkStart w:id="817" w:name="Tc_QY4_EyyhDEaswbkOICPXWw_7_2"/>
      <w:bookmarkStart w:id="818" w:name="Tc_b3seyEaw2kiIqUE9jVVlqw_7_0"/>
      <w:bookmarkStart w:id="819" w:name="Tc_FlEte8PzzE-1AfjocLblbw_6_0"/>
      <w:bookmarkStart w:id="820" w:name="Tc_r8AtxPA_oUuHkiHnoQDDSg_5_8"/>
      <w:bookmarkStart w:id="821" w:name="Tc_XMFFpt7ke0-PLoepVohaaQ_5_5"/>
      <w:bookmarkStart w:id="822" w:name="Tc_okgNsVKGbEa7Xuj_VGka4A_5_2"/>
      <w:bookmarkStart w:id="823" w:name="Tc_khpr_2j5DE29AGzVZpg_xw_5_0"/>
      <w:bookmarkStart w:id="824" w:name="Tc_Bghd-QMcYU-RN4MgVyQZKQ_4_11"/>
      <w:bookmarkStart w:id="825" w:name="Tc_uZm2gDS2EUWGvE7dHLa_Ow_4_8"/>
      <w:bookmarkStart w:id="826" w:name="Tc_gK4i9QxJlk64Km8xaPPWsA_4_5"/>
      <w:bookmarkStart w:id="827" w:name="Tc_gHqkNqGhf0OBgAIjmuWuDg_4_2"/>
      <w:bookmarkStart w:id="828" w:name="Tc_q74dRyYVJEyBrt7dRHbZmg_3_11"/>
      <w:bookmarkStart w:id="829" w:name="Tc_1MZJf-GXqUeTCJqKk7_awQ_3_8"/>
      <w:bookmarkStart w:id="830" w:name="Tc_FAvSh07MlUW-miHspioWeQ_3_5"/>
      <w:bookmarkStart w:id="831" w:name="Tc_7fH0XCewa0K9UJs-yNDNdA_3_2"/>
      <w:bookmarkStart w:id="832" w:name="Tc_QYqEF2lvJUGjnwDcmdAV9g_2_11"/>
      <w:bookmarkStart w:id="833" w:name="Tc_D6xBvQj1QEq0-Z9MGytKWw_2_8"/>
      <w:bookmarkStart w:id="834" w:name="Tc_HN2NCqPTQkG3VP74tfy0-A_1_2"/>
      <w:bookmarkStart w:id="835" w:name="_8ba42d3a_a4f0_412a_99e4_062be4b50962"/>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r>
        <w:rPr>
          <w:rFonts w:ascii="Times New Roman;Times;serif" w:hAnsi="Times New Roman;Times;serif"/>
          <w:sz w:val="20"/>
        </w:rPr>
        <w:t>The following tables set forth the Company’s intangible assets by classification (in thousands) as of:</w:t>
      </w:r>
    </w:p>
    <w:tbl>
      <w:tblPr>
        <w:tblW w:w="7623" w:type="dxa"/>
        <w:jc w:val="left"/>
        <w:tblInd w:w="0" w:type="dxa"/>
        <w:tblLayout w:type="fixed"/>
        <w:tblCellMar>
          <w:top w:w="0" w:type="dxa"/>
          <w:left w:w="0" w:type="dxa"/>
          <w:bottom w:w="0" w:type="dxa"/>
          <w:right w:w="0" w:type="dxa"/>
        </w:tblCellMar>
      </w:tblPr>
      <w:tblGrid>
        <w:gridCol w:w="1471"/>
        <w:gridCol w:w="326"/>
        <w:gridCol w:w="336"/>
        <w:gridCol w:w="909"/>
        <w:gridCol w:w="326"/>
        <w:gridCol w:w="270"/>
        <w:gridCol w:w="811"/>
        <w:gridCol w:w="326"/>
        <w:gridCol w:w="251"/>
        <w:gridCol w:w="680"/>
        <w:gridCol w:w="326"/>
        <w:gridCol w:w="159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34085" cy="175260"/>
                      <wp:effectExtent l="0" t="0" r="0" b="0"/>
                      <wp:wrapNone/>
                      <wp:docPr id="127" name="Frame127"/>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3360" cy="175260"/>
                      <wp:effectExtent l="0" t="0" r="0" b="0"/>
                      <wp:wrapNone/>
                      <wp:docPr id="129" name="Frame129"/>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77215" cy="175260"/>
                      <wp:effectExtent l="0" t="0" r="0" b="0"/>
                      <wp:wrapNone/>
                      <wp:docPr id="130" name="Frame130"/>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1450" cy="175260"/>
                      <wp:effectExtent l="0" t="0" r="0" b="0"/>
                      <wp:wrapNone/>
                      <wp:docPr id="132" name="Frame132"/>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14985" cy="175260"/>
                      <wp:effectExtent l="0" t="0" r="0" b="0"/>
                      <wp:wrapNone/>
                      <wp:docPr id="133" name="Frame13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9385" cy="175260"/>
                      <wp:effectExtent l="0" t="0" r="0" b="0"/>
                      <wp:wrapNone/>
                      <wp:docPr id="135" name="Frame135"/>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31800" cy="175260"/>
                      <wp:effectExtent l="0" t="0" r="0" b="0"/>
                      <wp:wrapNone/>
                      <wp:docPr id="136" name="Frame136"/>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010285" cy="175260"/>
                      <wp:effectExtent l="0" t="0" r="0" b="0"/>
                      <wp:wrapNone/>
                      <wp:docPr id="138" name="Frame138"/>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6" w:type="dxa"/>
            <w:tcBorders/>
            <w:vAlign w:val="center"/>
          </w:tcPr>
          <w:p>
            <w:pPr>
              <w:pStyle w:val="TableContents"/>
              <w:bidi w:val="0"/>
              <w:spacing w:before="0" w:after="1"/>
              <w:ind w:left="0" w:right="0" w:hanging="0"/>
              <w:jc w:val="center"/>
              <w:rPr/>
            </w:pPr>
            <w:r>
              <w:rPr/>
              <w:t>​</w:t>
            </w:r>
          </w:p>
        </w:tc>
        <w:tc>
          <w:tcPr>
            <w:tcW w:w="9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    </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(1,766)</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2,814</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(1,482)</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3,418</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(3,248)</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6,232</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240"/>
        <w:ind w:left="0" w:right="0" w:firstLine="360"/>
        <w:jc w:val="left"/>
        <w:rPr/>
      </w:pPr>
      <w:r>
        <w:rPr/>
        <w:t>​</w:t>
      </w:r>
    </w:p>
    <w:tbl>
      <w:tblPr>
        <w:tblW w:w="7623" w:type="dxa"/>
        <w:jc w:val="left"/>
        <w:tblInd w:w="0" w:type="dxa"/>
        <w:tblLayout w:type="fixed"/>
        <w:tblCellMar>
          <w:top w:w="0" w:type="dxa"/>
          <w:left w:w="0" w:type="dxa"/>
          <w:bottom w:w="0" w:type="dxa"/>
          <w:right w:w="0" w:type="dxa"/>
        </w:tblCellMar>
      </w:tblPr>
      <w:tblGrid>
        <w:gridCol w:w="1471"/>
        <w:gridCol w:w="326"/>
        <w:gridCol w:w="336"/>
        <w:gridCol w:w="909"/>
        <w:gridCol w:w="326"/>
        <w:gridCol w:w="270"/>
        <w:gridCol w:w="811"/>
        <w:gridCol w:w="326"/>
        <w:gridCol w:w="251"/>
        <w:gridCol w:w="680"/>
        <w:gridCol w:w="326"/>
        <w:gridCol w:w="159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934085" cy="175260"/>
                      <wp:effectExtent l="0" t="0" r="0" b="0"/>
                      <wp:wrapNone/>
                      <wp:docPr id="139" name="Frame139"/>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3360" cy="175260"/>
                      <wp:effectExtent l="0" t="0" r="0" b="0"/>
                      <wp:wrapNone/>
                      <wp:docPr id="141" name="Frame141"/>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577215" cy="175260"/>
                      <wp:effectExtent l="0" t="0" r="0" b="0"/>
                      <wp:wrapNone/>
                      <wp:docPr id="142" name="Frame142"/>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1450" cy="175260"/>
                      <wp:effectExtent l="0" t="0" r="0" b="0"/>
                      <wp:wrapNone/>
                      <wp:docPr id="144" name="Frame144"/>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14985" cy="175260"/>
                      <wp:effectExtent l="0" t="0" r="0" b="0"/>
                      <wp:wrapNone/>
                      <wp:docPr id="145" name="Frame14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59385" cy="175260"/>
                      <wp:effectExtent l="0" t="0" r="0" b="0"/>
                      <wp:wrapNone/>
                      <wp:docPr id="147" name="Frame147"/>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31800" cy="175260"/>
                      <wp:effectExtent l="0" t="0" r="0" b="0"/>
                      <wp:wrapNone/>
                      <wp:docPr id="148" name="Frame148"/>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010285" cy="175260"/>
                      <wp:effectExtent l="0" t="0" r="0" b="0"/>
                      <wp:wrapNone/>
                      <wp:docPr id="150" name="Frame150"/>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26"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36" w:type="dxa"/>
            <w:tcBorders/>
            <w:vAlign w:val="center"/>
          </w:tcPr>
          <w:p>
            <w:pPr>
              <w:pStyle w:val="TableContents"/>
              <w:bidi w:val="0"/>
              <w:spacing w:before="0" w:after="1"/>
              <w:ind w:left="0" w:right="0" w:hanging="0"/>
              <w:jc w:val="center"/>
              <w:rPr/>
            </w:pPr>
            <w:r>
              <w:rPr/>
              <w:t>​</w:t>
            </w:r>
          </w:p>
        </w:tc>
        <w:tc>
          <w:tcPr>
            <w:tcW w:w="9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70"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Identifiable</w:t>
            </w:r>
          </w:p>
        </w:tc>
        <w:tc>
          <w:tcPr>
            <w:tcW w:w="326" w:type="dxa"/>
            <w:tcBorders/>
            <w:vAlign w:val="center"/>
          </w:tcPr>
          <w:p>
            <w:pPr>
              <w:pStyle w:val="TableContents"/>
              <w:bidi w:val="0"/>
              <w:spacing w:before="0" w:after="1"/>
              <w:ind w:left="0" w:right="0" w:hanging="0"/>
              <w:jc w:val="center"/>
              <w:rPr/>
            </w:pPr>
            <w:r>
              <w:rPr/>
              <w:t>    </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Intangible</w:t>
            </w:r>
          </w:p>
        </w:tc>
        <w:tc>
          <w:tcPr>
            <w:tcW w:w="326" w:type="dxa"/>
            <w:tcBorders/>
            <w:vAlign w:val="center"/>
          </w:tcPr>
          <w:p>
            <w:pPr>
              <w:pStyle w:val="TableContents"/>
              <w:bidi w:val="0"/>
              <w:spacing w:before="0" w:after="1"/>
              <w:ind w:left="0" w:right="0" w:hanging="0"/>
              <w:jc w:val="center"/>
              <w:rPr/>
            </w:pPr>
            <w:r>
              <w:rPr/>
              <w:t>​</w:t>
            </w:r>
          </w:p>
        </w:tc>
        <w:tc>
          <w:tcPr>
            <w:tcW w:w="15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Useful Life</w:t>
            </w:r>
          </w:p>
        </w:tc>
      </w:tr>
      <w:tr>
        <w:trPr/>
        <w:tc>
          <w:tcPr>
            <w:tcW w:w="1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center"/>
              <w:rPr/>
            </w:pPr>
            <w:r>
              <w:rPr/>
              <w:t>​</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 Net</w:t>
            </w:r>
          </w:p>
        </w:tc>
        <w:tc>
          <w:tcPr>
            <w:tcW w:w="326" w:type="dxa"/>
            <w:tcBorders/>
            <w:vAlign w:val="center"/>
          </w:tcPr>
          <w:p>
            <w:pPr>
              <w:pStyle w:val="TableContents"/>
              <w:bidi w:val="0"/>
              <w:spacing w:before="0" w:after="1"/>
              <w:ind w:left="0" w:right="0" w:hanging="0"/>
              <w:jc w:val="center"/>
              <w:rPr/>
            </w:pPr>
            <w:r>
              <w:rPr/>
              <w:t>​</w:t>
            </w:r>
          </w:p>
        </w:tc>
        <w:tc>
          <w:tcPr>
            <w:tcW w:w="15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Patents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(1,621)</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2,959</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1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Defensive assets</w:t>
            </w:r>
          </w:p>
        </w:tc>
        <w:tc>
          <w:tcPr>
            <w:tcW w:w="326" w:type="dxa"/>
            <w:tcBorders/>
            <w:vAlign w:val="center"/>
          </w:tcPr>
          <w:p>
            <w:pPr>
              <w:pStyle w:val="TableContents"/>
              <w:bidi w:val="0"/>
              <w:spacing w:before="0" w:after="1"/>
              <w:ind w:left="0" w:right="0" w:hanging="0"/>
              <w:jc w:val="left"/>
              <w:rPr/>
            </w:pPr>
            <w:r>
              <w:rPr/>
              <w:t>​</w:t>
            </w:r>
          </w:p>
        </w:tc>
        <w:tc>
          <w:tcPr>
            <w:tcW w:w="33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vAlign w:val="center"/>
          </w:tcPr>
          <w:p>
            <w:pPr>
              <w:pStyle w:val="TableContents"/>
              <w:bidi w:val="0"/>
              <w:spacing w:before="0" w:after="1"/>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(1,335)</w:t>
            </w:r>
          </w:p>
        </w:tc>
        <w:tc>
          <w:tcPr>
            <w:tcW w:w="326" w:type="dxa"/>
            <w:tcBorders/>
            <w:vAlign w:val="center"/>
          </w:tcPr>
          <w:p>
            <w:pPr>
              <w:pStyle w:val="TableContents"/>
              <w:bidi w:val="0"/>
              <w:spacing w:before="0" w:after="1"/>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3,565</w:t>
            </w:r>
          </w:p>
        </w:tc>
        <w:tc>
          <w:tcPr>
            <w:tcW w:w="326" w:type="dxa"/>
            <w:tcBorders/>
            <w:vAlign w:val="center"/>
          </w:tcPr>
          <w:p>
            <w:pPr>
              <w:pStyle w:val="TableContents"/>
              <w:bidi w:val="0"/>
              <w:spacing w:before="0" w:after="1"/>
              <w:ind w:left="0" w:right="0" w:hanging="0"/>
              <w:jc w:val="left"/>
              <w:rPr/>
            </w:pPr>
            <w:r>
              <w:rPr/>
              <w:t> </w:t>
            </w:r>
          </w:p>
        </w:tc>
        <w:tc>
          <w:tcPr>
            <w:tcW w:w="15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1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3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9,480</w:t>
            </w:r>
          </w:p>
        </w:tc>
        <w:tc>
          <w:tcPr>
            <w:tcW w:w="326" w:type="dxa"/>
            <w:tcBorders/>
            <w:shd w:fill="CCEEFF" w:val="clear"/>
            <w:vAlign w:val="center"/>
          </w:tcPr>
          <w:p>
            <w:pPr>
              <w:pStyle w:val="TableContents"/>
              <w:bidi w:val="0"/>
              <w:spacing w:before="0" w:after="1"/>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(2,956)</w:t>
            </w:r>
          </w:p>
        </w:tc>
        <w:tc>
          <w:tcPr>
            <w:tcW w:w="326" w:type="dxa"/>
            <w:tcBorders/>
            <w:shd w:fill="CCEEFF" w:val="clear"/>
            <w:vAlign w:val="center"/>
          </w:tcPr>
          <w:p>
            <w:pPr>
              <w:pStyle w:val="TableContents"/>
              <w:bidi w:val="0"/>
              <w:spacing w:before="0" w:after="1"/>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6,524</w:t>
            </w:r>
          </w:p>
        </w:tc>
        <w:tc>
          <w:tcPr>
            <w:tcW w:w="326" w:type="dxa"/>
            <w:tcBorders/>
            <w:shd w:fill="CCEEFF" w:val="clear"/>
            <w:vAlign w:val="center"/>
          </w:tcPr>
          <w:p>
            <w:pPr>
              <w:pStyle w:val="TableContents"/>
              <w:bidi w:val="0"/>
              <w:spacing w:before="0" w:after="1"/>
              <w:ind w:left="0" w:right="0" w:hanging="0"/>
              <w:jc w:val="left"/>
              <w:rPr/>
            </w:pPr>
            <w:r>
              <w:rPr/>
              <w:t> </w:t>
            </w:r>
          </w:p>
        </w:tc>
        <w:tc>
          <w:tcPr>
            <w:tcW w:w="1591"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7.9</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recorded amortization expense of $0.3 million for each of the three months ended March 31, 2024 and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details the estimated amortization of identifiable intangible assets as of March 31, 2024 (in thousands):</w:t>
      </w:r>
    </w:p>
    <w:tbl>
      <w:tblPr>
        <w:tblW w:w="6048" w:type="dxa"/>
        <w:jc w:val="left"/>
        <w:tblInd w:w="0" w:type="dxa"/>
        <w:tblLayout w:type="fixed"/>
        <w:tblCellMar>
          <w:top w:w="0" w:type="dxa"/>
          <w:left w:w="0" w:type="dxa"/>
          <w:bottom w:w="0" w:type="dxa"/>
          <w:right w:w="0" w:type="dxa"/>
        </w:tblCellMar>
      </w:tblPr>
      <w:tblGrid>
        <w:gridCol w:w="2116"/>
        <w:gridCol w:w="326"/>
        <w:gridCol w:w="211"/>
        <w:gridCol w:w="571"/>
        <w:gridCol w:w="326"/>
        <w:gridCol w:w="343"/>
        <w:gridCol w:w="932"/>
        <w:gridCol w:w="326"/>
        <w:gridCol w:w="211"/>
        <w:gridCol w:w="68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43660" cy="175260"/>
                      <wp:effectExtent l="0" t="0" r="0" b="0"/>
                      <wp:wrapNone/>
                      <wp:docPr id="151" name="Frame151"/>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62585" cy="175260"/>
                      <wp:effectExtent l="0" t="0" r="0" b="0"/>
                      <wp:wrapNone/>
                      <wp:docPr id="154" name="Frame1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7805" cy="175260"/>
                      <wp:effectExtent l="0" t="0" r="0" b="0"/>
                      <wp:wrapNone/>
                      <wp:docPr id="156" name="Frame156"/>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91820" cy="175260"/>
                      <wp:effectExtent l="0" t="0" r="0" b="0"/>
                      <wp:wrapNone/>
                      <wp:docPr id="157" name="Frame157"/>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35610" cy="175260"/>
                      <wp:effectExtent l="0" t="0" r="0" b="0"/>
                      <wp:wrapNone/>
                      <wp:docPr id="160" name="Frame160"/>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Patents</w:t>
            </w:r>
          </w:p>
        </w:tc>
        <w:tc>
          <w:tcPr>
            <w:tcW w:w="326" w:type="dxa"/>
            <w:tcBorders/>
            <w:vAlign w:val="center"/>
          </w:tcPr>
          <w:p>
            <w:pPr>
              <w:pStyle w:val="TableContents"/>
              <w:bidi w:val="0"/>
              <w:spacing w:before="0" w:after="1"/>
              <w:ind w:left="0" w:right="0" w:hanging="0"/>
              <w:jc w:val="center"/>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Defensive Assets</w:t>
            </w:r>
          </w:p>
        </w:tc>
        <w:tc>
          <w:tcPr>
            <w:tcW w:w="326" w:type="dxa"/>
            <w:tcBorders/>
            <w:vAlign w:val="center"/>
          </w:tcPr>
          <w:p>
            <w:pPr>
              <w:pStyle w:val="TableContents"/>
              <w:bidi w:val="0"/>
              <w:spacing w:before="0" w:after="1"/>
              <w:ind w:left="0" w:right="0" w:hanging="0"/>
              <w:jc w:val="center"/>
              <w:rPr/>
            </w:pPr>
            <w:r>
              <w:rPr/>
              <w:t>    </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1"/>
              <w:ind w:left="0" w:right="0" w:hanging="0"/>
              <w:jc w:val="left"/>
              <w:rPr/>
            </w:pPr>
            <w:r>
              <w:rPr/>
              <w:t>​</w:t>
            </w:r>
          </w:p>
        </w:tc>
        <w:tc>
          <w:tcPr>
            <w:tcW w:w="343" w:type="dxa"/>
            <w:tcBorders/>
            <w:vAlign w:val="center"/>
          </w:tcPr>
          <w:p>
            <w:pPr>
              <w:pStyle w:val="TableContents"/>
              <w:bidi w:val="0"/>
              <w:spacing w:before="0" w:after="1"/>
              <w:ind w:left="0" w:right="0" w:hanging="0"/>
              <w:jc w:val="left"/>
              <w:rPr/>
            </w:pPr>
            <w:r>
              <w:rPr/>
              <w:t> </w:t>
            </w:r>
          </w:p>
        </w:tc>
        <w:tc>
          <w:tcPr>
            <w:tcW w:w="9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shd w:fill="CCEEFF" w:val="clear"/>
            <w:vAlign w:val="center"/>
          </w:tcPr>
          <w:p>
            <w:pPr>
              <w:pStyle w:val="TableContents"/>
              <w:bidi w:val="0"/>
              <w:spacing w:before="0" w:after="1"/>
              <w:ind w:left="0" w:right="0" w:hanging="0"/>
              <w:jc w:val="left"/>
              <w:rPr/>
            </w:pPr>
            <w:r>
              <w:rPr/>
              <w:t> </w:t>
            </w:r>
          </w:p>
        </w:tc>
        <w:tc>
          <w:tcPr>
            <w:tcW w:w="9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 and thereafter</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vAlign w:val="center"/>
          </w:tcPr>
          <w:p>
            <w:pPr>
              <w:pStyle w:val="TableContents"/>
              <w:bidi w:val="0"/>
              <w:spacing w:before="0" w:after="1"/>
              <w:ind w:left="0" w:right="0" w:hanging="0"/>
              <w:jc w:val="left"/>
              <w:rPr/>
            </w:pPr>
            <w:r>
              <w:rPr/>
              <w:t>​</w:t>
            </w:r>
          </w:p>
        </w:tc>
        <w:tc>
          <w:tcPr>
            <w:tcW w:w="34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2,814</w:t>
            </w:r>
          </w:p>
        </w:tc>
        <w:tc>
          <w:tcPr>
            <w:tcW w:w="326" w:type="dxa"/>
            <w:tcBorders/>
            <w:shd w:fill="CCEEFF" w:val="clear"/>
            <w:vAlign w:val="center"/>
          </w:tcPr>
          <w:p>
            <w:pPr>
              <w:pStyle w:val="TableContents"/>
              <w:bidi w:val="0"/>
              <w:spacing w:before="0" w:after="1"/>
              <w:ind w:left="0" w:right="0" w:hanging="0"/>
              <w:jc w:val="left"/>
              <w:rPr/>
            </w:pPr>
            <w:r>
              <w:rPr/>
              <w:t>​</w:t>
            </w:r>
          </w:p>
        </w:tc>
        <w:tc>
          <w:tcPr>
            <w:tcW w:w="3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6,232</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36" w:name="Tc_fQ_Xthos902r6SO2Xyux0w_8_5"/>
      <w:bookmarkStart w:id="837" w:name="Tc_KLGpxArNa0eDwLYrcX_3HQ_8_2"/>
      <w:bookmarkStart w:id="838" w:name="Tc_mpdKMmvmNUORpExclC_W-g_8_0"/>
      <w:bookmarkStart w:id="839" w:name="Tc_j3eDuRO1HEiHhi5VgeX0Dw_7_0"/>
      <w:bookmarkStart w:id="840" w:name="Tc_ue7vrOcAEEi_MN67_c17cg_6_0"/>
      <w:bookmarkStart w:id="841" w:name="Tc_M_DSEAlMoU-1SYSIYo5SLA_5_0"/>
      <w:bookmarkStart w:id="842" w:name="Tc_JxWYFgv9d0SAdCeC1zgpJg_4_0"/>
      <w:bookmarkStart w:id="843" w:name="Tc_rbxrWMRPt0qa3pSoQXRWuw_3_0"/>
      <w:bookmarkStart w:id="844" w:name="Tc_JobWpS5c7EqkUfLod5P6bQ_2_5"/>
      <w:bookmarkStart w:id="845" w:name="Tc_vO9gz3q1oEuQwXN9yQJrxw_2_2"/>
      <w:bookmarkStart w:id="846" w:name="Tc_tcphTR0T4kmSDMos7B-bwA_2_0"/>
      <w:bookmarkStart w:id="847" w:name="Tc_PmmaCgNhukSuccr41Slqng_1_5"/>
      <w:bookmarkStart w:id="848" w:name="Tc_WXtmAuZ6B0S-2Bc1ZWEpoQ_1_2"/>
      <w:bookmarkStart w:id="849" w:name="_217a9570_6961_4f22_b850_b47faa4c5d19"/>
      <w:bookmarkStart w:id="850" w:name="Tc_fQ_Xthos902r6SO2Xyux0w_8_5"/>
      <w:bookmarkStart w:id="851" w:name="Tc_KLGpxArNa0eDwLYrcX_3HQ_8_2"/>
      <w:bookmarkStart w:id="852" w:name="Tc_mpdKMmvmNUORpExclC_W-g_8_0"/>
      <w:bookmarkStart w:id="853" w:name="Tc_j3eDuRO1HEiHhi5VgeX0Dw_7_0"/>
      <w:bookmarkStart w:id="854" w:name="Tc_ue7vrOcAEEi_MN67_c17cg_6_0"/>
      <w:bookmarkStart w:id="855" w:name="Tc_M_DSEAlMoU-1SYSIYo5SLA_5_0"/>
      <w:bookmarkStart w:id="856" w:name="Tc_JxWYFgv9d0SAdCeC1zgpJg_4_0"/>
      <w:bookmarkStart w:id="857" w:name="Tc_rbxrWMRPt0qa3pSoQXRWuw_3_0"/>
      <w:bookmarkStart w:id="858" w:name="Tc_JobWpS5c7EqkUfLod5P6bQ_2_5"/>
      <w:bookmarkStart w:id="859" w:name="Tc_vO9gz3q1oEuQwXN9yQJrxw_2_2"/>
      <w:bookmarkStart w:id="860" w:name="Tc_tcphTR0T4kmSDMos7B-bwA_2_0"/>
      <w:bookmarkStart w:id="861" w:name="Tc_PmmaCgNhukSuccr41Slqng_1_5"/>
      <w:bookmarkStart w:id="862" w:name="Tc_WXtmAuZ6B0S-2Bc1ZWEpoQ_1_2"/>
      <w:bookmarkStart w:id="863" w:name="_217a9570_6961_4f22_b850_b47faa4c5d1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p>
    <w:tbl>
      <w:tblPr>
        <w:tblW w:w="2687" w:type="dxa"/>
        <w:jc w:val="left"/>
        <w:tblInd w:w="0" w:type="dxa"/>
        <w:tblLayout w:type="fixed"/>
        <w:tblCellMar>
          <w:top w:w="0" w:type="dxa"/>
          <w:left w:w="0" w:type="dxa"/>
          <w:bottom w:w="0" w:type="dxa"/>
          <w:right w:w="0" w:type="dxa"/>
        </w:tblCellMar>
      </w:tblPr>
      <w:tblGrid>
        <w:gridCol w:w="376"/>
        <w:gridCol w:w="231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11.</w:t>
            </w:r>
          </w:p>
        </w:tc>
        <w:tc>
          <w:tcPr>
            <w:tcW w:w="231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Deposits and Other Assets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deposits and other assets (in thousands) as of:</w:t>
      </w:r>
    </w:p>
    <w:tbl>
      <w:tblPr>
        <w:tblW w:w="6055" w:type="dxa"/>
        <w:jc w:val="left"/>
        <w:tblInd w:w="0" w:type="dxa"/>
        <w:tblLayout w:type="fixed"/>
        <w:tblCellMar>
          <w:top w:w="0" w:type="dxa"/>
          <w:left w:w="0" w:type="dxa"/>
          <w:bottom w:w="0" w:type="dxa"/>
          <w:right w:w="0" w:type="dxa"/>
        </w:tblCellMar>
      </w:tblPr>
      <w:tblGrid>
        <w:gridCol w:w="2596"/>
        <w:gridCol w:w="326"/>
        <w:gridCol w:w="299"/>
        <w:gridCol w:w="962"/>
        <w:gridCol w:w="326"/>
        <w:gridCol w:w="325"/>
        <w:gridCol w:w="122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48460" cy="175260"/>
                      <wp:effectExtent l="0" t="0" r="0" b="0"/>
                      <wp:wrapNone/>
                      <wp:docPr id="161" name="Frame16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89865" cy="175260"/>
                      <wp:effectExtent l="0" t="0" r="0" b="0"/>
                      <wp:wrapNone/>
                      <wp:docPr id="163" name="Frame163"/>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10870" cy="175260"/>
                      <wp:effectExtent l="0" t="0" r="0" b="0"/>
                      <wp:wrapNone/>
                      <wp:docPr id="164" name="Frame164"/>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6375" cy="175260"/>
                      <wp:effectExtent l="0" t="0" r="0" b="0"/>
                      <wp:wrapNone/>
                      <wp:docPr id="166" name="Frame166"/>
                      <a:graphic xmlns:a="http://schemas.openxmlformats.org/drawingml/2006/main">
                        <a:graphicData uri="http://schemas.microsoft.com/office/word/2010/wordprocessingShape">
                          <wps:wsp>
                            <wps:cNvSpPr txBox="1"/>
                            <wps:spPr>
                              <a:xfrm>
                                <a:off x="0" y="0"/>
                                <a:ext cx="206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775335" cy="175260"/>
                      <wp:effectExtent l="0" t="0" r="0" b="0"/>
                      <wp:wrapNone/>
                      <wp:docPr id="167" name="Frame167"/>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Prepaid feedstock </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Equity interest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Exclusivity fees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c>
          <w:tcPr>
            <w:tcW w:w="326" w:type="dxa"/>
            <w:tcBorders/>
            <w:vAlign w:val="center"/>
          </w:tcPr>
          <w:p>
            <w:pPr>
              <w:pStyle w:val="TableContents"/>
              <w:bidi w:val="0"/>
              <w:spacing w:before="0" w:after="1"/>
              <w:ind w:left="0" w:right="0" w:hanging="0"/>
              <w:jc w:val="left"/>
              <w:rPr/>
            </w:pPr>
            <w:r>
              <w:rPr/>
              <w:t>​</w:t>
            </w:r>
          </w:p>
        </w:tc>
        <w:tc>
          <w:tcPr>
            <w:tcW w:w="325" w:type="dxa"/>
            <w:tcBorders/>
            <w:vAlign w:val="center"/>
          </w:tcPr>
          <w:p>
            <w:pPr>
              <w:pStyle w:val="TableContents"/>
              <w:bidi w:val="0"/>
              <w:spacing w:before="0" w:after="1"/>
              <w:ind w:left="0" w:right="0" w:hanging="0"/>
              <w:jc w:val="left"/>
              <w:rPr/>
            </w:pPr>
            <w:r>
              <w:rPr/>
              <w:t> </w:t>
            </w:r>
          </w:p>
        </w:tc>
        <w:tc>
          <w:tcPr>
            <w:tcW w:w="12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259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Deposits receivable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 </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34,217</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shd w:fill="CCEEFF" w:val="clear"/>
            <w:vAlign w:val="center"/>
          </w:tcPr>
          <w:p>
            <w:pPr>
              <w:pStyle w:val="TableContents"/>
              <w:bidi w:val="0"/>
              <w:spacing w:before="0" w:after="1"/>
              <w:ind w:left="0" w:right="0" w:hanging="0"/>
              <w:jc w:val="left"/>
              <w:rPr/>
            </w:pPr>
            <w:r>
              <w:rPr/>
              <w:t> </w:t>
            </w:r>
          </w:p>
        </w:tc>
        <w:tc>
          <w:tcPr>
            <w:tcW w:w="12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33,602</w:t>
            </w:r>
          </w:p>
        </w:tc>
      </w:tr>
      <w:tr>
        <w:trPr/>
        <w:tc>
          <w:tcPr>
            <w:tcW w:w="259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assets, net </w:t>
            </w:r>
            <w:r>
              <w:rPr>
                <w:rFonts w:ascii="Times New Roman;Times;serif" w:hAnsi="Times New Roman;Times;serif"/>
                <w:sz w:val="15"/>
              </w:rPr>
              <w:t>(6)</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7,920</w:t>
            </w:r>
          </w:p>
        </w:tc>
        <w:tc>
          <w:tcPr>
            <w:tcW w:w="326" w:type="dxa"/>
            <w:tcBorders/>
            <w:vAlign w:val="center"/>
          </w:tcPr>
          <w:p>
            <w:pPr>
              <w:pStyle w:val="TableContents"/>
              <w:bidi w:val="0"/>
              <w:spacing w:before="0" w:after="1"/>
              <w:ind w:left="0" w:right="0" w:hanging="0"/>
              <w:jc w:val="left"/>
              <w:rPr/>
            </w:pPr>
            <w:r>
              <w:rPr/>
              <w:t>​</w:t>
            </w:r>
          </w:p>
        </w:tc>
        <w:tc>
          <w:tcPr>
            <w:tcW w:w="3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8,028</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deposits and other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45,949</w:t>
            </w:r>
          </w:p>
        </w:tc>
        <w:tc>
          <w:tcPr>
            <w:tcW w:w="326" w:type="dxa"/>
            <w:tcBorders/>
            <w:shd w:fill="CCEEFF" w:val="clear"/>
            <w:vAlign w:val="center"/>
          </w:tcPr>
          <w:p>
            <w:pPr>
              <w:pStyle w:val="TableContents"/>
              <w:bidi w:val="0"/>
              <w:spacing w:before="0" w:after="1"/>
              <w:ind w:left="0" w:right="0" w:hanging="0"/>
              <w:jc w:val="left"/>
              <w:rPr/>
            </w:pPr>
            <w:r>
              <w:rPr/>
              <w:t>​</w:t>
            </w:r>
          </w:p>
        </w:tc>
        <w:tc>
          <w:tcPr>
            <w:tcW w:w="3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44,319</w:t>
            </w:r>
          </w:p>
        </w:tc>
      </w:tr>
    </w:tbl>
    <w:tbl>
      <w:tblPr>
        <w:tblW w:w="2207" w:type="dxa"/>
        <w:jc w:val="left"/>
        <w:tblInd w:w="0" w:type="dxa"/>
        <w:tblLayout w:type="fixed"/>
        <w:tblCellMar>
          <w:top w:w="0" w:type="dxa"/>
          <w:left w:w="0" w:type="dxa"/>
          <w:bottom w:w="0" w:type="dxa"/>
          <w:right w:w="0" w:type="dxa"/>
        </w:tblCellMar>
      </w:tblPr>
      <w:tblGrid>
        <w:gridCol w:w="346"/>
        <w:gridCol w:w="1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for services.</w:t>
            </w:r>
          </w:p>
        </w:tc>
      </w:tr>
    </w:tbl>
    <w:tbl>
      <w:tblPr>
        <w:tblW w:w="5597" w:type="dxa"/>
        <w:jc w:val="left"/>
        <w:tblInd w:w="0" w:type="dxa"/>
        <w:tblLayout w:type="fixed"/>
        <w:tblCellMar>
          <w:top w:w="0" w:type="dxa"/>
          <w:left w:w="0" w:type="dxa"/>
          <w:bottom w:w="0" w:type="dxa"/>
          <w:right w:w="0" w:type="dxa"/>
        </w:tblCellMar>
      </w:tblPr>
      <w:tblGrid>
        <w:gridCol w:w="346"/>
        <w:gridCol w:w="52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feedstock fees, non-current, for the production of RNG.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directly holds a 4.3%</w:t>
            </w:r>
            <w:r>
              <w:rPr>
                <w:caps w:val="false"/>
                <w:smallCaps w:val="false"/>
              </w:rPr>
              <w:t xml:space="preserve"> </w:t>
            </w:r>
            <w:r>
              <w:rPr>
                <w:rFonts w:ascii="Times New Roman;Times;serif" w:hAnsi="Times New Roman;Times;serif"/>
                <w:b w:val="false"/>
                <w:i w:val="false"/>
                <w:caps w:val="false"/>
                <w:smallCaps w:val="false"/>
                <w:sz w:val="20"/>
              </w:rPr>
              <w:t>interest in the Series A Preferred Stock of Zero6 Clean Energy Assets, Inc. (“Zero6”), formerly Juhl Clean Energy Assets, Inc., which is not a publicly listed entity with a readily determinable fair value. The Company therefore measures the securities at cost. Recent observable equity raises indicated no impairment issues. This ownership interest is also pledged as collateral against two</w:t>
            </w:r>
            <w:r>
              <w:rPr>
                <w:caps w:val="false"/>
                <w:smallCaps w:val="false"/>
              </w:rPr>
              <w:t xml:space="preserve"> </w:t>
            </w:r>
            <w:r>
              <w:rPr>
                <w:rFonts w:ascii="Times New Roman;Times;serif" w:hAnsi="Times New Roman;Times;serif"/>
                <w:b w:val="false"/>
                <w:i w:val="false"/>
                <w:caps w:val="false"/>
                <w:smallCaps w:val="false"/>
                <w:sz w:val="20"/>
              </w:rPr>
              <w:t>future obligations to Rock County Wind Fuel, LLC (“RCWF”), a Zero6 subsidiary, see Note 16, Commitments and Contingencies, for additional information.</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Axens will provide certain alcohol-to-SAF technologies and services exclusively provided to the Company which may be offset against future license fees subject to the delivery of a process design package.</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Deposits provided to a developer of certain wind-farm projects and power utility contractor to induce to design and construct the power generation, transmission and distribution facilities that will serve NZ1, $5.5</w:t>
            </w:r>
            <w:r>
              <w:rPr>
                <w:caps w:val="false"/>
                <w:smallCaps w:val="false"/>
              </w:rPr>
              <w:t xml:space="preserve"> </w:t>
            </w:r>
            <w:r>
              <w:rPr>
                <w:rFonts w:ascii="Times New Roman;Times;serif" w:hAnsi="Times New Roman;Times;serif"/>
                <w:b w:val="false"/>
                <w:i w:val="false"/>
                <w:caps w:val="false"/>
                <w:smallCaps w:val="false"/>
                <w:sz w:val="20"/>
              </w:rPr>
              <w:t>million of which will be either reimbursed or used as an investment into wind generation facility and the remaining $28.7</w:t>
            </w:r>
            <w:r>
              <w:rPr>
                <w:caps w:val="false"/>
                <w:smallCaps w:val="false"/>
              </w:rPr>
              <w:t xml:space="preserve"> </w:t>
            </w:r>
            <w:r>
              <w:rPr>
                <w:rFonts w:ascii="Times New Roman;Times;serif" w:hAnsi="Times New Roman;Times;serif"/>
                <w:b w:val="false"/>
                <w:i w:val="false"/>
                <w:caps w:val="false"/>
                <w:smallCaps w:val="false"/>
                <w:sz w:val="20"/>
              </w:rPr>
              <w:t>million is expected to be fully reimbursed upon completion of the project. Gevo has contractual priority liens against the equipment and constructed facilities under the contracts.</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Pre-operation payments for sand separation systems to process manure feedstock which were allocated to the non-lease fuel supply, being amortized over the life of the project.</w:t>
            </w:r>
          </w:p>
        </w:tc>
      </w:tr>
    </w:tbl>
    <w:p>
      <w:pPr>
        <w:pStyle w:val="Normal"/>
        <w:bidi w:val="0"/>
        <w:spacing w:before="0" w:after="0"/>
        <w:jc w:val="left"/>
        <w:rPr>
          <w:sz w:val="4"/>
          <w:szCs w:val="4"/>
        </w:rPr>
      </w:pPr>
      <w:r>
        <w:rPr>
          <w:sz w:val="4"/>
          <w:szCs w:val="4"/>
        </w:rPr>
      </w:r>
      <w:bookmarkStart w:id="864" w:name="Tc_2F_krdKG_0So8jUZts6vJw_6_5"/>
      <w:bookmarkStart w:id="865" w:name="Tc_dkQgHzPkEU2vc3KRt1DwUw_6_2"/>
      <w:bookmarkStart w:id="866" w:name="Tc_lS7kt_kVekSyvVXHXbX8Ow_6_0"/>
      <w:bookmarkStart w:id="867" w:name="Tc_vijCCmBSfkedIsZ9dnUfmw_5_0"/>
      <w:bookmarkStart w:id="868" w:name="Tc_tV2x6RUOOEaqLaMouRnHbA_4_0"/>
      <w:bookmarkStart w:id="869" w:name="Tc_sg9gYbjIB0qDJl1BWdZZjQ_3_0"/>
      <w:bookmarkStart w:id="870" w:name="Tc_flFn1WrJ_U2TlmPK9CALoA_2_5"/>
      <w:bookmarkStart w:id="871" w:name="Tc_a0pwGi8YVkSFynOryUPmnw_2_2"/>
      <w:bookmarkStart w:id="872" w:name="Tc_LBhZfqEpyUe4Gzt3XGQkzQ_2_0"/>
      <w:bookmarkStart w:id="873" w:name="Tc_DbR-Fd9OgUGALdRJfo3QSQ_1_5"/>
      <w:bookmarkStart w:id="874" w:name="Tc_RF6nixh2KEOaco0JLJBVBg_1_2"/>
      <w:bookmarkStart w:id="875" w:name="_e47aa786_3f8e_4bbf_85a7_01a6b4c392a5"/>
      <w:bookmarkStart w:id="876" w:name="Tc_2F_krdKG_0So8jUZts6vJw_6_5"/>
      <w:bookmarkStart w:id="877" w:name="Tc_dkQgHzPkEU2vc3KRt1DwUw_6_2"/>
      <w:bookmarkStart w:id="878" w:name="Tc_lS7kt_kVekSyvVXHXbX8Ow_6_0"/>
      <w:bookmarkStart w:id="879" w:name="Tc_vijCCmBSfkedIsZ9dnUfmw_5_0"/>
      <w:bookmarkStart w:id="880" w:name="Tc_tV2x6RUOOEaqLaMouRnHbA_4_0"/>
      <w:bookmarkStart w:id="881" w:name="Tc_sg9gYbjIB0qDJl1BWdZZjQ_3_0"/>
      <w:bookmarkStart w:id="882" w:name="Tc_flFn1WrJ_U2TlmPK9CALoA_2_5"/>
      <w:bookmarkStart w:id="883" w:name="Tc_a0pwGi8YVkSFynOryUPmnw_2_2"/>
      <w:bookmarkStart w:id="884" w:name="Tc_LBhZfqEpyUe4Gzt3XGQkzQ_2_0"/>
      <w:bookmarkStart w:id="885" w:name="Tc_DbR-Fd9OgUGALdRJfo3QSQ_1_5"/>
      <w:bookmarkStart w:id="886" w:name="Tc_RF6nixh2KEOaco0JLJBVBg_1_2"/>
      <w:bookmarkStart w:id="887" w:name="_e47aa786_3f8e_4bbf_85a7_01a6b4c392a5"/>
      <w:bookmarkEnd w:id="876"/>
      <w:bookmarkEnd w:id="877"/>
      <w:bookmarkEnd w:id="878"/>
      <w:bookmarkEnd w:id="879"/>
      <w:bookmarkEnd w:id="880"/>
      <w:bookmarkEnd w:id="881"/>
      <w:bookmarkEnd w:id="882"/>
      <w:bookmarkEnd w:id="883"/>
      <w:bookmarkEnd w:id="884"/>
      <w:bookmarkEnd w:id="885"/>
      <w:bookmarkEnd w:id="886"/>
      <w:bookmarkEnd w:id="887"/>
    </w:p>
    <w:tbl>
      <w:tblPr>
        <w:tblW w:w="4052" w:type="dxa"/>
        <w:jc w:val="left"/>
        <w:tblInd w:w="0" w:type="dxa"/>
        <w:tblLayout w:type="fixed"/>
        <w:tblCellMar>
          <w:top w:w="0" w:type="dxa"/>
          <w:left w:w="0" w:type="dxa"/>
          <w:bottom w:w="0" w:type="dxa"/>
          <w:right w:w="0" w:type="dxa"/>
        </w:tblCellMar>
      </w:tblPr>
      <w:tblGrid>
        <w:gridCol w:w="376"/>
        <w:gridCol w:w="367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12.</w:t>
            </w:r>
          </w:p>
        </w:tc>
        <w:tc>
          <w:tcPr>
            <w:tcW w:w="36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Accounts Payable and Accrued Liabilities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components of the Company’s accounts payable and accrued liabilities in the Consolidated Balance Sheets (in thousands) as of:</w:t>
      </w:r>
    </w:p>
    <w:tbl>
      <w:tblPr>
        <w:tblW w:w="7315" w:type="dxa"/>
        <w:jc w:val="left"/>
        <w:tblInd w:w="0" w:type="dxa"/>
        <w:tblLayout w:type="fixed"/>
        <w:tblCellMar>
          <w:top w:w="0" w:type="dxa"/>
          <w:left w:w="0" w:type="dxa"/>
          <w:bottom w:w="0" w:type="dxa"/>
          <w:right w:w="0" w:type="dxa"/>
        </w:tblCellMar>
      </w:tblPr>
      <w:tblGrid>
        <w:gridCol w:w="3856"/>
        <w:gridCol w:w="326"/>
        <w:gridCol w:w="299"/>
        <w:gridCol w:w="962"/>
        <w:gridCol w:w="326"/>
        <w:gridCol w:w="328"/>
        <w:gridCol w:w="1218"/>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448560" cy="175260"/>
                      <wp:effectExtent l="0" t="0" r="0" b="0"/>
                      <wp:wrapNone/>
                      <wp:docPr id="168" name="Frame168"/>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89865" cy="175260"/>
                      <wp:effectExtent l="0" t="0" r="0" b="0"/>
                      <wp:wrapNone/>
                      <wp:docPr id="170" name="Frame170"/>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10870" cy="175260"/>
                      <wp:effectExtent l="0" t="0" r="0" b="0"/>
                      <wp:wrapNone/>
                      <wp:docPr id="171" name="Frame171"/>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8280" cy="175260"/>
                      <wp:effectExtent l="0" t="0" r="0" b="0"/>
                      <wp:wrapNone/>
                      <wp:docPr id="173" name="Frame173"/>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73430" cy="175260"/>
                      <wp:effectExtent l="0" t="0" r="0" b="0"/>
                      <wp:wrapNone/>
                      <wp:docPr id="174" name="Frame174"/>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3,600</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2,718</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4,882</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6,448</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pPr>
            <w:r>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9,554</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6,965</w:t>
            </w:r>
          </w:p>
        </w:tc>
      </w:tr>
      <w:tr>
        <w:trPr/>
        <w:tc>
          <w:tcPr>
            <w:tcW w:w="38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payroll and related benefits</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3,520</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6,621</w:t>
            </w:r>
          </w:p>
        </w:tc>
      </w:tr>
      <w:tr>
        <w:trPr/>
        <w:tc>
          <w:tcPr>
            <w:tcW w:w="38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accounts payable and accrued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21,556</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22,752</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917" w:type="dxa"/>
        <w:jc w:val="left"/>
        <w:tblInd w:w="0" w:type="dxa"/>
        <w:tblLayout w:type="fixed"/>
        <w:tblCellMar>
          <w:top w:w="0" w:type="dxa"/>
          <w:left w:w="0" w:type="dxa"/>
          <w:bottom w:w="0" w:type="dxa"/>
          <w:right w:w="0" w:type="dxa"/>
        </w:tblCellMar>
      </w:tblPr>
      <w:tblGrid>
        <w:gridCol w:w="376"/>
        <w:gridCol w:w="5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13.</w:t>
            </w:r>
          </w:p>
        </w:tc>
        <w:tc>
          <w:tcPr>
            <w:tcW w:w="5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2021 Bond Issuance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15, 2021, on behalf of Gevo NW Iowa RNG, LLC, the Iowa Finance Authority (the “Issuer”)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Issuer and Citibank, N.A. as trustee (the “Trustee”). The 2021 Bonds mature April 1, 2042. The bonds bear interest at 1.5% per annum during the Initial Term Rate Period (as defined in the Indenture), payable semi-annually on January 1 and July 1 of each year. The effective interest rate is 1.1%. The 2021 Bonds are supported by the $71.2 million Bond Letter of Credit; see Note 5, Restricted Cash. The Trustee can draw sufficient amounts on the Bond Letter of Credit to pay the principal and interest until the first mandatory tender date of April 1, 2024. The 2021 Bonds are callable and re-marketable on or after October 1, 2022. If the 2021 Bonds have not been called and re-marketed by the first mandatory tender date, the Trustee may draw on the Bond Letter of Credit to repay the bonds in their entirety at the purchase price. As of March 31, 2024, no amounts have been drawn under the Bond Letter of Credit.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2021 Bonds were issued at a premium of $0.8 million and debt issuance costs were $3.0 million. The bond debt is classified as non-current debt and is presented net of the premium and issuance costs, which are being amortized over the life of the 2021 Bonds using the interest method. As of March 31, 2024 all premiums and debt issuance costs were fully amortized. As of December 31, 2023, the premium balance and the debt issuance cost net of amortization were $0.1 million and $0.3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00"/>
        <w:ind w:left="0" w:right="0" w:hanging="0"/>
        <w:jc w:val="left"/>
        <w:rPr>
          <w:rFonts w:ascii="Times New Roman;Times;serif" w:hAnsi="Times New Roman;Times;serif"/>
          <w:sz w:val="20"/>
        </w:rPr>
      </w:pPr>
      <w:bookmarkStart w:id="888" w:name="Tc_dcnPHWrM60aVUhdAmYXA-A_5_2"/>
      <w:bookmarkStart w:id="889" w:name="Tc_qKz0iH6-4kKjojO2856I-A_5_0"/>
      <w:bookmarkStart w:id="890" w:name="Tc_okAJnMWsuUGqxHKTdJXq5Q_4_0"/>
      <w:bookmarkStart w:id="891" w:name="Tc_Dm6oH8al80eA1-GfTBe0Mw_3_0"/>
      <w:bookmarkStart w:id="892" w:name="Tc_wy0S0uYrGkaEE8sDlnD9LA_2_2"/>
      <w:bookmarkStart w:id="893" w:name="Tc_6iCTmdqmqUGmupJ-9Cc_og_2_0"/>
      <w:bookmarkStart w:id="894" w:name="Tc_ZCbR_d3o2E2bXc8yXTn0Ww_1_2"/>
      <w:bookmarkStart w:id="895" w:name="Tc_PqH3IFzhdU6r5_pSDUQooA_1_0"/>
      <w:bookmarkStart w:id="896" w:name="_564897e9_b547_43c8_8642_b94699b0d0d1"/>
      <w:bookmarkStart w:id="897" w:name="Tc_3k9plDl3wkavQaxGrixJKQ_7_9"/>
      <w:bookmarkStart w:id="898" w:name="Tc_Q2fgMhpf3E-PxaPIpOJMtw_7_6"/>
      <w:bookmarkStart w:id="899" w:name="Tc_nQ1Xzq4aCEibhncAYtteBw_7_0"/>
      <w:bookmarkStart w:id="900" w:name="Tc_cH5Yvjv8uEizCDNviQdEkg_6_0"/>
      <w:bookmarkStart w:id="901" w:name="Tc_18xZraWaNke6Q9xqnrcbgg_5_0"/>
      <w:bookmarkStart w:id="902" w:name="Tc_L4qngclYw0KVRKh4L4NzDQ_4_4"/>
      <w:bookmarkStart w:id="903" w:name="Tc_SSbiHif6cEaeiWoitVwuaA_4_2"/>
      <w:bookmarkStart w:id="904" w:name="Tc_zHcuyJoe-0iAi8wqg3lQ0A_4_0"/>
      <w:bookmarkStart w:id="905" w:name="Tc_1OxrmyoxvkCDBPUjniEUbg_3_4"/>
      <w:bookmarkStart w:id="906" w:name="Tc_6GmzrN8NLk-XIasLOgLKtg_3_0"/>
      <w:bookmarkStart w:id="907" w:name="Tc_PCzwDe_mTEWHrMTho1OGbA_2_9"/>
      <w:bookmarkStart w:id="908" w:name="Tc_OLOLcxAamUKCj0XYGhrtng_2_6"/>
      <w:bookmarkStart w:id="909" w:name="Tc_XbLWgVGszE2Q_IPoLFBrxQ_2_4"/>
      <w:bookmarkStart w:id="910" w:name="Tc_8NIl_oXXHE6ULYwjuFDyMg_2_0"/>
      <w:bookmarkStart w:id="911" w:name="Tc_G2czNXJhe0mgnxF32scwDQ_1_9"/>
      <w:bookmarkStart w:id="912" w:name="Tc_zTWLS9DVIkGgsOOoFK9RjA_1_6"/>
      <w:bookmarkStart w:id="913" w:name="Tc_eauaTrntc0O6c1TnM27jxQ_1_4"/>
      <w:bookmarkStart w:id="914" w:name="Tc_vN94e9N3QEykbWvl6Fi1kg_1_2"/>
      <w:bookmarkStart w:id="915" w:name="_91deaaf2_7188_45d5_af8e_f08703d61fab"/>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r>
        <w:rPr>
          <w:rFonts w:ascii="Times New Roman;Times;serif" w:hAnsi="Times New Roman;Times;serif"/>
          <w:sz w:val="20"/>
        </w:rPr>
        <w:t>2024 Bond Remarketing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April 1, 2024 (the “Conversion Date”), the 2021 Bonds became subject to mandatory tender for purchase and have been remarketed to bear interest in a new term rate period (the “Remarketed Bonds”). In connection with the conversion and remarketing of the 2021 Bonds on the Conversion Date, the original Indenture was amended by a First Supplemental Indenture dated as of April 1, 2024 (together with the original Indenture the “First Supplemental Indenture,”) between the Issuer and the Trustee. The original bond financing agreement was amended by a First Supplemental Bond Financing Agreement dated as of April 1, 2024 (together with the original bond financing Agreement, the “First Supplemental Bond Financing Agreement”) between the Issuer and the Company.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Remarketed Bonds retained the same maturity date of April 1, 2042. The Remarketed Bonds now bear interest of 3.875% per annum during the Initial Term Rate Period (as defined in the Indenture), payable semi-annually on October 1 and April 1 of each year. The effective interest rate is 1.2%. The Company incurred approximately $1.7 million of debt issuance costs associated with the remarketing. The Remarketed Bonds are supported by a $69.6 million New Letter of Credit; see Note 5, Restricted Cash, issued to the incumbent Trustee that can draw sufficient amounts on the New Letter of Credit to pay the principal and interest, in case of default, until the first mandatory tender date of March 31, 2026. The Remarketed Bonds are callable and re-marketable on or after November 1, 2024. If the Remarketed Bonds have not been called and re-marketed by the first mandatory tender date, the Trustee may draw on the Bond Letter of Credit to repay the bonds in their entirety at the purchase price.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Loans Payable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2021, the balance of $0.5 million of the Company’s and $0.1 million of Agri-Energy’s loans and accrued interest obtained through the SBA PPP were forgiven. The remaining SBA Loan for Agri-Energy totals $0.2 million, bears interest at 1.0% per annum and matures in April 2025. Monthly payments of $8,230, including interest, began on June 5, 2021, and are payable through April 2025.</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summary of the Company’s long-term debt is as follows (in thousands) as of:</w:t>
      </w:r>
    </w:p>
    <w:tbl>
      <w:tblPr>
        <w:tblW w:w="9514" w:type="dxa"/>
        <w:jc w:val="left"/>
        <w:tblInd w:w="0" w:type="dxa"/>
        <w:tblLayout w:type="fixed"/>
        <w:tblCellMar>
          <w:top w:w="0" w:type="dxa"/>
          <w:left w:w="0" w:type="dxa"/>
          <w:bottom w:w="0" w:type="dxa"/>
          <w:right w:w="0" w:type="dxa"/>
        </w:tblCellMar>
      </w:tblPr>
      <w:tblGrid>
        <w:gridCol w:w="1801"/>
        <w:gridCol w:w="146"/>
        <w:gridCol w:w="1051"/>
        <w:gridCol w:w="146"/>
        <w:gridCol w:w="2911"/>
        <w:gridCol w:w="326"/>
        <w:gridCol w:w="299"/>
        <w:gridCol w:w="962"/>
        <w:gridCol w:w="326"/>
        <w:gridCol w:w="328"/>
        <w:gridCol w:w="1218"/>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143635" cy="175260"/>
                      <wp:effectExtent l="0" t="0" r="0" b="0"/>
                      <wp:wrapNone/>
                      <wp:docPr id="175" name="Frame17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92710" cy="175260"/>
                      <wp:effectExtent l="0" t="0" r="0" b="0"/>
                      <wp:wrapNone/>
                      <wp:docPr id="176" name="Frame17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67385" cy="175260"/>
                      <wp:effectExtent l="0" t="0" r="0" b="0"/>
                      <wp:wrapNone/>
                      <wp:docPr id="177" name="Frame17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92710" cy="175260"/>
                      <wp:effectExtent l="0" t="0" r="0" b="0"/>
                      <wp:wrapNone/>
                      <wp:docPr id="178" name="Frame17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848485" cy="175260"/>
                      <wp:effectExtent l="0" t="0" r="0" b="0"/>
                      <wp:wrapNone/>
                      <wp:docPr id="179" name="Frame179"/>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89865" cy="175260"/>
                      <wp:effectExtent l="0" t="0" r="0" b="0"/>
                      <wp:wrapNone/>
                      <wp:docPr id="181" name="Frame18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10870" cy="175260"/>
                      <wp:effectExtent l="0" t="0" r="0" b="0"/>
                      <wp:wrapNone/>
                      <wp:docPr id="182" name="Frame182"/>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8280" cy="175260"/>
                      <wp:effectExtent l="0" t="0" r="0" b="0"/>
                      <wp:wrapNone/>
                      <wp:docPr id="184" name="Frame184"/>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73430" cy="175260"/>
                      <wp:effectExtent l="0" t="0" r="0" b="0"/>
                      <wp:wrapNone/>
                      <wp:docPr id="185" name="Frame185"/>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 Rate</w:t>
            </w:r>
          </w:p>
        </w:tc>
        <w:tc>
          <w:tcPr>
            <w:tcW w:w="146" w:type="dxa"/>
            <w:tcBorders/>
            <w:vAlign w:val="center"/>
          </w:tcPr>
          <w:p>
            <w:pPr>
              <w:pStyle w:val="TableContents"/>
              <w:bidi w:val="0"/>
              <w:spacing w:before="0" w:after="1"/>
              <w:ind w:left="0" w:right="0" w:hanging="0"/>
              <w:jc w:val="center"/>
              <w:rPr/>
            </w:pPr>
            <w:r>
              <w:rPr/>
              <w:t>​</w:t>
            </w:r>
          </w:p>
        </w:tc>
        <w:tc>
          <w:tcPr>
            <w:tcW w:w="29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 Date</w:t>
            </w:r>
          </w:p>
        </w:tc>
        <w:tc>
          <w:tcPr>
            <w:tcW w:w="326" w:type="dxa"/>
            <w:tcBorders/>
            <w:vAlign w:val="center"/>
          </w:tcPr>
          <w:p>
            <w:pPr>
              <w:pStyle w:val="TableContents"/>
              <w:bidi w:val="0"/>
              <w:spacing w:before="0" w:after="1"/>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2021 Bonds, net</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w:t>
            </w:r>
          </w:p>
        </w:tc>
        <w:tc>
          <w:tcPr>
            <w:tcW w:w="146" w:type="dxa"/>
            <w:tcBorders/>
            <w:shd w:fill="CCEEFF" w:val="clear"/>
            <w:vAlign w:val="center"/>
          </w:tcPr>
          <w:p>
            <w:pPr>
              <w:pStyle w:val="TableContents"/>
              <w:bidi w:val="0"/>
              <w:spacing w:before="0" w:after="1"/>
              <w:ind w:left="0" w:right="0" w:hanging="0"/>
              <w:jc w:val="left"/>
              <w:rPr/>
            </w:pPr>
            <w:r>
              <w:rPr/>
              <w:t> </w:t>
            </w:r>
          </w:p>
        </w:tc>
        <w:tc>
          <w:tcPr>
            <w:tcW w:w="29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2042</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67,967</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SBA Loans</w:t>
            </w:r>
          </w:p>
        </w:tc>
        <w:tc>
          <w:tcPr>
            <w:tcW w:w="1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w:t>
            </w:r>
          </w:p>
        </w:tc>
        <w:tc>
          <w:tcPr>
            <w:tcW w:w="146" w:type="dxa"/>
            <w:tcBorders/>
            <w:vAlign w:val="center"/>
          </w:tcPr>
          <w:p>
            <w:pPr>
              <w:pStyle w:val="TableContents"/>
              <w:bidi w:val="0"/>
              <w:spacing w:before="0" w:after="1"/>
              <w:ind w:left="0" w:right="0" w:hanging="0"/>
              <w:jc w:val="left"/>
              <w:rPr/>
            </w:pPr>
            <w:r>
              <w:rPr/>
              <w:t> </w:t>
            </w:r>
          </w:p>
        </w:tc>
        <w:tc>
          <w:tcPr>
            <w:tcW w:w="29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April 2025</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Equipment</w:t>
            </w:r>
          </w:p>
        </w:tc>
        <w:tc>
          <w:tcPr>
            <w:tcW w:w="1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 to 5%</w:t>
            </w:r>
          </w:p>
        </w:tc>
        <w:tc>
          <w:tcPr>
            <w:tcW w:w="146" w:type="dxa"/>
            <w:tcBorders/>
            <w:shd w:fill="CCEEFF" w:val="clear"/>
            <w:vAlign w:val="center"/>
          </w:tcPr>
          <w:p>
            <w:pPr>
              <w:pStyle w:val="TableContents"/>
              <w:bidi w:val="0"/>
              <w:spacing w:before="0" w:after="1"/>
              <w:ind w:left="0" w:right="0" w:hanging="0"/>
              <w:jc w:val="left"/>
              <w:rPr/>
            </w:pPr>
            <w:r>
              <w:rPr/>
              <w:t> </w:t>
            </w:r>
          </w:p>
        </w:tc>
        <w:tc>
          <w:tcPr>
            <w:tcW w:w="29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December 2023 to December 2024</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29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99" w:type="dxa"/>
            <w:tcBorders/>
            <w:vAlign w:val="center"/>
          </w:tcPr>
          <w:p>
            <w:pPr>
              <w:pStyle w:val="TableContents"/>
              <w:bidi w:val="0"/>
              <w:spacing w:before="0" w:after="1"/>
              <w:ind w:left="0" w:right="0" w:hanging="0"/>
              <w:jc w:val="left"/>
              <w:rPr/>
            </w:pPr>
            <w:r>
              <w:rPr/>
              <w:t> </w:t>
            </w:r>
          </w:p>
        </w:tc>
        <w:tc>
          <w:tcPr>
            <w:tcW w:w="96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68,273</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 </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68,118</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1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291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9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(68,097)</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portion</w:t>
            </w:r>
          </w:p>
        </w:tc>
        <w:tc>
          <w:tcPr>
            <w:tcW w:w="1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291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9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21</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Future payments for the Company’s long-term debt are as follows (in thousands):</w:t>
      </w:r>
    </w:p>
    <w:tbl>
      <w:tblPr>
        <w:tblW w:w="3444" w:type="dxa"/>
        <w:jc w:val="left"/>
        <w:tblInd w:w="0" w:type="dxa"/>
        <w:tblLayout w:type="fixed"/>
        <w:tblCellMar>
          <w:top w:w="0" w:type="dxa"/>
          <w:left w:w="0" w:type="dxa"/>
          <w:bottom w:w="0" w:type="dxa"/>
          <w:right w:w="0" w:type="dxa"/>
        </w:tblCellMar>
      </w:tblPr>
      <w:tblGrid>
        <w:gridCol w:w="2116"/>
        <w:gridCol w:w="326"/>
        <w:gridCol w:w="211"/>
        <w:gridCol w:w="79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43660" cy="175260"/>
                      <wp:effectExtent l="0" t="0" r="0" b="0"/>
                      <wp:wrapNone/>
                      <wp:docPr id="186" name="Frame186"/>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02285" cy="175260"/>
                      <wp:effectExtent l="0" t="0" r="0" b="0"/>
                      <wp:wrapNone/>
                      <wp:docPr id="189" name="Frame18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 Ending December 31, </w:t>
            </w:r>
          </w:p>
        </w:tc>
        <w:tc>
          <w:tcPr>
            <w:tcW w:w="326" w:type="dxa"/>
            <w:tcBorders/>
            <w:vAlign w:val="center"/>
          </w:tcPr>
          <w:p>
            <w:pPr>
              <w:pStyle w:val="TableContents"/>
              <w:bidi w:val="0"/>
              <w:spacing w:before="0" w:after="1"/>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Debt</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1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r>
      <w:tr>
        <w:trPr/>
        <w:tc>
          <w:tcPr>
            <w:tcW w:w="21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68,273</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2822" w:type="dxa"/>
        <w:jc w:val="left"/>
        <w:tblInd w:w="0" w:type="dxa"/>
        <w:tblLayout w:type="fixed"/>
        <w:tblCellMar>
          <w:top w:w="0" w:type="dxa"/>
          <w:left w:w="0" w:type="dxa"/>
          <w:bottom w:w="0" w:type="dxa"/>
          <w:right w:w="0" w:type="dxa"/>
        </w:tblCellMar>
      </w:tblPr>
      <w:tblGrid>
        <w:gridCol w:w="376"/>
        <w:gridCol w:w="24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14.</w:t>
            </w:r>
          </w:p>
        </w:tc>
        <w:tc>
          <w:tcPr>
            <w:tcW w:w="24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Equity incentive plans</w:t>
      </w:r>
      <w:r>
        <w:rPr>
          <w:rFonts w:ascii="Times New Roman;Times;serif" w:hAnsi="Times New Roman;Times;serif"/>
          <w:sz w:val="20"/>
        </w:rPr>
        <w:t>. In February 2011, the Company’s stockholders approved the Gevo, Inc. 2010 Stock Incentive Plan (as amended and restated to date, the “2010 Plan”), and the Employee Stock Purchase Plan (the “ESPP”).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916" w:name="Tc_YX8bP-W54UmG8lysl_TWAQ_12_10"/>
      <w:bookmarkStart w:id="917" w:name="Tc_sU_9zFoCd0a0bxA6FU4myA_12_4"/>
      <w:bookmarkStart w:id="918" w:name="Tc_-ohTH_-_AEWXK3BVKTZFoQ_12_0"/>
      <w:bookmarkStart w:id="919" w:name="Tc_vy3IhJfycUOepNrmfEJCng_11_10"/>
      <w:bookmarkStart w:id="920" w:name="Tc_VpKTxffpVEGlnGKqzomQlQ_11_4"/>
      <w:bookmarkStart w:id="921" w:name="Tc_-Se-0hl8wkOJQH-XMJuHMg_11_0"/>
      <w:bookmarkStart w:id="922" w:name="Tc_M0PG5t52C0eiNVesLIpVZQ_10_10"/>
      <w:bookmarkStart w:id="923" w:name="Tc__7ZwDYQV2UWOEQzJrEQGFQ_10_4"/>
      <w:bookmarkStart w:id="924" w:name="Tc_lR_GaGYzq0eXWAW0IVJNGg_10_0"/>
      <w:bookmarkStart w:id="925" w:name="Tc_dyNqDcr-ykiJHHEjn2wCLw_9_10"/>
      <w:bookmarkStart w:id="926" w:name="Tc_huACOPBDaEqciHorPPtIRw_9_4"/>
      <w:bookmarkStart w:id="927" w:name="Tc_a4EqYblTKky473Y7AGhipQ_9_0"/>
      <w:bookmarkStart w:id="928" w:name="Tc_Hws_Ay9JQUSK7JZ7ETrJbQ_8_10"/>
      <w:bookmarkStart w:id="929" w:name="Tc_j29ubKr1QU2akY0FcEcKSw_8_5"/>
      <w:bookmarkStart w:id="930" w:name="Tc_uXGI7i4lS0aUPD9yeLZBTQ_8_4"/>
      <w:bookmarkStart w:id="931" w:name="Tc_W-kTAN3ZuUOv4s5SOwwrZA_8_2"/>
      <w:bookmarkStart w:id="932" w:name="Tc_MeeDTNOKIkOrADPLEug63A_8_0"/>
      <w:bookmarkStart w:id="933" w:name="Tc_4nP7FBq7SEW4e3al-LB-aw_7_10"/>
      <w:bookmarkStart w:id="934" w:name="Tc_XP56k_cYOUelmJOggNAflg_7_4"/>
      <w:bookmarkStart w:id="935" w:name="Tc__DHTIbiefUKjNnxTJXm3_Q_7_0"/>
      <w:bookmarkStart w:id="936" w:name="Tc_z2svDLfh1UGHFInnldqwUg_6_10"/>
      <w:bookmarkStart w:id="937" w:name="Tc_-ZSeL_k-9U2rYK3E6nHa5A_6_7"/>
      <w:bookmarkStart w:id="938" w:name="Tc_O_GA8u7sDUuUslBh-vv5LQ_6_4"/>
      <w:bookmarkStart w:id="939" w:name="Tc_I7K_QQsDxUG0GuQFy8VOew_6_2"/>
      <w:bookmarkStart w:id="940" w:name="Tc_RJ_ZP2Cll0i7OkTo6fiCMg_5_10"/>
      <w:bookmarkStart w:id="941" w:name="Tc_FusiRliI4kybvI7sxxPKRA_5_7"/>
      <w:bookmarkStart w:id="942" w:name="Tc_3eDUhTjAKUC0K1Nlp_lnvw_5_4"/>
      <w:bookmarkStart w:id="943" w:name="Tc_HJQ55KMVWE2zUOzMGs1ZLg_5_2"/>
      <w:bookmarkStart w:id="944" w:name="Tc_SvLbole0D0-DjY8PLQIVeQ_4_10"/>
      <w:bookmarkStart w:id="945" w:name="Tc_ByiSfroV6EWgLqplqFS23g_4_7"/>
      <w:bookmarkStart w:id="946" w:name="Tc_XTlNrJThg0OYsSi_eOLZ8Q_4_4"/>
      <w:bookmarkStart w:id="947" w:name="Tc_TYqUMyLMVUyIuFsZw1_zTg_3_7"/>
      <w:bookmarkStart w:id="948" w:name="Tc_rVREeZhQ_0Oo6D-e5NJZfA_3_4"/>
      <w:bookmarkStart w:id="949" w:name="Tc_BCZmmYgdJkq4Sddx8j9CDQ_2_7"/>
      <w:bookmarkStart w:id="950" w:name="Tc_wE8vOrnmAUif35RQQ2cXWw_1_7"/>
      <w:bookmarkStart w:id="951" w:name="_a3373411_05b3_44ff_84af_5f6de767f8bf"/>
      <w:bookmarkStart w:id="952" w:name="Tc_xjE45hDlhUG6yD0MJ4pgvw_6_5"/>
      <w:bookmarkStart w:id="953" w:name="Tc_YcSzo9_4E0-ji2ApWQWaxA_6_2"/>
      <w:bookmarkStart w:id="954" w:name="Tc_V1YRW78dnEKrMVj8BiNqQg_6_0"/>
      <w:bookmarkStart w:id="955" w:name="Tc_cVy-7hC660Oql5qcWSLzzw_5_0"/>
      <w:bookmarkStart w:id="956" w:name="Tc_G2ymvTgIr0Kpin9hOTRwMQ_4_0"/>
      <w:bookmarkStart w:id="957" w:name="Tc_tuEYu2CVoUCd0tQSTyei4w_3_5"/>
      <w:bookmarkStart w:id="958" w:name="Tc_4dSe6BG_NkC79UQCU96tKA_3_2"/>
      <w:bookmarkStart w:id="959" w:name="Tc_c5jJbmhYo06wuN6W3rkbeQ_3_0"/>
      <w:bookmarkStart w:id="960" w:name="Tc_sLvNdX1kTkGqHRGieIDN-A_2_5"/>
      <w:bookmarkStart w:id="961" w:name="Tc_uhKZu9iX5Em0A1kaZp0yHg_2_2"/>
      <w:bookmarkStart w:id="962" w:name="Tc_1wNzh_sLPEq0nJm_OV6Yjw_1_2"/>
      <w:bookmarkStart w:id="963" w:name="_24de8d6f_7275_432e_836d_4f69b09015db"/>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r>
        <w:rPr>
          <w:rFonts w:ascii="Times New Roman;Times;serif" w:hAnsi="Times New Roman;Times;serif"/>
          <w:sz w:val="20"/>
        </w:rPr>
        <w:t>The 2010 Plan provides for the grant of non-qualified stock options, incentive stock options, stock appreciation rights, restricted stock awards, restricted stock units and other equity awards to employees and directors of the Company. In May 2023, upon approval of the stockholders at the 2023 Annual Meeting of Stockholders, the 2010 Plan was amended and restated, which increased the number of shares of common stock reserved for issuance under the 2010 Plan to 37,980,074 shares. At March 31, 2024, 13,015,893 shares were available for future issuance under the 2010 Plan.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Stock-based compensation expense</w:t>
      </w:r>
      <w:r>
        <w:rPr>
          <w:rFonts w:ascii="Times New Roman;Times;serif" w:hAnsi="Times New Roman;Times;serif"/>
          <w:sz w:val="20"/>
        </w:rPr>
        <w:t>. The Company records stock-based compensation expense during the requisite service period for share-based payment awards granted to employees and non-employees.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Company’s equity classified stock-based compensation expense for the periods indicated (in thousands):</w:t>
      </w:r>
    </w:p>
    <w:tbl>
      <w:tblPr>
        <w:tblW w:w="5345" w:type="dxa"/>
        <w:jc w:val="left"/>
        <w:tblInd w:w="0" w:type="dxa"/>
        <w:tblLayout w:type="fixed"/>
        <w:tblCellMar>
          <w:top w:w="0" w:type="dxa"/>
          <w:left w:w="0" w:type="dxa"/>
          <w:bottom w:w="0" w:type="dxa"/>
          <w:right w:w="0" w:type="dxa"/>
        </w:tblCellMar>
      </w:tblPr>
      <w:tblGrid>
        <w:gridCol w:w="2746"/>
        <w:gridCol w:w="109"/>
        <w:gridCol w:w="262"/>
        <w:gridCol w:w="709"/>
        <w:gridCol w:w="405"/>
        <w:gridCol w:w="262"/>
        <w:gridCol w:w="852"/>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743710" cy="175260"/>
                      <wp:effectExtent l="0" t="0" r="0" b="0"/>
                      <wp:wrapNone/>
                      <wp:docPr id="190" name="Frame190"/>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66370" cy="175260"/>
                      <wp:effectExtent l="0" t="0" r="0" b="0"/>
                      <wp:wrapNone/>
                      <wp:docPr id="192" name="Frame192"/>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50215" cy="175260"/>
                      <wp:effectExtent l="0" t="0" r="0" b="0"/>
                      <wp:wrapNone/>
                      <wp:docPr id="193" name="Frame193"/>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57175" cy="175260"/>
                      <wp:effectExtent l="0" t="0" r="0" b="0"/>
                      <wp:wrapNone/>
                      <wp:docPr id="194" name="Frame194"/>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66370" cy="175260"/>
                      <wp:effectExtent l="0" t="0" r="0" b="0"/>
                      <wp:wrapNone/>
                      <wp:docPr id="195" name="Frame195"/>
                      <a:graphic xmlns:a="http://schemas.openxmlformats.org/drawingml/2006/main">
                        <a:graphicData uri="http://schemas.microsoft.com/office/word/2010/wordprocessingShape">
                          <wps:wsp>
                            <wps:cNvSpPr txBox="1"/>
                            <wps:spPr>
                              <a:xfrm>
                                <a:off x="0" y="0"/>
                                <a:ext cx="166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41020" cy="175260"/>
                      <wp:effectExtent l="0" t="0" r="0" b="0"/>
                      <wp:wrapNone/>
                      <wp:docPr id="196" name="Frame196"/>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24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7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center"/>
              <w:rPr/>
            </w:pPr>
            <w:r>
              <w:rPr/>
              <w:t>​</w:t>
            </w:r>
          </w:p>
        </w:tc>
        <w:tc>
          <w:tcPr>
            <w:tcW w:w="9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5" w:type="dxa"/>
            <w:tcBorders/>
            <w:vAlign w:val="center"/>
          </w:tcPr>
          <w:p>
            <w:pPr>
              <w:pStyle w:val="TableContents"/>
              <w:bidi w:val="0"/>
              <w:spacing w:before="0" w:after="1"/>
              <w:ind w:left="0" w:right="0" w:hanging="0"/>
              <w:jc w:val="center"/>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05" w:type="dxa"/>
            <w:tcBorders/>
            <w:shd w:fill="CCEEFF" w:val="clear"/>
            <w:vAlign w:val="center"/>
          </w:tcPr>
          <w:p>
            <w:pPr>
              <w:pStyle w:val="TableContents"/>
              <w:bidi w:val="0"/>
              <w:spacing w:before="0" w:after="1"/>
              <w:ind w:left="0" w:right="0" w:hanging="0"/>
              <w:jc w:val="left"/>
              <w:rPr/>
            </w:pPr>
            <w:r>
              <w:rPr/>
              <w:t>​</w:t>
            </w:r>
          </w:p>
        </w:tc>
        <w:tc>
          <w:tcPr>
            <w:tcW w:w="2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3,688</w:t>
            </w:r>
          </w:p>
        </w:tc>
        <w:tc>
          <w:tcPr>
            <w:tcW w:w="405" w:type="dxa"/>
            <w:tcBorders/>
            <w:vAlign w:val="center"/>
          </w:tcPr>
          <w:p>
            <w:pPr>
              <w:pStyle w:val="TableContents"/>
              <w:bidi w:val="0"/>
              <w:spacing w:before="0" w:after="1"/>
              <w:ind w:left="0" w:right="0" w:hanging="0"/>
              <w:jc w:val="left"/>
              <w:rPr/>
            </w:pPr>
            <w:r>
              <w:rPr/>
              <w:t>​</w:t>
            </w:r>
          </w:p>
        </w:tc>
        <w:tc>
          <w:tcPr>
            <w:tcW w:w="262" w:type="dxa"/>
            <w:tcBorders/>
            <w:vAlign w:val="center"/>
          </w:tcPr>
          <w:p>
            <w:pPr>
              <w:pStyle w:val="TableContents"/>
              <w:bidi w:val="0"/>
              <w:spacing w:before="0" w:after="1"/>
              <w:ind w:left="0" w:right="0" w:hanging="0"/>
              <w:jc w:val="left"/>
              <w:rPr/>
            </w:pPr>
            <w:r>
              <w:rPr/>
              <w:t> </w:t>
            </w:r>
          </w:p>
        </w:tc>
        <w:tc>
          <w:tcPr>
            <w:tcW w:w="8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3,923</w:t>
            </w:r>
          </w:p>
        </w:tc>
      </w:tr>
      <w:tr>
        <w:trPr/>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532</w:t>
            </w:r>
          </w:p>
        </w:tc>
        <w:tc>
          <w:tcPr>
            <w:tcW w:w="405" w:type="dxa"/>
            <w:tcBorders/>
            <w:shd w:fill="CCEEFF" w:val="clear"/>
            <w:vAlign w:val="center"/>
          </w:tcPr>
          <w:p>
            <w:pPr>
              <w:pStyle w:val="TableContents"/>
              <w:bidi w:val="0"/>
              <w:spacing w:before="0" w:after="1"/>
              <w:ind w:left="0" w:right="0" w:hanging="0"/>
              <w:jc w:val="left"/>
              <w:rPr/>
            </w:pPr>
            <w:r>
              <w:rPr/>
              <w:t>​</w:t>
            </w:r>
          </w:p>
        </w:tc>
        <w:tc>
          <w:tcPr>
            <w:tcW w:w="26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736</w:t>
            </w:r>
          </w:p>
        </w:tc>
      </w:tr>
      <w:tr>
        <w:trPr/>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109"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4,233</w:t>
            </w:r>
          </w:p>
        </w:tc>
        <w:tc>
          <w:tcPr>
            <w:tcW w:w="405" w:type="dxa"/>
            <w:tcBorders/>
            <w:vAlign w:val="center"/>
          </w:tcPr>
          <w:p>
            <w:pPr>
              <w:pStyle w:val="TableContents"/>
              <w:bidi w:val="0"/>
              <w:spacing w:before="0" w:after="1"/>
              <w:ind w:left="0" w:right="0" w:hanging="0"/>
              <w:jc w:val="left"/>
              <w:rPr/>
            </w:pPr>
            <w:r>
              <w:rPr/>
              <w:t>​</w:t>
            </w:r>
          </w:p>
        </w:tc>
        <w:tc>
          <w:tcPr>
            <w:tcW w:w="26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4,677</w:t>
            </w:r>
          </w:p>
        </w:tc>
      </w:tr>
    </w:tbl>
    <w:p>
      <w:pPr>
        <w:pStyle w:val="TextBody"/>
        <w:bidi w:val="0"/>
        <w:spacing w:before="0" w:after="0"/>
        <w:ind w:left="0" w:right="0" w:hanging="0"/>
        <w:jc w:val="left"/>
        <w:rPr/>
      </w:pPr>
      <w:r>
        <w:rPr/>
        <w:t>​</w:t>
      </w:r>
    </w:p>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i/>
          <w:sz w:val="20"/>
        </w:rPr>
        <w:t>Stock option award activity</w:t>
      </w:r>
      <w:r>
        <w:rPr>
          <w:rFonts w:ascii="Times New Roman;Times;serif" w:hAnsi="Times New Roman;Times;serif"/>
          <w:sz w:val="20"/>
        </w:rPr>
        <w:t>. Stock option activity under the Company’s stock incentive plans and changes during the three months ended March 31, 2024, were as follows:</w:t>
      </w:r>
    </w:p>
    <w:p>
      <w:pPr>
        <w:pStyle w:val="TextBody"/>
        <w:bidi w:val="0"/>
        <w:spacing w:before="0" w:after="0"/>
        <w:ind w:left="0" w:right="0" w:hanging="0"/>
        <w:jc w:val="left"/>
        <w:rPr/>
      </w:pPr>
      <w:r>
        <w:rPr/>
        <w:t>​</w:t>
      </w:r>
    </w:p>
    <w:tbl>
      <w:tblPr>
        <w:tblW w:w="9573" w:type="dxa"/>
        <w:jc w:val="left"/>
        <w:tblInd w:w="0" w:type="dxa"/>
        <w:tblLayout w:type="fixed"/>
        <w:tblCellMar>
          <w:top w:w="0" w:type="dxa"/>
          <w:left w:w="0" w:type="dxa"/>
          <w:bottom w:w="0" w:type="dxa"/>
          <w:right w:w="0" w:type="dxa"/>
        </w:tblCellMar>
      </w:tblPr>
      <w:tblGrid>
        <w:gridCol w:w="4576"/>
        <w:gridCol w:w="326"/>
        <w:gridCol w:w="931"/>
        <w:gridCol w:w="326"/>
        <w:gridCol w:w="266"/>
        <w:gridCol w:w="589"/>
        <w:gridCol w:w="326"/>
        <w:gridCol w:w="284"/>
        <w:gridCol w:w="707"/>
        <w:gridCol w:w="326"/>
        <w:gridCol w:w="287"/>
        <w:gridCol w:w="629"/>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905760" cy="175260"/>
                      <wp:effectExtent l="0" t="0" r="0" b="0"/>
                      <wp:wrapNone/>
                      <wp:docPr id="197" name="Frame197"/>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91185" cy="175260"/>
                      <wp:effectExtent l="0" t="0" r="0" b="0"/>
                      <wp:wrapNone/>
                      <wp:docPr id="199" name="Frame1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68910" cy="175260"/>
                      <wp:effectExtent l="0" t="0" r="0" b="0"/>
                      <wp:wrapNone/>
                      <wp:docPr id="201" name="Frame20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374015" cy="175260"/>
                      <wp:effectExtent l="0" t="0" r="0" b="0"/>
                      <wp:wrapNone/>
                      <wp:docPr id="202" name="Frame202"/>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80340" cy="175260"/>
                      <wp:effectExtent l="0" t="0" r="0" b="0"/>
                      <wp:wrapNone/>
                      <wp:docPr id="204" name="Frame204"/>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48945" cy="175260"/>
                      <wp:effectExtent l="0" t="0" r="0" b="0"/>
                      <wp:wrapNone/>
                      <wp:docPr id="205" name="Frame205"/>
                      <a:graphic xmlns:a="http://schemas.openxmlformats.org/drawingml/2006/main">
                        <a:graphicData uri="http://schemas.microsoft.com/office/word/2010/wordprocessingShape">
                          <wps:wsp>
                            <wps:cNvSpPr txBox="1"/>
                            <wps:spPr>
                              <a:xfrm>
                                <a:off x="0" y="0"/>
                                <a:ext cx="448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82245" cy="175260"/>
                      <wp:effectExtent l="0" t="0" r="0" b="0"/>
                      <wp:wrapNone/>
                      <wp:docPr id="207" name="Frame207"/>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99415" cy="175260"/>
                      <wp:effectExtent l="0" t="0" r="0" b="0"/>
                      <wp:wrapNone/>
                      <wp:docPr id="208" name="Frame208"/>
                      <a:graphic xmlns:a="http://schemas.openxmlformats.org/drawingml/2006/main">
                        <a:graphicData uri="http://schemas.microsoft.com/office/word/2010/wordprocessingShape">
                          <wps:wsp>
                            <wps:cNvSpPr txBox="1"/>
                            <wps:spPr>
                              <a:xfrm>
                                <a:off x="0" y="0"/>
                                <a:ext cx="399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66" w:type="dxa"/>
            <w:tcBorders/>
            <w:vAlign w:val="center"/>
          </w:tcPr>
          <w:p>
            <w:pPr>
              <w:pStyle w:val="TableContents"/>
              <w:bidi w:val="0"/>
              <w:spacing w:before="0" w:after="1"/>
              <w:ind w:left="0" w:right="0" w:hanging="0"/>
              <w:jc w:val="center"/>
              <w:rPr/>
            </w:pPr>
            <w:r>
              <w:rPr/>
              <w:t>​</w:t>
            </w:r>
          </w:p>
        </w:tc>
        <w:tc>
          <w:tcPr>
            <w:tcW w:w="5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    </w:t>
            </w:r>
          </w:p>
        </w:tc>
        <w:tc>
          <w:tcPr>
            <w:tcW w:w="287"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66" w:type="dxa"/>
            <w:tcBorders/>
            <w:vAlign w:val="center"/>
          </w:tcPr>
          <w:p>
            <w:pPr>
              <w:pStyle w:val="TableContents"/>
              <w:bidi w:val="0"/>
              <w:spacing w:before="0" w:after="1"/>
              <w:ind w:left="0" w:right="0" w:hanging="0"/>
              <w:jc w:val="center"/>
              <w:rPr/>
            </w:pPr>
            <w:r>
              <w:rPr/>
              <w:t>​</w:t>
            </w:r>
          </w:p>
        </w:tc>
        <w:tc>
          <w:tcPr>
            <w:tcW w:w="5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287" w:type="dxa"/>
            <w:tcBorders/>
            <w:vAlign w:val="center"/>
          </w:tcPr>
          <w:p>
            <w:pPr>
              <w:pStyle w:val="TableContents"/>
              <w:bidi w:val="0"/>
              <w:spacing w:before="0" w:after="1"/>
              <w:ind w:left="0" w:right="0" w:hanging="0"/>
              <w:jc w:val="center"/>
              <w:rPr/>
            </w:pPr>
            <w:r>
              <w:rPr/>
              <w:t>​</w:t>
            </w:r>
          </w:p>
        </w:tc>
        <w:tc>
          <w:tcPr>
            <w:tcW w:w="629" w:type="dxa"/>
            <w:tcBorders/>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8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Term</w:t>
            </w:r>
          </w:p>
        </w:tc>
        <w:tc>
          <w:tcPr>
            <w:tcW w:w="326" w:type="dxa"/>
            <w:tcBorders/>
            <w:vAlign w:val="center"/>
          </w:tcPr>
          <w:p>
            <w:pPr>
              <w:pStyle w:val="TableContents"/>
              <w:bidi w:val="0"/>
              <w:spacing w:before="0" w:after="1"/>
              <w:ind w:left="0" w:right="0" w:hanging="0"/>
              <w:jc w:val="center"/>
              <w:rPr/>
            </w:pPr>
            <w:r>
              <w:rPr/>
              <w:t>​</w:t>
            </w:r>
          </w:p>
        </w:tc>
        <w:tc>
          <w:tcPr>
            <w:tcW w:w="9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    </w:t>
            </w:r>
          </w:p>
        </w:tc>
        <w:tc>
          <w:tcPr>
            <w:tcW w:w="855" w:type="dxa"/>
            <w:gridSpan w:val="2"/>
            <w:tcBorders>
              <w:bottom w:val="single" w:sz="2" w:space="0" w:color="000000"/>
            </w:tcBorders>
            <w:tcMar>
              <w:bottom w:w="28" w:type="dxa"/>
            </w:tcMar>
            <w:vAlign w:val="center"/>
          </w:tcPr>
          <w:p>
            <w:pPr>
              <w:pStyle w:val="TableContents"/>
              <w:bidi w:val="0"/>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 xml:space="preserve">Price </w:t>
            </w:r>
            <w:r>
              <w:rPr>
                <w:rFonts w:ascii="Times New Roman;Times;serif" w:hAnsi="Times New Roman;Times;serif"/>
                <w:b/>
                <w:sz w:val="12"/>
              </w:rPr>
              <w:t>(1)</w:t>
            </w:r>
          </w:p>
        </w:tc>
        <w:tc>
          <w:tcPr>
            <w:tcW w:w="326" w:type="dxa"/>
            <w:tcBorders/>
            <w:vAlign w:val="center"/>
          </w:tcPr>
          <w:p>
            <w:pPr>
              <w:pStyle w:val="TableContents"/>
              <w:bidi w:val="0"/>
              <w:spacing w:before="0" w:after="1"/>
              <w:ind w:left="0" w:right="0" w:hanging="0"/>
              <w:jc w:val="center"/>
              <w:rPr/>
            </w:pPr>
            <w:r>
              <w:rPr/>
              <w:t>    </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1"/>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8,109,123</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 </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1"/>
              <w:ind w:left="0" w:right="0" w:hanging="0"/>
              <w:jc w:val="right"/>
              <w:rPr/>
            </w:pPr>
            <w:r>
              <w:rPr/>
              <w:t>—</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vAlign w:val="center"/>
          </w:tcPr>
          <w:p>
            <w:pPr>
              <w:pStyle w:val="TableContents"/>
              <w:bidi w:val="0"/>
              <w:spacing w:before="0" w:after="1"/>
              <w:ind w:left="0" w:right="0" w:hanging="0"/>
              <w:jc w:val="righ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 or forfeited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(145,190)</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1"/>
              <w:ind w:left="0" w:right="0" w:hanging="0"/>
              <w:jc w:val="right"/>
              <w:rPr/>
            </w:pPr>
            <w:r>
              <w:rPr/>
              <w:t>—</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vAlign w:val="center"/>
          </w:tcPr>
          <w:p>
            <w:pPr>
              <w:pStyle w:val="TableContents"/>
              <w:bidi w:val="0"/>
              <w:spacing w:before="0" w:after="1"/>
              <w:ind w:left="0" w:right="0" w:hanging="0"/>
              <w:jc w:val="righ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outstanding at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7,963,933</w:t>
            </w:r>
          </w:p>
        </w:tc>
        <w:tc>
          <w:tcPr>
            <w:tcW w:w="326" w:type="dxa"/>
            <w:tcBorders/>
            <w:shd w:fill="CCEEFF" w:val="clear"/>
            <w:vAlign w:val="center"/>
          </w:tcPr>
          <w:p>
            <w:pPr>
              <w:pStyle w:val="TableContents"/>
              <w:bidi w:val="0"/>
              <w:spacing w:before="0" w:after="1"/>
              <w:ind w:left="0" w:right="0" w:hanging="0"/>
              <w:jc w:val="left"/>
              <w:rPr/>
            </w:pPr>
            <w:r>
              <w:rPr/>
              <w:t>​</w:t>
            </w:r>
          </w:p>
        </w:tc>
        <w:tc>
          <w:tcPr>
            <w:tcW w:w="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26"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pPr>
            <w:r>
              <w:rPr/>
              <w:t> </w:t>
            </w:r>
          </w:p>
        </w:tc>
        <w:tc>
          <w:tcPr>
            <w:tcW w:w="7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1"/>
              <w:ind w:left="0" w:right="0" w:hanging="0"/>
              <w:jc w:val="left"/>
              <w:rPr/>
            </w:pPr>
            <w:r>
              <w:rPr/>
              <w:t>​</w:t>
            </w:r>
          </w:p>
        </w:tc>
        <w:tc>
          <w:tcPr>
            <w:tcW w:w="28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shd w:fill="CCEEFF" w:val="clear"/>
            <w:vAlign w:val="center"/>
          </w:tcPr>
          <w:p>
            <w:pPr>
              <w:pStyle w:val="TableContents"/>
              <w:bidi w:val="0"/>
              <w:spacing w:before="0" w:after="1"/>
              <w:ind w:left="0" w:right="0" w:hanging="0"/>
              <w:jc w:val="right"/>
              <w:rPr/>
            </w:pPr>
            <w:r>
              <w:rPr/>
              <w:t>—</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vested and expected to vest at March 31, 2024</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3,001,384</w:t>
            </w:r>
          </w:p>
        </w:tc>
        <w:tc>
          <w:tcPr>
            <w:tcW w:w="326" w:type="dxa"/>
            <w:tcBorders/>
            <w:vAlign w:val="center"/>
          </w:tcPr>
          <w:p>
            <w:pPr>
              <w:pStyle w:val="TableContents"/>
              <w:bidi w:val="0"/>
              <w:spacing w:before="0" w:after="1"/>
              <w:ind w:left="0" w:right="0" w:hanging="0"/>
              <w:jc w:val="left"/>
              <w:rPr/>
            </w:pPr>
            <w:r>
              <w:rPr/>
              <w:t>​</w:t>
            </w:r>
          </w:p>
        </w:tc>
        <w:tc>
          <w:tcPr>
            <w:tcW w:w="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vAlign w:val="center"/>
          </w:tcPr>
          <w:p>
            <w:pPr>
              <w:pStyle w:val="TableContents"/>
              <w:bidi w:val="0"/>
              <w:spacing w:before="0" w:after="1"/>
              <w:ind w:left="0" w:right="0" w:hanging="0"/>
              <w:jc w:val="left"/>
              <w:rPr/>
            </w:pPr>
            <w:r>
              <w:rPr/>
              <w:t>​</w:t>
            </w:r>
          </w:p>
        </w:tc>
        <w:tc>
          <w:tcPr>
            <w:tcW w:w="284" w:type="dxa"/>
            <w:tcBorders/>
            <w:vAlign w:val="center"/>
          </w:tcPr>
          <w:p>
            <w:pPr>
              <w:pStyle w:val="TableContents"/>
              <w:bidi w:val="0"/>
              <w:spacing w:before="0" w:after="1"/>
              <w:ind w:left="0" w:right="0" w:hanging="0"/>
              <w:jc w:val="left"/>
              <w:rPr/>
            </w:pPr>
            <w:r>
              <w:rPr/>
              <w:t> </w:t>
            </w:r>
          </w:p>
        </w:tc>
        <w:tc>
          <w:tcPr>
            <w:tcW w:w="7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vAlign w:val="center"/>
          </w:tcPr>
          <w:p>
            <w:pPr>
              <w:pStyle w:val="TableContents"/>
              <w:bidi w:val="0"/>
              <w:spacing w:before="0" w:after="1"/>
              <w:ind w:left="0" w:right="0" w:hanging="0"/>
              <w:jc w:val="left"/>
              <w:rPr/>
            </w:pPr>
            <w:r>
              <w:rPr/>
              <w:t>​</w:t>
            </w:r>
          </w:p>
        </w:tc>
        <w:tc>
          <w:tcPr>
            <w:tcW w:w="28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9" w:type="dxa"/>
            <w:tcBorders/>
            <w:vAlign w:val="center"/>
          </w:tcPr>
          <w:p>
            <w:pPr>
              <w:pStyle w:val="TableContents"/>
              <w:bidi w:val="0"/>
              <w:spacing w:before="0" w:after="1"/>
              <w:ind w:left="0" w:right="7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Exercise price of options outstanding ranges from $1.15</w:t>
            </w:r>
            <w:r>
              <w:rPr>
                <w:caps w:val="false"/>
                <w:smallCaps w:val="false"/>
              </w:rPr>
              <w:t xml:space="preserve"> </w:t>
            </w:r>
            <w:r>
              <w:rPr>
                <w:rFonts w:ascii="Times New Roman;Times;serif" w:hAnsi="Times New Roman;Times;serif"/>
                <w:b w:val="false"/>
                <w:i w:val="false"/>
                <w:caps w:val="false"/>
                <w:smallCaps w:val="false"/>
                <w:sz w:val="20"/>
              </w:rPr>
              <w:t>to $876</w:t>
            </w:r>
            <w:r>
              <w:rPr>
                <w:caps w:val="false"/>
                <w:smallCaps w:val="false"/>
              </w:rPr>
              <w:t xml:space="preserve"> </w:t>
            </w:r>
            <w:r>
              <w:rPr>
                <w:rFonts w:ascii="Times New Roman;Times;serif" w:hAnsi="Times New Roman;Times;serif"/>
                <w:b w:val="false"/>
                <w:i w:val="false"/>
                <w:caps w:val="false"/>
                <w:smallCaps w:val="false"/>
                <w:sz w:val="20"/>
              </w:rPr>
              <w:t>as of March 31, 2024</w:t>
            </w:r>
            <w:r>
              <w:rPr>
                <w:rFonts w:ascii="Times New Roman;Times;serif" w:hAnsi="Times New Roman;Times;serif"/>
                <w:b w:val="false"/>
                <w:i/>
                <w:sz w:val="20"/>
              </w:rPr>
              <w:t xml:space="preserve">. </w:t>
            </w:r>
            <w:r>
              <w:rPr>
                <w:rFonts w:ascii="Times New Roman;Times;serif" w:hAnsi="Times New Roman;Times;serif"/>
                <w:b w:val="false"/>
                <w:i w:val="false"/>
                <w:caps w:val="false"/>
                <w:smallCaps w:val="false"/>
                <w:sz w:val="20"/>
              </w:rPr>
              <w:t>The higher end of the range is due to the impact of several reverse stock splits during the years 2015 to 2018.</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March 31, 2024</w:t>
      </w:r>
      <w:r>
        <w:rPr>
          <w:rFonts w:ascii="Times New Roman;Times;serif" w:hAnsi="Times New Roman;Times;serif"/>
          <w:i/>
          <w:sz w:val="20"/>
        </w:rPr>
        <w:t xml:space="preserve">, </w:t>
      </w:r>
      <w:r>
        <w:rPr>
          <w:rFonts w:ascii="Times New Roman;Times;serif" w:hAnsi="Times New Roman;Times;serif"/>
          <w:sz w:val="20"/>
        </w:rPr>
        <w:t>the total unrecognized compensation expense, net of actual forfeitures, relating to stock options was $6.6 million, which is expected to be expensed over the remaining weighted-average recognition period of approximately 1.6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Restricted stock</w:t>
      </w:r>
      <w:r>
        <w:rPr>
          <w:rFonts w:ascii="Times New Roman;Times;serif" w:hAnsi="Times New Roman;Times;serif"/>
          <w:sz w:val="20"/>
        </w:rPr>
        <w:t>. The Company periodically grants restricted stock awards to employees and directors. The vesting period for restricted stock awards granted may be based upon a service period or based upon the attainment of performance objectives. The Company recognizes stock-based compensation over the vesting period, which for awards that vest based on a service period is generally two to three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964" w:name="Tc_cUBZYbOqkkCK84xqEBSRug_9_4"/>
      <w:bookmarkStart w:id="965" w:name="Tc_OE3iCtO0ekq1y-9K65cKew_9_0"/>
      <w:bookmarkStart w:id="966" w:name="Tc_kNx6ndzU1UWyhwI6UPDHRg_8_4"/>
      <w:bookmarkStart w:id="967" w:name="Tc_xFa_A3N3tEmXCW-5-S5mFw_8_0"/>
      <w:bookmarkStart w:id="968" w:name="Tc_jZfV-2OX_0meFmVkHNXySA_7_4"/>
      <w:bookmarkStart w:id="969" w:name="Tc_zJ4wNtxYzE6laXKa3FHcDg_7_0"/>
      <w:bookmarkStart w:id="970" w:name="Tc_CdBMsUSTdEOUj-hXalVWRw_6_4"/>
      <w:bookmarkStart w:id="971" w:name="Tc_82el42rJ5U6fsblEMbRIlg_6_0"/>
      <w:bookmarkStart w:id="972" w:name="Tc_F1hoUMAZz0K7dCZo_g-xnQ_5_4"/>
      <w:bookmarkStart w:id="973" w:name="Tc_A7dkDGGvtEiAUPyoUOykjw_5_0"/>
      <w:bookmarkStart w:id="974" w:name="Tc_Y2mIcTlLg0mfRKubQmqI3g_4_4"/>
      <w:bookmarkStart w:id="975" w:name="Tc_2ZECKB1JW0OQbl3mr979oA_4_2"/>
      <w:bookmarkStart w:id="976" w:name="Tc_ipmz5mIhtEuYeVhGsVJfJg_3_4"/>
      <w:bookmarkStart w:id="977" w:name="Tc_r6pADZXM9k2ovSRdxRTl3g_3_2"/>
      <w:bookmarkStart w:id="978" w:name="Tc_Jh5GsjFq0EmFr2zlQ90LKg_2_4"/>
      <w:bookmarkStart w:id="979" w:name="Tc_NyRTFk9AF0-4UJY7gj4XkQ_1_4"/>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sz w:val="20"/>
        </w:rPr>
        <w:t>Non-vested restricted stock awards and the changes during the three months ended March 31, 2024, were as follows:</w:t>
      </w:r>
    </w:p>
    <w:p>
      <w:pPr>
        <w:pStyle w:val="TextBody"/>
        <w:bidi w:val="0"/>
        <w:spacing w:before="0" w:after="0"/>
        <w:ind w:left="0" w:right="0" w:hanging="0"/>
        <w:jc w:val="left"/>
        <w:rPr/>
      </w:pPr>
      <w:r>
        <w:rPr/>
        <w:t>​</w:t>
      </w:r>
    </w:p>
    <w:tbl>
      <w:tblPr>
        <w:tblW w:w="5530" w:type="dxa"/>
        <w:jc w:val="left"/>
        <w:tblInd w:w="0" w:type="dxa"/>
        <w:tblLayout w:type="fixed"/>
        <w:tblCellMar>
          <w:top w:w="0" w:type="dxa"/>
          <w:left w:w="0" w:type="dxa"/>
          <w:bottom w:w="0" w:type="dxa"/>
          <w:right w:w="0" w:type="dxa"/>
        </w:tblCellMar>
      </w:tblPr>
      <w:tblGrid>
        <w:gridCol w:w="2941"/>
        <w:gridCol w:w="326"/>
        <w:gridCol w:w="931"/>
        <w:gridCol w:w="326"/>
        <w:gridCol w:w="267"/>
        <w:gridCol w:w="739"/>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67535" cy="175260"/>
                      <wp:effectExtent l="0" t="0" r="0" b="0"/>
                      <wp:wrapNone/>
                      <wp:docPr id="209" name="Frame209"/>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591185" cy="175260"/>
                      <wp:effectExtent l="0" t="0" r="0" b="0"/>
                      <wp:wrapNone/>
                      <wp:docPr id="211" name="Frame2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69545" cy="175260"/>
                      <wp:effectExtent l="0" t="0" r="0" b="0"/>
                      <wp:wrapNone/>
                      <wp:docPr id="213" name="Frame213"/>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69265" cy="175260"/>
                      <wp:effectExtent l="0" t="0" r="0" b="0"/>
                      <wp:wrapNone/>
                      <wp:docPr id="214" name="Frame214"/>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Grant-Date</w:t>
            </w:r>
          </w:p>
        </w:tc>
      </w:tr>
      <w:tr>
        <w:trPr/>
        <w:tc>
          <w:tcPr>
            <w:tcW w:w="29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6,159,341</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668,281</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0.97</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 and issued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(236,394)</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Canceled or forfeited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(108,403)</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Non-vested at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6,482,825</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2.21</w:t>
            </w:r>
          </w:p>
        </w:tc>
      </w:tr>
    </w:tbl>
    <w:p>
      <w:pPr>
        <w:pStyle w:val="TextBody"/>
        <w:bidi w:val="0"/>
        <w:spacing w:before="0" w:after="240"/>
        <w:ind w:left="0" w:right="0" w:firstLine="36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March 31, 2024, the total unrecognized compensation expense, net of actual forfeitures, relating to restricted stock awards was $8.4 million, which is expected to be recognized over the remaining weighted-average period of approximately 1.6 years. As of March 31, 2024, there are no unvested liability-classified restricted stock awards.</w:t>
      </w:r>
    </w:p>
    <w:tbl>
      <w:tblPr>
        <w:tblW w:w="1712" w:type="dxa"/>
        <w:jc w:val="left"/>
        <w:tblInd w:w="0" w:type="dxa"/>
        <w:tblLayout w:type="fixed"/>
        <w:tblCellMar>
          <w:top w:w="0" w:type="dxa"/>
          <w:left w:w="0" w:type="dxa"/>
          <w:bottom w:w="0" w:type="dxa"/>
          <w:right w:w="0" w:type="dxa"/>
        </w:tblCellMar>
      </w:tblPr>
      <w:tblGrid>
        <w:gridCol w:w="376"/>
        <w:gridCol w:w="133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15.</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incurred operating losses since inception; therefore, no provision for income taxes was recorded and all related deferred tax assets are fully reserved. We continue to assess the impact of our deferred tax asset as it relates to income taxes.</w:t>
      </w:r>
    </w:p>
    <w:tbl>
      <w:tblPr>
        <w:tblW w:w="3302" w:type="dxa"/>
        <w:jc w:val="left"/>
        <w:tblInd w:w="0" w:type="dxa"/>
        <w:tblLayout w:type="fixed"/>
        <w:tblCellMar>
          <w:top w:w="0" w:type="dxa"/>
          <w:left w:w="0" w:type="dxa"/>
          <w:bottom w:w="0" w:type="dxa"/>
          <w:right w:w="0" w:type="dxa"/>
        </w:tblCellMar>
      </w:tblPr>
      <w:tblGrid>
        <w:gridCol w:w="376"/>
        <w:gridCol w:w="292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292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Legal Matters</w:t>
      </w:r>
      <w:r>
        <w:rPr>
          <w:rFonts w:ascii="Times New Roman;Times;serif" w:hAnsi="Times New Roman;Times;serif"/>
          <w:sz w:val="20"/>
        </w:rPr>
        <w:t>. From time to time, the Company has been, and may again become, involved in legal proceedings 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State Tax Audit. </w:t>
      </w:r>
      <w:r>
        <w:rPr>
          <w:rFonts w:ascii="Times New Roman;Times;serif" w:hAnsi="Times New Roman;Times;serif"/>
          <w:sz w:val="20"/>
        </w:rPr>
        <w:t>During the year ended 2023, the Company was notified of a pending sales and use tax audit by the South Dakota Department of Revenue for the period covering January 2021 through December 2023. Although the final resolution of the Company’s sales and use tax audit is uncertain, based on current information, in the opinion of the Company’s management, the ultimate disposition of these matters will not have a material adverse effect on the Consolidated Balance Sheets, Statements of Operations, or Liquidity.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Indemnifications</w:t>
      </w:r>
      <w:r>
        <w:rPr>
          <w:rFonts w:ascii="Times New Roman;Times;serif" w:hAnsi="Times New Roman;Times;serif"/>
          <w:sz w:val="20"/>
        </w:rPr>
        <w:t>. In the ordinary course of its business, the Company makes certain indemnities under which it may be required to make payments in relation to certain transactions. As of March 31, 2024</w:t>
      </w:r>
      <w:r>
        <w:rPr>
          <w:rFonts w:ascii="Times New Roman;Times;serif" w:hAnsi="Times New Roman;Times;serif"/>
          <w:i/>
          <w:sz w:val="20"/>
        </w:rPr>
        <w:t xml:space="preserve">, </w:t>
      </w:r>
      <w:r>
        <w:rPr>
          <w:rFonts w:ascii="Times New Roman;Times;serif" w:hAnsi="Times New Roman;Times;serif"/>
          <w:sz w:val="20"/>
        </w:rPr>
        <w:t>the Company did not have any liabilities associated with indemnities.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Environmental Liabilities</w:t>
      </w:r>
      <w:r>
        <w:rPr>
          <w:rFonts w:ascii="Times New Roman;Times;serif" w:hAnsi="Times New Roman;Times;serif"/>
          <w:sz w:val="20"/>
        </w:rPr>
        <w:t>. The Company’s operations are subject to environmental laws and regulations adopted 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March 31,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980" w:name="Tc_OfJRwjUBVU-AnioliWYKYA_8_20"/>
      <w:bookmarkStart w:id="981" w:name="Tc_8sEj4DoThk-mIxkzdmoPag_8_17"/>
      <w:bookmarkStart w:id="982" w:name="Tc_j_Jp88Cw_UW3UCXHDbpcCg_8_14"/>
      <w:bookmarkStart w:id="983" w:name="Tc_46yEqtRdXU-aUpuGC7pcPA_8_11"/>
      <w:bookmarkStart w:id="984" w:name="Tc_yhi0cglRoUKR6Aw0fINHKw_8_8"/>
      <w:bookmarkStart w:id="985" w:name="Tc_LKVm3o57bEqOMkRShRlN4A_8_5"/>
      <w:bookmarkStart w:id="986" w:name="Tc_pTCMQAy9TEqoTGAbpBG9Tg_8_2"/>
      <w:bookmarkStart w:id="987" w:name="Tc_ckmKD0FNm0ih0qc5O2JoyQ_8_0"/>
      <w:bookmarkStart w:id="988" w:name="Tc_8qOVygaavkW31SmioVdOAA_7_18"/>
      <w:bookmarkStart w:id="989" w:name="Tc_ULQ-f5p4F0aB_Zm_8jiD0Q_7_15"/>
      <w:bookmarkStart w:id="990" w:name="Tc_7X3GmKQwoEeL4jDKjfjWPw_7_12"/>
      <w:bookmarkStart w:id="991" w:name="Tc_HaVTucc8DEigJZ1Kgu3A9Q_7_9"/>
      <w:bookmarkStart w:id="992" w:name="Tc_0kpuOEC_UEGf9Mj9eJYY-g_7_6"/>
      <w:bookmarkStart w:id="993" w:name="Tc_60YkX6n7REeGDykY_DHdlw_7_0"/>
      <w:bookmarkStart w:id="994" w:name="Tc_Z8zFGuX82UKjOGnEhaBg1g_6_0"/>
      <w:bookmarkStart w:id="995" w:name="Tc_ocia0R8pMEemaoeVJLQ2_w_5_0"/>
      <w:bookmarkStart w:id="996" w:name="Tc_1YxgPRcILUCkUWwQm59dWA_4_20"/>
      <w:bookmarkStart w:id="997" w:name="Tc_rVCPF-SEXE2b6M35gd6IdQ_4_17"/>
      <w:bookmarkStart w:id="998" w:name="Tc_sUEDPUe_TEyLpCw0dzT7kQ_4_14"/>
      <w:bookmarkStart w:id="999" w:name="Tc_oPnHwy8wykOTM_A9qtTkDA_4_11"/>
      <w:bookmarkStart w:id="1000" w:name="Tc_VEZ16Z7Eg0eOVnQuKJhvWQ_4_8"/>
      <w:bookmarkStart w:id="1001" w:name="Tc_2MDccwebxkaNBjIQSUQ17w_4_5"/>
      <w:bookmarkStart w:id="1002" w:name="Tc_8vO75w-p9E2kDfueb_ymAQ_4_2"/>
      <w:bookmarkStart w:id="1003" w:name="Tc_4odWn-V6OkS3ptwb67nRsA_4_0"/>
      <w:bookmarkStart w:id="1004" w:name="Tc_uHkmX_7PpU6WVEXKemNM1Q_3_20"/>
      <w:bookmarkStart w:id="1005" w:name="Tc_FqQYKw13YkyMfV5kp407KA_3_17"/>
      <w:bookmarkStart w:id="1006" w:name="Tc_NlptGybBu0O6PwzXabgObQ_3_14"/>
      <w:bookmarkStart w:id="1007" w:name="Tc_9tF7dD-wFkeR6EGKugUOWw_3_11"/>
      <w:bookmarkStart w:id="1008" w:name="Tc_STcF0u8MrU-QoMIIY1qJ9A_3_8"/>
      <w:bookmarkStart w:id="1009" w:name="Tc_zImiEItNFEeVMx4t1Mrpng_3_5"/>
      <w:bookmarkStart w:id="1010" w:name="Tc_fzh5N5BaQUOQEmW6tGUHbQ_3_2"/>
      <w:bookmarkStart w:id="1011" w:name="Tc_Jh8S5dPxUUeQ6ewmTecgbw_2_17"/>
      <w:bookmarkStart w:id="1012" w:name="Tc_EbfiSh8ie0ezUbA1DbtZOg_1_2"/>
      <w:bookmarkStart w:id="1013" w:name="_96d4c6dd_6bd9_4c29_a011_dd7a95d48a26"/>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r>
        <w:rPr>
          <w:rFonts w:ascii="Times New Roman;Times;serif" w:hAnsi="Times New Roman;Times;serif"/>
          <w:i/>
          <w:sz w:val="20"/>
        </w:rPr>
        <w:t>Fuel Supply Commitment.</w:t>
      </w:r>
      <w:r>
        <w:rPr>
          <w:rFonts w:ascii="Times New Roman;Times;serif" w:hAnsi="Times New Roman;Times;serif"/>
          <w:sz w:val="20"/>
        </w:rPr>
        <w:t xml:space="preserve"> The Company has three long-term fuel supply contracts to source feedstock for our anaerobic digesters at the NW Iowa RNG project. These contracts provide an annual amount of feedstock to be used in the production of RNG.</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Zero6 Commitments. </w:t>
      </w:r>
      <w:r>
        <w:rPr>
          <w:rFonts w:ascii="Times New Roman;Times;serif" w:hAnsi="Times New Roman;Times;serif"/>
          <w:sz w:val="20"/>
        </w:rPr>
        <w:t>In September 2022, the Company entered into a development agreement with Zero6 to construct and operate a wind project for the provision of electric energy for NZ1. Pursuant to the agreement, the Company has committed to pay Zero6 total development charges of $8.6 million, comprised of advanced development fee payments of $0.9 million, certain reimbursable costs of $1.2 million, and $6.5 million upon completion of the project. The Company is not contractually obligated for the specified development charges until certain milestones are met in future periods, and upon completion of the project. Further, the Company has committed to fund certain discretionary, budgeted costs associated with long lead equipment and engineering services for NZ1, totaling an estimated $35.0 million. The amount is expected to be fully reimbursed upon completion of the project. Gevo has contractual priority liens against the equipment and constructed facilities under the contracts. See Footnote 19 below for further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Additionally, the Company’s investment in Zero6, see Note 11 above, is pledged separately as collateral for two commitments for the purchase of wind electricity for the Luverne Facility, as well as the purchase of 100% of RCWF’s renewable energy credits. Gevo has a commitment to purchase all of RCWF’s electricity. The portion not used by the Luverne Facility is charged to the Company at a lower price.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estimated commitments as of March 31, 2024, and thereafter are shown below (in thousands):</w:t>
      </w:r>
    </w:p>
    <w:tbl>
      <w:tblPr>
        <w:tblW w:w="10205" w:type="dxa"/>
        <w:jc w:val="left"/>
        <w:tblInd w:w="0" w:type="dxa"/>
        <w:tblLayout w:type="fixed"/>
        <w:tblCellMar>
          <w:top w:w="0" w:type="dxa"/>
          <w:left w:w="0" w:type="dxa"/>
          <w:bottom w:w="0" w:type="dxa"/>
          <w:right w:w="0" w:type="dxa"/>
        </w:tblCellMar>
      </w:tblPr>
      <w:tblGrid>
        <w:gridCol w:w="1914"/>
        <w:gridCol w:w="326"/>
        <w:gridCol w:w="211"/>
        <w:gridCol w:w="676"/>
        <w:gridCol w:w="326"/>
        <w:gridCol w:w="211"/>
        <w:gridCol w:w="676"/>
        <w:gridCol w:w="326"/>
        <w:gridCol w:w="211"/>
        <w:gridCol w:w="571"/>
        <w:gridCol w:w="326"/>
        <w:gridCol w:w="211"/>
        <w:gridCol w:w="571"/>
        <w:gridCol w:w="326"/>
        <w:gridCol w:w="211"/>
        <w:gridCol w:w="571"/>
        <w:gridCol w:w="326"/>
        <w:gridCol w:w="211"/>
        <w:gridCol w:w="676"/>
        <w:gridCol w:w="326"/>
        <w:gridCol w:w="211"/>
        <w:gridCol w:w="791"/>
      </w:tblGrid>
      <w:tr>
        <w:trPr/>
        <w:tc>
          <w:tcPr>
            <w:tcW w:w="1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215390" cy="175260"/>
                      <wp:effectExtent l="0" t="0" r="0" b="0"/>
                      <wp:wrapNone/>
                      <wp:docPr id="215" name="Frame215"/>
                      <a:graphic xmlns:a="http://schemas.openxmlformats.org/drawingml/2006/main">
                        <a:graphicData uri="http://schemas.microsoft.com/office/word/2010/wordprocessingShape">
                          <wps:wsp>
                            <wps:cNvSpPr txBox="1"/>
                            <wps:spPr>
                              <a:xfrm>
                                <a:off x="0" y="0"/>
                                <a:ext cx="1215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29260" cy="175260"/>
                      <wp:effectExtent l="0" t="0" r="0" b="0"/>
                      <wp:wrapNone/>
                      <wp:docPr id="218" name="Frame2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29260" cy="175260"/>
                      <wp:effectExtent l="0" t="0" r="0" b="0"/>
                      <wp:wrapNone/>
                      <wp:docPr id="221" name="Frame2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362585" cy="175260"/>
                      <wp:effectExtent l="0" t="0" r="0" b="0"/>
                      <wp:wrapNone/>
                      <wp:docPr id="224" name="Frame2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62585" cy="175260"/>
                      <wp:effectExtent l="0" t="0" r="0" b="0"/>
                      <wp:wrapNone/>
                      <wp:docPr id="227" name="Frame2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62585" cy="175260"/>
                      <wp:effectExtent l="0" t="0" r="0" b="0"/>
                      <wp:wrapNone/>
                      <wp:docPr id="230" name="Frame2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33985" cy="175260"/>
                      <wp:effectExtent l="0" t="0" r="0" b="0"/>
                      <wp:wrapNone/>
                      <wp:docPr id="232" name="Frame2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429260" cy="175260"/>
                      <wp:effectExtent l="0" t="0" r="0" b="0"/>
                      <wp:wrapNone/>
                      <wp:docPr id="233" name="Frame2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02285" cy="175260"/>
                      <wp:effectExtent l="0" t="0" r="0" b="0"/>
                      <wp:wrapNone/>
                      <wp:docPr id="236" name="Frame23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965" w:type="dxa"/>
            <w:gridSpan w:val="2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2029 and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1" w:type="dxa"/>
            <w:tcBorders/>
            <w:vAlign w:val="center"/>
          </w:tcPr>
          <w:p>
            <w:pPr>
              <w:pStyle w:val="TableContents"/>
              <w:bidi w:val="0"/>
              <w:spacing w:before="0" w:after="1"/>
              <w:ind w:left="0" w:right="0" w:hanging="0"/>
              <w:jc w:val="center"/>
              <w:rPr/>
            </w:pPr>
            <w:r>
              <w:rPr/>
              <w:t>​</w:t>
            </w:r>
          </w:p>
        </w:tc>
      </w:tr>
      <w:tr>
        <w:trPr/>
        <w:tc>
          <w:tcPr>
            <w:tcW w:w="191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1"/>
              <w:ind w:left="0" w:right="0" w:hanging="0"/>
              <w:jc w:val="center"/>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Fuel Supply Payments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25,979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36,323</w:t>
            </w:r>
          </w:p>
        </w:tc>
      </w:tr>
      <w:tr>
        <w:trPr/>
        <w:tc>
          <w:tcPr>
            <w:tcW w:w="1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Zero6 Commitment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14,628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42,673</w:t>
            </w:r>
          </w:p>
        </w:tc>
      </w:tr>
      <w:tr>
        <w:trPr/>
        <w:tc>
          <w:tcPr>
            <w:tcW w:w="19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Energy Credits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w:t>
            </w:r>
          </w:p>
        </w:tc>
      </w:tr>
      <w:tr>
        <w:trPr/>
        <w:tc>
          <w:tcPr>
            <w:tcW w:w="19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Electricity Above Use (Est.)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r>
      <w:tr>
        <w:trPr/>
        <w:tc>
          <w:tcPr>
            <w:tcW w:w="191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81,433</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2717" w:type="dxa"/>
        <w:jc w:val="left"/>
        <w:tblInd w:w="0" w:type="dxa"/>
        <w:tblLayout w:type="fixed"/>
        <w:tblCellMar>
          <w:top w:w="0" w:type="dxa"/>
          <w:left w:w="0" w:type="dxa"/>
          <w:bottom w:w="0" w:type="dxa"/>
          <w:right w:w="0" w:type="dxa"/>
        </w:tblCellMar>
      </w:tblPr>
      <w:tblGrid>
        <w:gridCol w:w="376"/>
        <w:gridCol w:w="234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17.</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1 – inputs include quoted market prices in an active market for identical assets or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Level 3 – inputs are unobservable and corroborated by little or no market data.</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014" w:name="Tc_7hX6z3spQUe_HkZqhO0j7g_3_5"/>
      <w:bookmarkStart w:id="1015" w:name="Tc_mpln-0W2v0Oq6NuZMUG9Nw_3_2"/>
      <w:bookmarkStart w:id="1016" w:name="Tc_yiBwzIq-hES7B2EWUsc1sQ_3_0"/>
      <w:bookmarkStart w:id="1017" w:name="Tc_dZH1m0YSpE-gEoDiDP-CHw_2_5"/>
      <w:bookmarkStart w:id="1018" w:name="Tc_xU-tAl8yMUCT3ZfU7C7r5Q_2_2"/>
      <w:bookmarkStart w:id="1019" w:name="Tc_PW2ScgRv3UG1yjpt4J3Ldw_1_5"/>
      <w:bookmarkStart w:id="1020" w:name="Tc_eWtxKbyA1kuLWCkRR4mE3Q_1_2"/>
      <w:bookmarkStart w:id="1021" w:name="_92298159_3e9c_473a_80f6_112941de23eb"/>
      <w:bookmarkStart w:id="1022" w:name="Tc_WP3mUntrTEWyxR1XVEZNAw_9_11"/>
      <w:bookmarkStart w:id="1023" w:name="Tc_3I17PAVAgU-lG3sCCsmE_A_9_8"/>
      <w:bookmarkStart w:id="1024" w:name="Tc_ornJU8-RpEe3bdmWJKnDDg_9_5"/>
      <w:bookmarkStart w:id="1025" w:name="Tc_DbS_rl8TOEC2_tvWFp4jOA_9_2"/>
      <w:bookmarkStart w:id="1026" w:name="Tc_Ar-n_K40lky3Z7byTcLlmg_9_0"/>
      <w:bookmarkStart w:id="1027" w:name="Tc_3mLD5KZRCkOraj_giMVWMg_8_11"/>
      <w:bookmarkStart w:id="1028" w:name="Tc_Nn7sImQ-ak2SWT8eq-KVgg_8_8"/>
      <w:bookmarkStart w:id="1029" w:name="Tc_SiT3yovEqki6rmuyu4D5gA_8_5"/>
      <w:bookmarkStart w:id="1030" w:name="Tc_ascbVwS4w0KUZd9tNI1Gdg_8_2"/>
      <w:bookmarkStart w:id="1031" w:name="Tc_L_R4NAJl60uitKV6Sp7jUg_7_11"/>
      <w:bookmarkStart w:id="1032" w:name="Tc_gGtHVlqPr0qyYOP4XOPRWA_7_8"/>
      <w:bookmarkStart w:id="1033" w:name="Tc_MSF_vIdCvkigzrMNEcylpg_7_5"/>
      <w:bookmarkStart w:id="1034" w:name="Tc_kbS5TQFYH0CmEr--qGDL6Q_7_2"/>
      <w:bookmarkStart w:id="1035" w:name="Tc_DCb0YwvwXUuC7QFx99KQbA_6_11"/>
      <w:bookmarkStart w:id="1036" w:name="Tc_fSS_fKgibEil1xf_0lOjaw_6_8"/>
      <w:bookmarkStart w:id="1037" w:name="Tc_HD7sAxj4WkibFmlyT01Ltw_6_5"/>
      <w:bookmarkStart w:id="1038" w:name="Tc_9J4m5fpaE0yUm50mcp15VA_6_2"/>
      <w:bookmarkStart w:id="1039" w:name="Tc_mR8FrcjTL0mTwb14LwGvVA_5_11"/>
      <w:bookmarkStart w:id="1040" w:name="Tc_CCzXjvxgMUK2YNR3MMI49Q_5_8"/>
      <w:bookmarkStart w:id="1041" w:name="Tc_SJD_JaJBnUOeL9zwnvVPXw_5_5"/>
      <w:bookmarkStart w:id="1042" w:name="Tc_fU9OjQbuWkWy6mIpgpjUsQ_4_8"/>
      <w:bookmarkStart w:id="1043" w:name="Tc_xdyR0fjeUECxlT9eh6TKkA_4_5"/>
      <w:bookmarkStart w:id="1044" w:name="Tc_8thkzFEOAEKDnOPEhD0QGQ_3_5"/>
      <w:bookmarkStart w:id="1045" w:name="Tc_4cbRqW1BdEqM63ktgoPEBw_2_5"/>
      <w:bookmarkStart w:id="1046" w:name="Tc_qPSbhfiKnUCPBgGWLIVpdQ_1_5"/>
      <w:bookmarkStart w:id="1047" w:name="_0942fd3f_65f1_41f3_87fd_942b70188cd2"/>
      <w:bookmarkStart w:id="1048" w:name="Tc_aBtgNXceME-OSeqReEj_XA_9_11"/>
      <w:bookmarkStart w:id="1049" w:name="Tc_ySyX5oxMKkax26cNL59V6A_9_8"/>
      <w:bookmarkStart w:id="1050" w:name="Tc_i-v-TrUAAkOYDhoe9nKg9g_9_5"/>
      <w:bookmarkStart w:id="1051" w:name="Tc_w-W1howGaEmmMvJjFVXMVg_9_2"/>
      <w:bookmarkStart w:id="1052" w:name="Tc_QKr-iTeH1kGR4dLaIolrow_9_0"/>
      <w:bookmarkStart w:id="1053" w:name="Tc_-fKTYjvmmkSpjAJskJVskQ_8_11"/>
      <w:bookmarkStart w:id="1054" w:name="Tc_ou0Fw9fMfEuRSf9oY4mPpg_8_8"/>
      <w:bookmarkStart w:id="1055" w:name="Tc_cSRlajPOdkuLnMQAIqbzWQ_8_5"/>
      <w:bookmarkStart w:id="1056" w:name="Tc_BfTY656w-kuQNO-b2upLDQ_8_2"/>
      <w:bookmarkStart w:id="1057" w:name="Tc_b3T8DXWemEis9jfBAfbbgQ_7_11"/>
      <w:bookmarkStart w:id="1058" w:name="Tc_qnvZXd2htE-MOuJUWBjIng_7_8"/>
      <w:bookmarkStart w:id="1059" w:name="Tc_d0l0SENttkSO60oPj0S3IQ_7_5"/>
      <w:bookmarkStart w:id="1060" w:name="Tc_9Oacle0jiEGCeZ6CmphU3w_7_2"/>
      <w:bookmarkStart w:id="1061" w:name="Tc_OgKK3GKNakiOR_GFBSN45A_6_11"/>
      <w:bookmarkStart w:id="1062" w:name="Tc_0FFHkvWvw0imLWbN-5EBjA_6_8"/>
      <w:bookmarkStart w:id="1063" w:name="Tc_cawR3UOatEKx5P_9Yk-mnA_6_5"/>
      <w:bookmarkStart w:id="1064" w:name="Tc_FTrvUnkfIES6FJ-_zauCQQ_6_2"/>
      <w:bookmarkStart w:id="1065" w:name="Tc_qwEUW2S7wE6eUr9177JSIw_5_11"/>
      <w:bookmarkStart w:id="1066" w:name="Tc__caQo95E00mn1ZTq8AqRcA_5_8"/>
      <w:bookmarkStart w:id="1067" w:name="Tc_-DxEelY9GEW4JIwxVIx5Bw_5_5"/>
      <w:bookmarkStart w:id="1068" w:name="Tc_l1gWgOyicEW7VGDXr9y6dg_4_8"/>
      <w:bookmarkStart w:id="1069" w:name="Tc_ckVou48kE0Wo3Yx0AYwxmg_4_5"/>
      <w:bookmarkStart w:id="1070" w:name="Tc_iIWRO7PCqU2ad0gMVt2Xkg_3_5"/>
      <w:bookmarkStart w:id="1071" w:name="Tc_iwArYRVWvkmrS45wv6k3-g_2_5"/>
      <w:bookmarkStart w:id="1072" w:name="Tc_VJgZGGhdd0KLXfj2ZWGRkw_1_5"/>
      <w:bookmarkStart w:id="1073" w:name="_8fb06f93_c7e9_4d55_8ac9_2801ab4926d7"/>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r>
        <w:rPr>
          <w:rFonts w:ascii="Times New Roman;Times;serif" w:hAnsi="Times New Roman;Times;serif"/>
          <w:sz w:val="20"/>
        </w:rPr>
        <w:t>The carrying value and fair value, by fair value hierarchy, of the Company’s financial instruments at March 31, 2024, and December 31, 2023 are as follows (in thousands):</w:t>
      </w:r>
    </w:p>
    <w:tbl>
      <w:tblPr>
        <w:tblW w:w="8228" w:type="dxa"/>
        <w:jc w:val="left"/>
        <w:tblInd w:w="0" w:type="dxa"/>
        <w:tblLayout w:type="fixed"/>
        <w:tblCellMar>
          <w:top w:w="0" w:type="dxa"/>
          <w:left w:w="0" w:type="dxa"/>
          <w:bottom w:w="0" w:type="dxa"/>
          <w:right w:w="0" w:type="dxa"/>
        </w:tblCellMar>
      </w:tblPr>
      <w:tblGrid>
        <w:gridCol w:w="2476"/>
        <w:gridCol w:w="326"/>
        <w:gridCol w:w="229"/>
        <w:gridCol w:w="852"/>
        <w:gridCol w:w="326"/>
        <w:gridCol w:w="250"/>
        <w:gridCol w:w="925"/>
        <w:gridCol w:w="386"/>
        <w:gridCol w:w="352"/>
        <w:gridCol w:w="579"/>
        <w:gridCol w:w="386"/>
        <w:gridCol w:w="356"/>
        <w:gridCol w:w="785"/>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572260" cy="175260"/>
                      <wp:effectExtent l="0" t="0" r="0" b="0"/>
                      <wp:wrapNone/>
                      <wp:docPr id="237" name="Frame237"/>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45415" cy="175260"/>
                      <wp:effectExtent l="0" t="0" r="0" b="0"/>
                      <wp:wrapNone/>
                      <wp:docPr id="239" name="Frame239"/>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41020" cy="175260"/>
                      <wp:effectExtent l="0" t="0" r="0" b="0"/>
                      <wp:wrapNone/>
                      <wp:docPr id="240" name="Frame240"/>
                      <a:graphic xmlns:a="http://schemas.openxmlformats.org/drawingml/2006/main">
                        <a:graphicData uri="http://schemas.microsoft.com/office/word/2010/wordprocessingShape">
                          <wps:wsp>
                            <wps:cNvSpPr txBox="1"/>
                            <wps:spPr>
                              <a:xfrm>
                                <a:off x="0" y="0"/>
                                <a:ext cx="541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58750" cy="175260"/>
                      <wp:effectExtent l="0" t="0" r="0" b="0"/>
                      <wp:wrapNone/>
                      <wp:docPr id="242" name="Frame242"/>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87375" cy="175260"/>
                      <wp:effectExtent l="0" t="0" r="0" b="0"/>
                      <wp:wrapNone/>
                      <wp:docPr id="243" name="Frame243"/>
                      <a:graphic xmlns:a="http://schemas.openxmlformats.org/drawingml/2006/main">
                        <a:graphicData uri="http://schemas.microsoft.com/office/word/2010/wordprocessingShape">
                          <wps:wsp>
                            <wps:cNvSpPr txBox="1"/>
                            <wps:spPr>
                              <a:xfrm>
                                <a:off x="0" y="0"/>
                                <a:ext cx="587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45110" cy="175260"/>
                      <wp:effectExtent l="0" t="0" r="0" b="0"/>
                      <wp:wrapNone/>
                      <wp:docPr id="244" name="Frame24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23520" cy="175260"/>
                      <wp:effectExtent l="0" t="0" r="0" b="0"/>
                      <wp:wrapNone/>
                      <wp:docPr id="245" name="Frame245"/>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67665" cy="175260"/>
                      <wp:effectExtent l="0" t="0" r="0" b="0"/>
                      <wp:wrapNone/>
                      <wp:docPr id="246" name="Frame246"/>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45110" cy="175260"/>
                      <wp:effectExtent l="0" t="0" r="0" b="0"/>
                      <wp:wrapNone/>
                      <wp:docPr id="247" name="Frame24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26060" cy="175260"/>
                      <wp:effectExtent l="0" t="0" r="0" b="0"/>
                      <wp:wrapNone/>
                      <wp:docPr id="248" name="Frame24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98475" cy="175260"/>
                      <wp:effectExtent l="0" t="0" r="0" b="0"/>
                      <wp:wrapNone/>
                      <wp:docPr id="249" name="Frame249"/>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019"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March 31, 2024</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38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386" w:type="dxa"/>
            <w:tcBorders/>
            <w:vAlign w:val="center"/>
          </w:tcPr>
          <w:p>
            <w:pPr>
              <w:pStyle w:val="TableContents"/>
              <w:bidi w:val="0"/>
              <w:spacing w:before="0" w:after="1"/>
              <w:ind w:left="0" w:right="0" w:hanging="0"/>
              <w:jc w:val="left"/>
              <w:rPr/>
            </w:pPr>
            <w:r>
              <w:rPr/>
              <w:t>​</w:t>
            </w:r>
          </w:p>
        </w:tc>
        <w:tc>
          <w:tcPr>
            <w:tcW w:w="352" w:type="dxa"/>
            <w:tcBorders/>
            <w:vAlign w:val="center"/>
          </w:tcPr>
          <w:p>
            <w:pPr>
              <w:pStyle w:val="TableContents"/>
              <w:bidi w:val="0"/>
              <w:spacing w:before="0" w:after="1"/>
              <w:ind w:left="0" w:right="0" w:hanging="0"/>
              <w:jc w:val="left"/>
              <w:rPr/>
            </w:pPr>
            <w:r>
              <w:rPr/>
              <w:t>​</w:t>
            </w:r>
          </w:p>
        </w:tc>
        <w:tc>
          <w:tcPr>
            <w:tcW w:w="579" w:type="dxa"/>
            <w:tcBorders/>
            <w:vAlign w:val="center"/>
          </w:tcPr>
          <w:p>
            <w:pPr>
              <w:pStyle w:val="TableContents"/>
              <w:bidi w:val="0"/>
              <w:spacing w:before="0" w:after="1"/>
              <w:ind w:left="0" w:right="0" w:hanging="0"/>
              <w:jc w:val="center"/>
              <w:rPr/>
            </w:pPr>
            <w:r>
              <w:rPr/>
              <w:t>​</w:t>
            </w:r>
          </w:p>
        </w:tc>
        <w:tc>
          <w:tcPr>
            <w:tcW w:w="38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38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86"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85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38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8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left"/>
              <w:rPr/>
            </w:pPr>
            <w:r>
              <w:rPr/>
              <w:t>​</w:t>
            </w:r>
          </w:p>
        </w:tc>
        <w:tc>
          <w:tcPr>
            <w:tcW w:w="11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38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8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left"/>
              <w:rPr/>
            </w:pPr>
            <w:r>
              <w:rPr/>
              <w:t>​</w:t>
            </w:r>
          </w:p>
        </w:tc>
        <w:tc>
          <w:tcPr>
            <w:tcW w:w="11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86" w:type="dxa"/>
            <w:tcBorders/>
            <w:vAlign w:val="center"/>
          </w:tcPr>
          <w:p>
            <w:pPr>
              <w:pStyle w:val="TableContents"/>
              <w:bidi w:val="0"/>
              <w:spacing w:before="0" w:after="1"/>
              <w:ind w:left="0" w:right="0" w:hanging="0"/>
              <w:jc w:val="left"/>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8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86" w:type="dxa"/>
            <w:tcBorders/>
            <w:vAlign w:val="center"/>
          </w:tcPr>
          <w:p>
            <w:pPr>
              <w:pStyle w:val="TableContents"/>
              <w:bidi w:val="0"/>
              <w:spacing w:before="0" w:after="1"/>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86" w:type="dxa"/>
            <w:tcBorders/>
            <w:vAlign w:val="center"/>
          </w:tcPr>
          <w:p>
            <w:pPr>
              <w:pStyle w:val="TableContents"/>
              <w:bidi w:val="0"/>
              <w:spacing w:before="0" w:after="1"/>
              <w:ind w:left="0" w:right="0" w:hanging="0"/>
              <w:jc w:val="left"/>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270,642</w:t>
            </w:r>
          </w:p>
        </w:tc>
        <w:tc>
          <w:tcPr>
            <w:tcW w:w="32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270,642</w:t>
            </w:r>
          </w:p>
        </w:tc>
        <w:tc>
          <w:tcPr>
            <w:tcW w:w="386"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386"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1"/>
              <w:ind w:left="0" w:right="70" w:hanging="0"/>
              <w:jc w:val="right"/>
              <w:rPr/>
            </w:pPr>
            <w:r>
              <w:rPr/>
              <w:t>—</w:t>
            </w:r>
          </w:p>
        </w:tc>
      </w:tr>
    </w:tbl>
    <w:p>
      <w:pPr>
        <w:pStyle w:val="TextBody"/>
        <w:bidi w:val="0"/>
        <w:spacing w:before="0" w:after="240"/>
        <w:ind w:left="0" w:right="0" w:firstLine="360"/>
        <w:jc w:val="left"/>
        <w:rPr/>
      </w:pPr>
      <w:r>
        <w:rPr/>
        <w:t>​</w:t>
      </w:r>
    </w:p>
    <w:tbl>
      <w:tblPr>
        <w:tblW w:w="8424" w:type="dxa"/>
        <w:jc w:val="left"/>
        <w:tblInd w:w="0" w:type="dxa"/>
        <w:tblLayout w:type="fixed"/>
        <w:tblCellMar>
          <w:top w:w="0" w:type="dxa"/>
          <w:left w:w="0" w:type="dxa"/>
          <w:bottom w:w="0" w:type="dxa"/>
          <w:right w:w="0" w:type="dxa"/>
        </w:tblCellMar>
      </w:tblPr>
      <w:tblGrid>
        <w:gridCol w:w="2476"/>
        <w:gridCol w:w="326"/>
        <w:gridCol w:w="241"/>
        <w:gridCol w:w="899"/>
        <w:gridCol w:w="326"/>
        <w:gridCol w:w="267"/>
        <w:gridCol w:w="991"/>
        <w:gridCol w:w="413"/>
        <w:gridCol w:w="352"/>
        <w:gridCol w:w="579"/>
        <w:gridCol w:w="413"/>
        <w:gridCol w:w="355"/>
        <w:gridCol w:w="78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572260" cy="175260"/>
                      <wp:effectExtent l="0" t="0" r="0" b="0"/>
                      <wp:wrapNone/>
                      <wp:docPr id="250" name="Frame250"/>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53035" cy="175260"/>
                      <wp:effectExtent l="0" t="0" r="0" b="0"/>
                      <wp:wrapNone/>
                      <wp:docPr id="252" name="Frame252"/>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70865" cy="175260"/>
                      <wp:effectExtent l="0" t="0" r="0" b="0"/>
                      <wp:wrapNone/>
                      <wp:docPr id="253" name="Frame25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69545" cy="175260"/>
                      <wp:effectExtent l="0" t="0" r="0" b="0"/>
                      <wp:wrapNone/>
                      <wp:docPr id="255" name="Frame25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29285" cy="175260"/>
                      <wp:effectExtent l="0" t="0" r="0" b="0"/>
                      <wp:wrapNone/>
                      <wp:docPr id="256" name="Frame256"/>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62255" cy="175260"/>
                      <wp:effectExtent l="0" t="0" r="0" b="0"/>
                      <wp:wrapNone/>
                      <wp:docPr id="257" name="Frame257"/>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23520" cy="175260"/>
                      <wp:effectExtent l="0" t="0" r="0" b="0"/>
                      <wp:wrapNone/>
                      <wp:docPr id="258" name="Frame25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67665" cy="175260"/>
                      <wp:effectExtent l="0" t="0" r="0" b="0"/>
                      <wp:wrapNone/>
                      <wp:docPr id="259" name="Frame259"/>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62255" cy="175260"/>
                      <wp:effectExtent l="0" t="0" r="0" b="0"/>
                      <wp:wrapNone/>
                      <wp:docPr id="260" name="Frame260"/>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25425" cy="175260"/>
                      <wp:effectExtent l="0" t="0" r="0" b="0"/>
                      <wp:wrapNone/>
                      <wp:docPr id="261" name="Frame26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99110" cy="175260"/>
                      <wp:effectExtent l="0" t="0" r="0" b="0"/>
                      <wp:wrapNone/>
                      <wp:docPr id="262" name="Frame262"/>
                      <a:graphic xmlns:a="http://schemas.openxmlformats.org/drawingml/2006/main">
                        <a:graphicData uri="http://schemas.microsoft.com/office/word/2010/wordprocessingShape">
                          <wps:wsp>
                            <wps:cNvSpPr txBox="1"/>
                            <wps:spPr>
                              <a:xfrm>
                                <a:off x="0" y="0"/>
                                <a:ext cx="49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15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 at December 31, 2023</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w:t>
            </w:r>
          </w:p>
        </w:tc>
        <w:tc>
          <w:tcPr>
            <w:tcW w:w="413"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3" w:type="dxa"/>
            <w:tcBorders/>
            <w:vAlign w:val="center"/>
          </w:tcPr>
          <w:p>
            <w:pPr>
              <w:pStyle w:val="TableContents"/>
              <w:bidi w:val="0"/>
              <w:spacing w:before="0" w:after="1"/>
              <w:ind w:left="0" w:right="0" w:hanging="0"/>
              <w:jc w:val="center"/>
              <w:rPr/>
            </w:pPr>
            <w:r>
              <w:rPr/>
              <w:t>​</w:t>
            </w:r>
          </w:p>
        </w:tc>
        <w:tc>
          <w:tcPr>
            <w:tcW w:w="355"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Prices in</w:t>
            </w:r>
          </w:p>
        </w:tc>
        <w:tc>
          <w:tcPr>
            <w:tcW w:w="413" w:type="dxa"/>
            <w:tcBorders/>
            <w:vAlign w:val="center"/>
          </w:tcPr>
          <w:p>
            <w:pPr>
              <w:pStyle w:val="TableContents"/>
              <w:bidi w:val="0"/>
              <w:spacing w:before="0" w:after="1"/>
              <w:ind w:left="0" w:right="0" w:hanging="0"/>
              <w:jc w:val="center"/>
              <w:rPr/>
            </w:pPr>
            <w:r>
              <w:rPr/>
              <w:t>​</w:t>
            </w:r>
          </w:p>
        </w:tc>
        <w:tc>
          <w:tcPr>
            <w:tcW w:w="352" w:type="dxa"/>
            <w:tcBorders/>
            <w:vAlign w:val="center"/>
          </w:tcPr>
          <w:p>
            <w:pPr>
              <w:pStyle w:val="TableContents"/>
              <w:bidi w:val="0"/>
              <w:spacing w:before="0" w:after="1"/>
              <w:ind w:left="0" w:right="0" w:hanging="0"/>
              <w:jc w:val="center"/>
              <w:rPr/>
            </w:pPr>
            <w:r>
              <w:rPr/>
              <w:t>​</w:t>
            </w:r>
          </w:p>
        </w:tc>
        <w:tc>
          <w:tcPr>
            <w:tcW w:w="579" w:type="dxa"/>
            <w:tcBorders/>
            <w:vAlign w:val="center"/>
          </w:tcPr>
          <w:p>
            <w:pPr>
              <w:pStyle w:val="TableContents"/>
              <w:bidi w:val="0"/>
              <w:spacing w:before="0" w:after="1"/>
              <w:ind w:left="0" w:right="0" w:hanging="0"/>
              <w:jc w:val="center"/>
              <w:rPr/>
            </w:pPr>
            <w:r>
              <w:rPr/>
              <w:t>​</w:t>
            </w:r>
          </w:p>
        </w:tc>
        <w:tc>
          <w:tcPr>
            <w:tcW w:w="413" w:type="dxa"/>
            <w:tcBorders/>
            <w:vAlign w:val="center"/>
          </w:tcPr>
          <w:p>
            <w:pPr>
              <w:pStyle w:val="TableContents"/>
              <w:bidi w:val="0"/>
              <w:spacing w:before="0" w:after="1"/>
              <w:ind w:left="0" w:right="0" w:hanging="0"/>
              <w:jc w:val="center"/>
              <w:rPr/>
            </w:pPr>
            <w:r>
              <w:rPr/>
              <w:t>​</w:t>
            </w:r>
          </w:p>
        </w:tc>
        <w:tc>
          <w:tcPr>
            <w:tcW w:w="355"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Active</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413" w:type="dxa"/>
            <w:tcBorders/>
            <w:vAlign w:val="center"/>
          </w:tcPr>
          <w:p>
            <w:pPr>
              <w:pStyle w:val="TableContents"/>
              <w:bidi w:val="0"/>
              <w:spacing w:before="0" w:after="1"/>
              <w:ind w:left="0" w:right="0" w:hanging="0"/>
              <w:jc w:val="center"/>
              <w:rPr/>
            </w:pPr>
            <w:r>
              <w:rPr/>
              <w:t>​</w:t>
            </w:r>
          </w:p>
        </w:tc>
        <w:tc>
          <w:tcPr>
            <w:tcW w:w="355" w:type="dxa"/>
            <w:tcBorders/>
            <w:vAlign w:val="center"/>
          </w:tcPr>
          <w:p>
            <w:pPr>
              <w:pStyle w:val="TableContents"/>
              <w:bidi w:val="0"/>
              <w:spacing w:before="0" w:after="1"/>
              <w:ind w:left="0" w:right="0" w:hanging="0"/>
              <w:jc w:val="center"/>
              <w:rPr/>
            </w:pPr>
            <w:r>
              <w:rPr/>
              <w:t>​</w:t>
            </w:r>
          </w:p>
        </w:tc>
        <w:tc>
          <w:tcPr>
            <w:tcW w:w="786" w:type="dxa"/>
            <w:tcBorders/>
            <w:vAlign w:val="center"/>
          </w:tcPr>
          <w:p>
            <w:pPr>
              <w:pStyle w:val="TableContents"/>
              <w:bidi w:val="0"/>
              <w:spacing w:before="0" w:after="1"/>
              <w:ind w:left="0" w:right="0" w:hanging="0"/>
              <w:jc w:val="center"/>
              <w:rPr/>
            </w:pPr>
            <w:r>
              <w:rPr/>
              <w: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89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Markets for</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413"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at</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Identical</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413"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25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413" w:type="dxa"/>
            <w:tcBorders/>
            <w:vAlign w:val="center"/>
          </w:tcPr>
          <w:p>
            <w:pPr>
              <w:pStyle w:val="TableContents"/>
              <w:bidi w:val="0"/>
              <w:spacing w:before="0" w:after="1"/>
              <w:ind w:left="0" w:right="0" w:hanging="0"/>
              <w:jc w:val="center"/>
              <w:rPr/>
            </w:pPr>
            <w:r>
              <w:rPr/>
              <w:t>​</w:t>
            </w:r>
          </w:p>
        </w:tc>
        <w:tc>
          <w:tcPr>
            <w:tcW w:w="9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413" w:type="dxa"/>
            <w:tcBorders/>
            <w:vAlign w:val="center"/>
          </w:tcPr>
          <w:p>
            <w:pPr>
              <w:pStyle w:val="TableContents"/>
              <w:bidi w:val="0"/>
              <w:spacing w:before="0" w:after="1"/>
              <w:ind w:left="0" w:right="0" w:hanging="0"/>
              <w:jc w:val="center"/>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Inputs</w:t>
            </w:r>
          </w:p>
        </w:tc>
      </w:tr>
      <w:tr>
        <w:trPr/>
        <w:tc>
          <w:tcPr>
            <w:tcW w:w="24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2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413" w:type="dxa"/>
            <w:tcBorders/>
            <w:vAlign w:val="center"/>
          </w:tcPr>
          <w:p>
            <w:pPr>
              <w:pStyle w:val="TableContents"/>
              <w:bidi w:val="0"/>
              <w:spacing w:before="0" w:after="1"/>
              <w:ind w:left="0" w:right="0" w:hanging="0"/>
              <w:jc w:val="center"/>
              <w:rPr/>
            </w:pPr>
            <w:r>
              <w:rPr/>
              <w:t>    </w:t>
            </w:r>
          </w:p>
        </w:tc>
        <w:tc>
          <w:tcPr>
            <w:tcW w:w="9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413" w:type="dxa"/>
            <w:tcBorders/>
            <w:vAlign w:val="center"/>
          </w:tcPr>
          <w:p>
            <w:pPr>
              <w:pStyle w:val="TableContents"/>
              <w:bidi w:val="0"/>
              <w:spacing w:before="0" w:after="1"/>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476"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298,349</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298,349</w:t>
            </w:r>
          </w:p>
        </w:tc>
        <w:tc>
          <w:tcPr>
            <w:tcW w:w="413" w:type="dxa"/>
            <w:tcBorders/>
            <w:shd w:fill="CCEEFF" w:val="clear"/>
            <w:vAlign w:val="center"/>
          </w:tcPr>
          <w:p>
            <w:pPr>
              <w:pStyle w:val="TableContents"/>
              <w:bidi w:val="0"/>
              <w:spacing w:before="0" w:after="1"/>
              <w:ind w:left="0" w:right="0" w:hanging="0"/>
              <w:jc w:val="left"/>
              <w:rPr/>
            </w:pPr>
            <w:r>
              <w:rPr/>
              <w:t>​</w:t>
            </w:r>
          </w:p>
        </w:tc>
        <w:tc>
          <w:tcPr>
            <w:tcW w:w="3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CCEEFF" w:val="clear"/>
            <w:vAlign w:val="center"/>
          </w:tcPr>
          <w:p>
            <w:pPr>
              <w:pStyle w:val="TableContents"/>
              <w:bidi w:val="0"/>
              <w:spacing w:before="0" w:after="1"/>
              <w:ind w:left="0" w:right="0" w:hanging="0"/>
              <w:jc w:val="righ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3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6" w:type="dxa"/>
            <w:tcBorders/>
            <w:shd w:fill="CCEEFF" w:val="clear"/>
            <w:vAlign w:val="center"/>
          </w:tcPr>
          <w:p>
            <w:pPr>
              <w:pStyle w:val="TableContents"/>
              <w:bidi w:val="0"/>
              <w:spacing w:before="0" w:after="1"/>
              <w:ind w:left="0" w:right="7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Cash and cash equivalents includes $258.2</w:t>
            </w:r>
            <w:r>
              <w:rPr>
                <w:caps w:val="false"/>
                <w:smallCaps w:val="false"/>
              </w:rPr>
              <w:t> </w:t>
            </w:r>
            <w:r>
              <w:rPr>
                <w:rFonts w:ascii="Times New Roman;Times;serif" w:hAnsi="Times New Roman;Times;serif"/>
                <w:b w:val="false"/>
                <w:i w:val="false"/>
                <w:caps w:val="false"/>
                <w:smallCaps w:val="false"/>
                <w:sz w:val="20"/>
              </w:rPr>
              <w:t>million and $283.2</w:t>
            </w:r>
            <w:r>
              <w:rPr>
                <w:caps w:val="false"/>
                <w:smallCaps w:val="false"/>
              </w:rPr>
              <w:t> </w:t>
            </w:r>
            <w:r>
              <w:rPr>
                <w:rFonts w:ascii="Times New Roman;Times;serif" w:hAnsi="Times New Roman;Times;serif"/>
                <w:b w:val="false"/>
                <w:i w:val="false"/>
                <w:caps w:val="false"/>
                <w:smallCaps w:val="false"/>
                <w:sz w:val="20"/>
              </w:rPr>
              <w:t>million invested in U.S. government money market funds as of March 31, 2024 and December 31, 2023, respectively.</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had no transfers of assets or liabilities between fair value hierarchy levels between December 31, 2023, and March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the 2021 Bonds, the fair values are estimated using the Black-Derman-Toy interest rate lattice framework. The effective maturity of the 2021 Bonds was assumed to be April 1, 2024 (three years from issuance) with repayment of 100% of principal on that date. The impact of the Company’s optional redemption feature, effective October 1, 2022, is appropriately captured by the Black-Derman-Toy interest rate lattice. The carrying values and estimated fair values of the 2021 Bonds as of March 31, 2024, are summarized as follows (in thousands):</w:t>
      </w:r>
    </w:p>
    <w:p>
      <w:pPr>
        <w:pStyle w:val="TextBody"/>
        <w:bidi w:val="0"/>
        <w:spacing w:before="0" w:after="0"/>
        <w:ind w:left="0" w:right="0" w:hanging="0"/>
        <w:jc w:val="left"/>
        <w:rPr/>
      </w:pPr>
      <w:r>
        <w:rPr/>
        <w:t>​</w:t>
      </w:r>
    </w:p>
    <w:tbl>
      <w:tblPr>
        <w:tblW w:w="3652" w:type="dxa"/>
        <w:jc w:val="left"/>
        <w:tblInd w:w="0" w:type="dxa"/>
        <w:tblLayout w:type="fixed"/>
        <w:tblCellMar>
          <w:top w:w="0" w:type="dxa"/>
          <w:left w:w="0" w:type="dxa"/>
          <w:bottom w:w="0" w:type="dxa"/>
          <w:right w:w="0" w:type="dxa"/>
        </w:tblCellMar>
      </w:tblPr>
      <w:tblGrid>
        <w:gridCol w:w="1111"/>
        <w:gridCol w:w="326"/>
        <w:gridCol w:w="211"/>
        <w:gridCol w:w="676"/>
        <w:gridCol w:w="326"/>
        <w:gridCol w:w="211"/>
        <w:gridCol w:w="791"/>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705485" cy="175260"/>
                      <wp:effectExtent l="0" t="0" r="0" b="0"/>
                      <wp:wrapNone/>
                      <wp:docPr id="263" name="Frame263"/>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5"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29260" cy="175260"/>
                      <wp:effectExtent l="0" t="0" r="0" b="0"/>
                      <wp:wrapNone/>
                      <wp:docPr id="266" name="Frame26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8" name="Frame2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02285" cy="175260"/>
                      <wp:effectExtent l="0" t="0" r="0" b="0"/>
                      <wp:wrapNone/>
                      <wp:docPr id="269" name="Frame26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left"/>
              <w:rPr/>
            </w:pPr>
            <w:r>
              <w:rPr/>
              <w:t>    </w:t>
            </w:r>
          </w:p>
        </w:tc>
        <w:tc>
          <w:tcPr>
            <w:tcW w:w="100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1"/>
              <w:ind w:left="0" w:right="0" w:hanging="0"/>
              <w:jc w:val="left"/>
              <w:rPr/>
            </w:pPr>
            <w:r>
              <w:rPr/>
              <w:t>​</w:t>
            </w:r>
          </w:p>
        </w:tc>
        <w:tc>
          <w:tcPr>
            <w:tcW w:w="10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2021 Bonds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66,482</w:t>
            </w:r>
          </w:p>
        </w:tc>
      </w:tr>
    </w:tbl>
    <w:p>
      <w:pPr>
        <w:pStyle w:val="TextBody"/>
        <w:bidi w:val="0"/>
        <w:spacing w:before="0" w:after="240"/>
        <w:ind w:left="0" w:right="0" w:firstLine="360"/>
        <w:jc w:val="left"/>
        <w:rPr/>
      </w:pPr>
      <w:r>
        <w:rPr/>
        <w:t>​</w:t>
      </w:r>
    </w:p>
    <w:p>
      <w:pPr>
        <w:pStyle w:val="TextBody"/>
        <w:bidi w:val="0"/>
        <w:spacing w:before="0" w:after="240"/>
        <w:ind w:left="0" w:right="0" w:hanging="0"/>
        <w:jc w:val="left"/>
        <w:rPr/>
      </w:pPr>
      <w:r>
        <w:rPr/>
        <w:t>​</w:t>
      </w:r>
    </w:p>
    <w:tbl>
      <w:tblPr>
        <w:tblW w:w="2297" w:type="dxa"/>
        <w:jc w:val="left"/>
        <w:tblInd w:w="0" w:type="dxa"/>
        <w:tblLayout w:type="fixed"/>
        <w:tblCellMar>
          <w:top w:w="0" w:type="dxa"/>
          <w:left w:w="0" w:type="dxa"/>
          <w:bottom w:w="0" w:type="dxa"/>
          <w:right w:w="0" w:type="dxa"/>
        </w:tblCellMar>
      </w:tblPr>
      <w:tblGrid>
        <w:gridCol w:w="376"/>
        <w:gridCol w:w="192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18.</w:t>
            </w:r>
          </w:p>
        </w:tc>
        <w:tc>
          <w:tcPr>
            <w:tcW w:w="192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Stockholders’ Equity</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Issuances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In January 2024 the Company filed Form S-3, which included </w:t>
      </w:r>
      <w:r>
        <w:rPr>
          <w:rFonts w:ascii="Times New Roman;Times;serif" w:hAnsi="Times New Roman;Times;serif"/>
          <w:spacing w:val="4"/>
          <w:sz w:val="20"/>
        </w:rPr>
        <w:t>a base prospectus which covers the offer, issuance and sale of up to an aggregate of $750.0 million of the registrant’s common stock, preferred stock, debt securities, depositary shares, warrants, purchase contracts and units and an at-the-market offering prospectus supplement covering the offering, issuance and sale by the registrant of up to a maximum aggregate offering price of $500.0 million of the Company’s common stock that may be issued and sold under an at-the-market-offering agreement</w:t>
      </w:r>
      <w:r>
        <w:rPr>
          <w:rFonts w:ascii="Times New Roman;Times;serif" w:hAnsi="Times New Roman;Times;serif"/>
          <w:sz w:val="20"/>
        </w:rPr>
        <w:t xml:space="preserv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March 31, 2024, the Company has remaining capacity to issue up to approximately $500.0 million of common stock under the at-the-market offering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March 31, 2024, none of the Series 2022-A Warrants had been exercised.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net proceeds to the Company from the June 2022 Offering were $139.2 million, after deducting placement agent’s fees, advisory fees and other offering expenses payable by the Company, and assuming none of the Series 2022-A Warrants issued in the June 2022 Offering are exercised for cash. The Company intends to use the net proceeds from the June 2022 Offering to fund capital projects, working capital and for general corporate purposes.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repurchased 2.1 million shares of common stock for $1.4 million under the stock repurchase program during the three months ended March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2024, the Company repurchased 3.3 million shares of common stock for $2.3 million under the stock repurchase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Warrants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Series 2022-A Warrants and Series 2020-A Warrants are classified as a component of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 The Company valued the Series 2022-A Warrants and Series 2020-A Warrants at issuance using the Black-Scholes option pricing model. The fair value at the issuance date of the Series 2022-A Warrants was $92.9 million with the key inputs to the valuation model including a weighted average volatility of 151.1%, a risk-free rate of 2.86% and an expected term of five years. The fair value at the issuance date of the Series 2020-A Warrants was $8.3 million with the key inputs to the valuation model including a weighted average volatility of 130%, a risk-free rate of 0.30% and an expected term of five years.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firstLine="360"/>
        <w:jc w:val="left"/>
        <w:rPr>
          <w:rFonts w:ascii="Times New Roman;Times;serif" w:hAnsi="Times New Roman;Times;serif"/>
          <w:sz w:val="20"/>
        </w:rPr>
      </w:pPr>
      <w:bookmarkStart w:id="1074" w:name="Tc_z0ZwhDUEMkqhQJDwQMEWnQ_10_0"/>
      <w:bookmarkStart w:id="1075" w:name="Tc_zvz1tVhn9EW_JBVia6bIbw_9_6"/>
      <w:bookmarkStart w:id="1076" w:name="Tc_0FlwqcIhF0iMBR2VW0QLuw_9_4"/>
      <w:bookmarkStart w:id="1077" w:name="Tc_a_6CVw_AsEuVAkG9SsWJQg_9_2"/>
      <w:bookmarkStart w:id="1078" w:name="Tc_BYO4K-9E8U-S6vWQZ0Ak6g_9_0"/>
      <w:bookmarkStart w:id="1079" w:name="Tc_lgfC5egRtEOmYFzwCTzULw_8_6"/>
      <w:bookmarkStart w:id="1080" w:name="Tc_AmlGO1wuOE2XA_A64BCGow_8_4"/>
      <w:bookmarkStart w:id="1081" w:name="Tc_93PsMMY9pEGvyY--nrpd_w_8_2"/>
      <w:bookmarkStart w:id="1082" w:name="Tc_CckjTx2pJECYanGyvjZilw_8_0"/>
      <w:bookmarkStart w:id="1083" w:name="Tc_FbMBtXIRq0OUE-vWQr2l5w_7_13"/>
      <w:bookmarkStart w:id="1084" w:name="Tc_ykOBJFxOB0eRhyv5G6s7Xg_7_11"/>
      <w:bookmarkStart w:id="1085" w:name="Tc_Ekbe2mMg0E2nvQu_SkPwzw_7_9"/>
      <w:bookmarkStart w:id="1086" w:name="Tc_KyzhKMmXkEOVl5J-PvJUzg_7_6"/>
      <w:bookmarkStart w:id="1087" w:name="Tc_bWwEUbaNwUK629iFjujGQQ_7_4"/>
      <w:bookmarkStart w:id="1088" w:name="Tc_DG8WGSfp6U-gqWgYmFP3Ug_7_2"/>
      <w:bookmarkStart w:id="1089" w:name="Tc_aKAf5kmWdk2uExAll_4uAg_6_13"/>
      <w:bookmarkStart w:id="1090" w:name="Tc_1Fmqu5sHGEKT6kK7fEHUgw_6_11"/>
      <w:bookmarkStart w:id="1091" w:name="Tc_Bij3QUz-q06f67EViY4ylA_6_9"/>
      <w:bookmarkStart w:id="1092" w:name="Tc_DOduFytUxk292tuRNY6BAQ_6_7"/>
      <w:bookmarkStart w:id="1093" w:name="Tc_AaEDluZX8EeFszO650npkA_6_4"/>
      <w:bookmarkStart w:id="1094" w:name="Tc_XXpmS7Xfc0atlPpu3VYEzg_6_2"/>
      <w:bookmarkStart w:id="1095" w:name="Tc_dNK424R_BEuGXr5tnfy44g_5_13"/>
      <w:bookmarkStart w:id="1096" w:name="Tc_2a6LveZVxUyLvuq1cqDhbA_5_11"/>
      <w:bookmarkStart w:id="1097" w:name="Tc_v2vA-5j_RkOOmx7xm0rx9g_5_9"/>
      <w:bookmarkStart w:id="1098" w:name="Tc_3dJPZwdHk0K0V6T_0ptJiQ_5_6"/>
      <w:bookmarkStart w:id="1099" w:name="Tc_ymICgbNHP0mY37du4QX8JA_4_13"/>
      <w:bookmarkStart w:id="1100" w:name="Tc_q1fL6N0lH0mk9lPVc4kiLQ_4_11"/>
      <w:bookmarkStart w:id="1101" w:name="Tc_-3GjiDyEskSidOOiw_fOww_4_9"/>
      <w:bookmarkStart w:id="1102" w:name="Tc_VvcoTqwx3kq7CEBZ7fAH5w_4_6"/>
      <w:bookmarkStart w:id="1103" w:name="Tc_LovDo0AD2kKjfhqtgN0FiA_3_13"/>
      <w:bookmarkStart w:id="1104" w:name="Tc_A-5HfRH980SaScmqSBVkeg_3_11"/>
      <w:bookmarkStart w:id="1105" w:name="Tc_mAcGDOWa_0GEcIDYzX8NQQ_3_9"/>
      <w:bookmarkStart w:id="1106" w:name="Tc_X8u5vXDWC0KVmsZLCL-TWw_2_13"/>
      <w:bookmarkStart w:id="1107" w:name="Tc_vVv3vI0Y8EKYJuZJ37PtVw_2_11"/>
      <w:bookmarkStart w:id="1108" w:name="Tc_fnL6T-P45kmTIlTPfOZ74w_1_13"/>
      <w:bookmarkStart w:id="1109" w:name="Tc_ZF_HgxYcvkipRDjuZTzmog_1_11"/>
      <w:bookmarkStart w:id="1110" w:name="_2da9ffc9_f35f_4995_901f_744913f0ec8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ascii="Times New Roman;Times;serif" w:hAnsi="Times New Roman;Times;serif"/>
          <w:sz w:val="20"/>
        </w:rPr>
        <w:t>The following table sets forth information pertaining to shares issued upon the exercise of warrants:</w:t>
      </w:r>
    </w:p>
    <w:tbl>
      <w:tblPr>
        <w:tblW w:w="10205" w:type="dxa"/>
        <w:jc w:val="left"/>
        <w:tblInd w:w="0" w:type="dxa"/>
        <w:tblLayout w:type="fixed"/>
        <w:tblCellMar>
          <w:top w:w="0" w:type="dxa"/>
          <w:left w:w="0" w:type="dxa"/>
          <w:bottom w:w="0" w:type="dxa"/>
          <w:right w:w="0" w:type="dxa"/>
        </w:tblCellMar>
      </w:tblPr>
      <w:tblGrid>
        <w:gridCol w:w="2181"/>
        <w:gridCol w:w="326"/>
        <w:gridCol w:w="850"/>
        <w:gridCol w:w="326"/>
        <w:gridCol w:w="886"/>
        <w:gridCol w:w="326"/>
        <w:gridCol w:w="211"/>
        <w:gridCol w:w="897"/>
        <w:gridCol w:w="326"/>
        <w:gridCol w:w="1036"/>
        <w:gridCol w:w="326"/>
        <w:gridCol w:w="1036"/>
        <w:gridCol w:w="326"/>
        <w:gridCol w:w="1152"/>
      </w:tblGrid>
      <w:tr>
        <w:trPr/>
        <w:tc>
          <w:tcPr>
            <w:tcW w:w="2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84935" cy="175260"/>
                      <wp:effectExtent l="0" t="0" r="0" b="0"/>
                      <wp:wrapNone/>
                      <wp:docPr id="270" name="Frame270"/>
                      <a:graphic xmlns:a="http://schemas.openxmlformats.org/drawingml/2006/main">
                        <a:graphicData uri="http://schemas.microsoft.com/office/word/2010/wordprocessingShape">
                          <wps:wsp>
                            <wps:cNvSpPr txBox="1"/>
                            <wps:spPr>
                              <a:xfrm>
                                <a:off x="0" y="0"/>
                                <a:ext cx="1384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39750" cy="175260"/>
                      <wp:effectExtent l="0" t="0" r="0" b="0"/>
                      <wp:wrapNone/>
                      <wp:docPr id="272" name="Frame272"/>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562610" cy="175260"/>
                      <wp:effectExtent l="0" t="0" r="0" b="0"/>
                      <wp:wrapNone/>
                      <wp:docPr id="274" name="Frame27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569595" cy="175260"/>
                      <wp:effectExtent l="0" t="0" r="0" b="0"/>
                      <wp:wrapNone/>
                      <wp:docPr id="277" name="Frame277"/>
                      <a:graphic xmlns:a="http://schemas.openxmlformats.org/drawingml/2006/main">
                        <a:graphicData uri="http://schemas.microsoft.com/office/word/2010/wordprocessingShape">
                          <wps:wsp>
                            <wps:cNvSpPr txBox="1"/>
                            <wps:spPr>
                              <a:xfrm>
                                <a:off x="0" y="0"/>
                                <a:ext cx="569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57860" cy="175260"/>
                      <wp:effectExtent l="0" t="0" r="0" b="0"/>
                      <wp:wrapNone/>
                      <wp:docPr id="279" name="Frame2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57860" cy="175260"/>
                      <wp:effectExtent l="0" t="0" r="0" b="0"/>
                      <wp:wrapNone/>
                      <wp:docPr id="281" name="Frame28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31520" cy="175260"/>
                      <wp:effectExtent l="0" t="0" r="0" b="0"/>
                      <wp:wrapNone/>
                      <wp:docPr id="283" name="Frame283"/>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15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26" w:type="dxa"/>
            <w:tcBorders/>
            <w:vAlign w:val="center"/>
          </w:tcPr>
          <w:p>
            <w:pPr>
              <w:pStyle w:val="TableContents"/>
              <w:bidi w:val="0"/>
              <w:spacing w:before="0" w:after="1"/>
              <w:ind w:left="0" w:right="0" w:hanging="0"/>
              <w:jc w:val="center"/>
              <w:rPr/>
            </w:pPr>
            <w:r>
              <w:rPr/>
              <w:t> </w:t>
            </w:r>
          </w:p>
        </w:tc>
        <w:tc>
          <w:tcPr>
            <w:tcW w:w="115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9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1"/>
              <w:ind w:left="0" w:right="0" w:hanging="0"/>
              <w:jc w:val="center"/>
              <w:rPr/>
            </w:pPr>
            <w:r>
              <w:rPr/>
              <w:t> </w:t>
            </w:r>
          </w:p>
        </w:tc>
        <w:tc>
          <w:tcPr>
            <w:tcW w:w="115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1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Underlying</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Exercises as</w:t>
            </w:r>
          </w:p>
        </w:tc>
        <w:tc>
          <w:tcPr>
            <w:tcW w:w="326" w:type="dxa"/>
            <w:tcBorders/>
            <w:vAlign w:val="center"/>
          </w:tcPr>
          <w:p>
            <w:pPr>
              <w:pStyle w:val="TableContents"/>
              <w:bidi w:val="0"/>
              <w:spacing w:before="0" w:after="1"/>
              <w:ind w:left="0" w:right="0" w:hanging="0"/>
              <w:jc w:val="center"/>
              <w:rPr/>
            </w:pPr>
            <w:r>
              <w:rPr/>
              <w:t> </w:t>
            </w:r>
          </w:p>
        </w:tc>
        <w:tc>
          <w:tcPr>
            <w:tcW w:w="115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0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as of</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 on</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w:t>
            </w:r>
          </w:p>
        </w:tc>
        <w:tc>
          <w:tcPr>
            <w:tcW w:w="326" w:type="dxa"/>
            <w:tcBorders/>
            <w:vAlign w:val="center"/>
          </w:tcPr>
          <w:p>
            <w:pPr>
              <w:pStyle w:val="TableContents"/>
              <w:bidi w:val="0"/>
              <w:spacing w:before="0" w:after="1"/>
              <w:ind w:left="0" w:right="0" w:hanging="0"/>
              <w:jc w:val="center"/>
              <w:rPr/>
            </w:pPr>
            <w:r>
              <w:rPr/>
              <w:t> </w:t>
            </w:r>
          </w:p>
        </w:tc>
        <w:tc>
          <w:tcPr>
            <w:tcW w:w="115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0"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7"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Issuance</w:t>
            </w:r>
          </w:p>
        </w:tc>
        <w:tc>
          <w:tcPr>
            <w:tcW w:w="326" w:type="dxa"/>
            <w:tcBorders/>
            <w:vAlign w:val="center"/>
          </w:tcPr>
          <w:p>
            <w:pPr>
              <w:pStyle w:val="TableContents"/>
              <w:bidi w:val="0"/>
              <w:spacing w:before="0" w:after="1"/>
              <w:ind w:left="0" w:right="0" w:hanging="0"/>
              <w:jc w:val="center"/>
              <w:rPr/>
            </w:pPr>
            <w:r>
              <w:rPr/>
              <w:t> </w:t>
            </w:r>
          </w:p>
        </w:tc>
        <w:tc>
          <w:tcPr>
            <w:tcW w:w="10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1"/>
              <w:ind w:left="0" w:right="0" w:hanging="0"/>
              <w:jc w:val="center"/>
              <w:rPr/>
            </w:pPr>
            <w:r>
              <w:rPr/>
              <w:t> </w:t>
            </w:r>
          </w:p>
        </w:tc>
        <w:tc>
          <w:tcPr>
            <w:tcW w:w="1152"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11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15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1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2020-A Warrants </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8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7/6/2020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7/6/2025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30,000,000</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29,914,069</w:t>
            </w:r>
          </w:p>
        </w:tc>
        <w:tc>
          <w:tcPr>
            <w:tcW w:w="326" w:type="dxa"/>
            <w:tcBorders/>
            <w:shd w:fill="CCEEFF" w:val="clear"/>
            <w:vAlign w:val="center"/>
          </w:tcPr>
          <w:p>
            <w:pPr>
              <w:pStyle w:val="TableContents"/>
              <w:bidi w:val="0"/>
              <w:spacing w:before="0" w:after="1"/>
              <w:ind w:left="0" w:right="0" w:hanging="0"/>
              <w:jc w:val="left"/>
              <w:rPr/>
            </w:pPr>
            <w:r>
              <w:rPr/>
              <w:t> </w:t>
            </w:r>
          </w:p>
        </w:tc>
        <w:tc>
          <w:tcPr>
            <w:tcW w:w="11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85,931</w:t>
            </w:r>
          </w:p>
        </w:tc>
      </w:tr>
      <w:tr>
        <w:trPr/>
        <w:tc>
          <w:tcPr>
            <w:tcW w:w="218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Series 2022-A Warrants </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 </w:t>
            </w:r>
          </w:p>
        </w:tc>
        <w:tc>
          <w:tcPr>
            <w:tcW w:w="8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6/8/2022</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6/7/2027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1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33,333,336</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85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9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63,333,336</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29,914,069</w:t>
            </w:r>
          </w:p>
        </w:tc>
        <w:tc>
          <w:tcPr>
            <w:tcW w:w="326" w:type="dxa"/>
            <w:tcBorders/>
            <w:shd w:fill="CCEEFF" w:val="clear"/>
            <w:vAlign w:val="center"/>
          </w:tcPr>
          <w:p>
            <w:pPr>
              <w:pStyle w:val="TableContents"/>
              <w:bidi w:val="0"/>
              <w:spacing w:before="0" w:after="1"/>
              <w:ind w:left="0" w:right="0" w:hanging="0"/>
              <w:jc w:val="left"/>
              <w:rPr/>
            </w:pPr>
            <w:r>
              <w:rPr/>
              <w:t> </w:t>
            </w:r>
          </w:p>
        </w:tc>
        <w:tc>
          <w:tcPr>
            <w:tcW w:w="1152"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33,419,267</w:t>
            </w:r>
          </w:p>
        </w:tc>
      </w:tr>
    </w:tbl>
    <w:tbl>
      <w:tblPr>
        <w:tblW w:w="2642" w:type="dxa"/>
        <w:jc w:val="left"/>
        <w:tblInd w:w="0" w:type="dxa"/>
        <w:tblLayout w:type="fixed"/>
        <w:tblCellMar>
          <w:top w:w="0" w:type="dxa"/>
          <w:left w:w="0" w:type="dxa"/>
          <w:bottom w:w="0" w:type="dxa"/>
          <w:right w:w="0" w:type="dxa"/>
        </w:tblCellMar>
      </w:tblPr>
      <w:tblGrid>
        <w:gridCol w:w="346"/>
        <w:gridCol w:w="229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2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Equity-classified warrants.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2024</w:t>
      </w:r>
      <w:r>
        <w:rPr>
          <w:rFonts w:ascii="Times New Roman;Times;serif" w:hAnsi="Times New Roman;Times;serif"/>
          <w:i/>
          <w:sz w:val="20"/>
        </w:rPr>
        <w:t xml:space="preserve">, </w:t>
      </w:r>
      <w:r>
        <w:rPr>
          <w:rFonts w:ascii="Times New Roman;Times;serif" w:hAnsi="Times New Roman;Times;serif"/>
          <w:sz w:val="20"/>
        </w:rPr>
        <w:t>no warrants were exercised.</w:t>
      </w:r>
    </w:p>
    <w:tbl>
      <w:tblPr>
        <w:tblW w:w="2657" w:type="dxa"/>
        <w:jc w:val="left"/>
        <w:tblInd w:w="0" w:type="dxa"/>
        <w:tblLayout w:type="fixed"/>
        <w:tblCellMar>
          <w:top w:w="0" w:type="dxa"/>
          <w:left w:w="0" w:type="dxa"/>
          <w:bottom w:w="0" w:type="dxa"/>
          <w:right w:w="0" w:type="dxa"/>
        </w:tblCellMar>
      </w:tblPr>
      <w:tblGrid>
        <w:gridCol w:w="376"/>
        <w:gridCol w:w="2281"/>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19.</w:t>
            </w:r>
          </w:p>
        </w:tc>
        <w:tc>
          <w:tcPr>
            <w:tcW w:w="228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Variable Interest Entities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has entered into agreements with Zero6 Energy Development, Inc. (“ZEDI”) to facilitate the development and construction of facilities to provide carbon neutral power to NZ1. ZEDI established two wholly owned subsidiaries, structured as limited liability companies, to operate the power facilities.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Nonconsolidated VIEs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September 2022 and February 2023, the Company entered into agreements with ZEDI, a national clean energy expert that provides expertise in capital management, development, engineering, and asset management, to develop and construct facilities to provide carbon neutral power to NZ1 via the two Project LLCs: Kingsbury County Wind Fuel, LLC (“KCWF”) and Dakota Renewable Hydrogen, LLC (“DRH”), respectively. In December 2023 the agreements with ZEDI related to the two Project LLCs were amended to remove certain kickout rights that previously existed.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Each Project LLC is currently funded via advances for certain long lead equipment items from Gevo. The Company has made certain refundable project advances indirectly to the Project LLCs via ZEDI, to induce ZEDI to design and construct the power generation, transmission and distribution facilities that will serve NZ1.</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Each Project LLC is a VIE, and the Company holds an implicit variable interest in each Project LLC. As of December 2023, we have concluded that the removal of the kickout rights from the agreements has resulted in a loss of control and that, therefore, the Company is no longer the primary beneficiary of the Project LLCs. The Project LLCs are a VIE because their equity is insufficient to maintain its on-going collateral requirements without additional financial support from the Company.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was no gain or loss recognized as a result of the deconsolidation of the Project LLCs. We have recognized $33.4 million in Deposits and other assets related to advances made to the Project LLCs which are reimbursable upon the achievement or failure to achieve certain milestones. Such amounts represent our maximum exposure to loss as a result of our involvement with the Project LLCs.</w:t>
      </w:r>
    </w:p>
    <w:tbl>
      <w:tblPr>
        <w:tblW w:w="1322" w:type="dxa"/>
        <w:jc w:val="left"/>
        <w:tblInd w:w="0" w:type="dxa"/>
        <w:tblLayout w:type="fixed"/>
        <w:tblCellMar>
          <w:top w:w="0" w:type="dxa"/>
          <w:left w:w="0" w:type="dxa"/>
          <w:bottom w:w="0" w:type="dxa"/>
          <w:right w:w="0" w:type="dxa"/>
        </w:tblCellMar>
      </w:tblPr>
      <w:tblGrid>
        <w:gridCol w:w="376"/>
        <w:gridCol w:w="946"/>
      </w:tblGrid>
      <w:tr>
        <w:trPr/>
        <w:tc>
          <w:tcPr>
            <w:tcW w:w="37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20.</w:t>
            </w:r>
          </w:p>
        </w:tc>
        <w:tc>
          <w:tcPr>
            <w:tcW w:w="9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Segments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reviews financial information presented on a consolidated basis for the purposes of making operating decisions, allocating resources, and evaluating financial performance. As such, management has determined that the Company has organized its operations and activities into three reportable segments: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3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GEVO,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rFonts w:ascii="Times New Roman;Times;serif" w:hAnsi="Times New Roman;Times;serif"/>
          <w:sz w:val="20"/>
        </w:rPr>
      </w:pPr>
      <w:bookmarkStart w:id="1111" w:name="Tc_8aOWuOMRV0a_nS_DD3w6Sw_4_11"/>
      <w:bookmarkStart w:id="1112" w:name="Tc_3qWLhU0RMkaer_I3A6ck1Q_4_8"/>
      <w:bookmarkStart w:id="1113" w:name="Tc_zNeP0VQA4k-NosjiATT-Ew_4_5"/>
      <w:bookmarkStart w:id="1114" w:name="Tc_K2OaE4rdzkyT-aAQm4zpFw_4_2"/>
      <w:bookmarkStart w:id="1115" w:name="Tc_Mw55iMfQQk-7KsiikXSXYA_4_0"/>
      <w:bookmarkStart w:id="1116" w:name="Tc_6AsGJEHPnUyGstCnMuyEsw_3_11"/>
      <w:bookmarkStart w:id="1117" w:name="Tc_0GPemGG5EUmgM-VpSmPxTA_3_8"/>
      <w:bookmarkStart w:id="1118" w:name="Tc_-hcQTxwNC0-pG9xHyFBgRQ_3_5"/>
      <w:bookmarkStart w:id="1119" w:name="Tc_EGcLb8yGRk2a_50O3E_8UA_3_2"/>
      <w:bookmarkStart w:id="1120" w:name="Tc_Dx_vOXZu4kKK-NcRMeTGKA_2_8"/>
      <w:bookmarkStart w:id="1121" w:name="Tc_B2is1Zl6REiqiP5K0LJ9Iw_1_2"/>
      <w:bookmarkStart w:id="1122" w:name="_b67651f8_9dde_4ae0_890f_8641efcf6b6a"/>
      <w:bookmarkStart w:id="1123" w:name="Tc_y0VT8-6-v0uJDe91FKsjNw_4_11"/>
      <w:bookmarkStart w:id="1124" w:name="Tc_S_3F7Jw1qE2y2euks4ALEg_4_8"/>
      <w:bookmarkStart w:id="1125" w:name="Tc_vPLnxxAjcEiW2qKFhu5c3Q_4_5"/>
      <w:bookmarkStart w:id="1126" w:name="Tc_XfkMTzfjS0epv0qqUPfBTA_4_2"/>
      <w:bookmarkStart w:id="1127" w:name="Tc_VtavikWSYU-FteGErSaLjg_4_0"/>
      <w:bookmarkStart w:id="1128" w:name="Tc_9pd4xZSJU0aMvWxgXYRpjQ_3_11"/>
      <w:bookmarkStart w:id="1129" w:name="Tc_JniXn5nMaUaZ7tkkGXiQcQ_3_8"/>
      <w:bookmarkStart w:id="1130" w:name="Tc_kx0CH9NlUEuWugvFYkcBGA_3_5"/>
      <w:bookmarkStart w:id="1131" w:name="Tc_ncSsCirgKkGCRJocuc1_Rw_3_2"/>
      <w:bookmarkStart w:id="1132" w:name="Tc_ekuf9ue95ECnRfBVvbxb0w_2_8"/>
      <w:bookmarkStart w:id="1133" w:name="Tc_GATAd7ezQkWQORo29oLcLg_1_2"/>
      <w:bookmarkStart w:id="1134" w:name="_0c8a42d6_f62d_46d4_9287_9fdfcf81480e"/>
      <w:bookmarkStart w:id="1135" w:name="Tc_AAddAOD2CEmKbtnCkbNvyQ_9_11"/>
      <w:bookmarkStart w:id="1136" w:name="Tc_ym6jS_8aMEeTQ8kl6AaKww_9_8"/>
      <w:bookmarkStart w:id="1137" w:name="Tc_0mRuebSgrEO8U4xgS3CkYw_9_6"/>
      <w:bookmarkStart w:id="1138" w:name="Tc_RlUnHBhHTEyVw5HnglxCOw_9_5"/>
      <w:bookmarkStart w:id="1139" w:name="Tc_MAjHh8e0qU6e6BArB49NKQ_9_2"/>
      <w:bookmarkStart w:id="1140" w:name="Tc_B17tgV6NpkCcZ5_XrdIiww_9_0"/>
      <w:bookmarkStart w:id="1141" w:name="Tc_7NlBnCS_0067gyrDj5iGLg_8_11"/>
      <w:bookmarkStart w:id="1142" w:name="Tc_OkvadXpaqE6DgltfXQmMDw_8_8"/>
      <w:bookmarkStart w:id="1143" w:name="Tc_NIes82bypEKhW4p5amLSMg_8_5"/>
      <w:bookmarkStart w:id="1144" w:name="Tc_vvPH5OJeIUSs2CnBq_1dvA_8_2"/>
      <w:bookmarkStart w:id="1145" w:name="Tc_Vs4lNVLgo06CMz4b7LRNbg_8_0"/>
      <w:bookmarkStart w:id="1146" w:name="Tc_MFxbi2x5q02HPI6QH912TQ_7_11"/>
      <w:bookmarkStart w:id="1147" w:name="Tc_pRHiVSgLWUmRZ0JFMm-RzA_7_9"/>
      <w:bookmarkStart w:id="1148" w:name="Tc_YgHM1bGYT0aEvpUL5h9Qbw_7_8"/>
      <w:bookmarkStart w:id="1149" w:name="Tc_XhhKu0BgUke2JOgET7mWcQ_7_6"/>
      <w:bookmarkStart w:id="1150" w:name="Tc_VcHqMj2pakqfgsDlxdGYJg_7_5"/>
      <w:bookmarkStart w:id="1151" w:name="Tc_0Z0AGj9Ax0eaGSc5veRKDA_7_2"/>
      <w:bookmarkStart w:id="1152" w:name="Tc_ZMWA6YmKHke6Twj23rMX-w_7_0"/>
      <w:bookmarkStart w:id="1153" w:name="Tc_f73rqJwC8USJXpg_P5A5Mw_6_11"/>
      <w:bookmarkStart w:id="1154" w:name="Tc_7WnPlhGunE67FdmrYPBcwQ_6_8"/>
      <w:bookmarkStart w:id="1155" w:name="Tc_Mste66HgDkW2O47a880Tzw_6_5"/>
      <w:bookmarkStart w:id="1156" w:name="Tc_aTJhxC2cwkqlGq1mA0g3Dg_6_2"/>
      <w:bookmarkStart w:id="1157" w:name="Tc_35WbURye8kmmfQ-47_H7sg_6_0"/>
      <w:bookmarkStart w:id="1158" w:name="Tc_bVbI76saiE6wWVgStxBfJw_5_11"/>
      <w:bookmarkStart w:id="1159" w:name="Tc_uh2wWdG8dEeJH20Kvvy9Zg_5_8"/>
      <w:bookmarkStart w:id="1160" w:name="Tc_kmMxjL0WeUaCm4kW0OSWSA_5_5"/>
      <w:bookmarkStart w:id="1161" w:name="Tc_pakDVlXmYEWxd3bJcJ3Kyg_5_2"/>
      <w:bookmarkStart w:id="1162" w:name="Tc_9KOT791i80aZ3Ec_Yz4xhw_5_0"/>
      <w:bookmarkStart w:id="1163" w:name="Tc_AsfBFoQz-kaX2uWoLZnGtQ_4_11"/>
      <w:bookmarkStart w:id="1164" w:name="Tc_JBhYSC6K70OIZSdiJPRk_Q_4_8"/>
      <w:bookmarkStart w:id="1165" w:name="Tc_e--lf7RoMkqSOYHVY0_qTA_4_6"/>
      <w:bookmarkStart w:id="1166" w:name="Tc_9DzVDkK4xka4dazbSOmHLQ_4_5"/>
      <w:bookmarkStart w:id="1167" w:name="Tc_Gu2HJzKwYUm0VIEeyFTbuw_4_2"/>
      <w:bookmarkStart w:id="1168" w:name="Tc_TisQfADlP0iib-mFWiHSig_4_0"/>
      <w:bookmarkStart w:id="1169" w:name="Tc_nd4rBJL_nkOXufN3B8e9jg_3_11"/>
      <w:bookmarkStart w:id="1170" w:name="Tc_-k1AURi_XUGo6dqFMWfFZA_3_8"/>
      <w:bookmarkStart w:id="1171" w:name="Tc_2lXGx4n9l0yHZvh4Z2lDFQ_3_5"/>
      <w:bookmarkStart w:id="1172" w:name="Tc_cUVQ63vJdUOWp_fCi9ipmw_3_2"/>
      <w:bookmarkStart w:id="1173" w:name="Tc_H8a1J3Z9aUqPyX8RXBA3Zg_2_8"/>
      <w:bookmarkStart w:id="1174" w:name="Tc_GHMUQRizWkOznM8bniKd2Q_1_2"/>
      <w:bookmarkStart w:id="1175" w:name="_bfa8eaaa_4d99_4268_ae7a_1d0e46d2bc1b"/>
      <w:bookmarkStart w:id="1176" w:name="Tc_JyoqWaCQ40-3xm1no68Rzw_9_11"/>
      <w:bookmarkStart w:id="1177" w:name="Tc_zE9ikC-72ESh-4tO01cX5Q_9_8"/>
      <w:bookmarkStart w:id="1178" w:name="Tc_zqbfeGY8TU6oNcYgGt-hBA_9_5"/>
      <w:bookmarkStart w:id="1179" w:name="Tc_fxLwrN8qCkmwggSx1e6j4A_9_2"/>
      <w:bookmarkStart w:id="1180" w:name="Tc_a7WadJ8yh0qUc-HbqjPGbg_9_0"/>
      <w:bookmarkStart w:id="1181" w:name="Tc_FP6YwsjV1Eie9fItKt3rvg_8_11"/>
      <w:bookmarkStart w:id="1182" w:name="Tc_3t66K1w5KES26ED-6bLi2g_8_8"/>
      <w:bookmarkStart w:id="1183" w:name="Tc_gwt_iwn4I0a6aeT-o-4L-A_8_6"/>
      <w:bookmarkStart w:id="1184" w:name="Tc_YL0AAICaB0CQYyhBrccXpg_8_5"/>
      <w:bookmarkStart w:id="1185" w:name="Tc_vALsO7Bkv0mUDAbqHCQb2g_8_2"/>
      <w:bookmarkStart w:id="1186" w:name="Tc_KF0EKaz3FkKXheGdaSHamQ_8_0"/>
      <w:bookmarkStart w:id="1187" w:name="Tc_pBEWrzUpW0y0Wwlf5AplyA_7_11"/>
      <w:bookmarkStart w:id="1188" w:name="Tc_iEOICAQx60aSW5KQyK6MKA_7_9"/>
      <w:bookmarkStart w:id="1189" w:name="Tc_MEUIy31l_E-gVKzj4TIoRw_7_8"/>
      <w:bookmarkStart w:id="1190" w:name="Tc_JMFTFzzsgU6hpYcVURi9ng_7_6"/>
      <w:bookmarkStart w:id="1191" w:name="Tc_tiajBkbvgUact9hRJvu0vQ_7_5"/>
      <w:bookmarkStart w:id="1192" w:name="Tc_xfDhZTLprkOZAk4zeiKr0A_7_2"/>
      <w:bookmarkStart w:id="1193" w:name="Tc_BgguUKifD02jn3TpKhncbg_7_0"/>
      <w:bookmarkStart w:id="1194" w:name="Tc_Y0KLew6CQUiRE_NUnYeKTw_6_11"/>
      <w:bookmarkStart w:id="1195" w:name="Tc_fkKuEZRH9U2S2wnEvIU_Zw_6_8"/>
      <w:bookmarkStart w:id="1196" w:name="Tc_48QZ0gf6LkesYD1FP35Znw_6_5"/>
      <w:bookmarkStart w:id="1197" w:name="Tc_NdgWsuHnzEyUYXabWUqBEA_6_2"/>
      <w:bookmarkStart w:id="1198" w:name="Tc_o2STtSMHxUChrjDTewz0Zg_6_0"/>
      <w:bookmarkStart w:id="1199" w:name="Tc_qDMAZ0THgUGVF2zKs1CjJw_5_11"/>
      <w:bookmarkStart w:id="1200" w:name="Tc_Y6v-M0-U_EuX8RLp9JvBTA_5_8"/>
      <w:bookmarkStart w:id="1201" w:name="Tc_mEBBLZ0zGk-hvLDN-L4pRQ_5_5"/>
      <w:bookmarkStart w:id="1202" w:name="Tc_CX_sV7wD8UOs1sZyI8OIEA_5_2"/>
      <w:bookmarkStart w:id="1203" w:name="Tc_UL7-RuvdGUi0c0v3titFdQ_5_0"/>
      <w:bookmarkStart w:id="1204" w:name="Tc_WKGboFIlRUWRPFDoi3guLQ_4_11"/>
      <w:bookmarkStart w:id="1205" w:name="Tc_jFU33GEJqE2HAI21FJhSUw_4_8"/>
      <w:bookmarkStart w:id="1206" w:name="Tc_UvfpMUDRRkWogwfPg80zeQ_4_6"/>
      <w:bookmarkStart w:id="1207" w:name="Tc_ZtID-C6oWkuqne9BRsG35g_4_5"/>
      <w:bookmarkStart w:id="1208" w:name="Tc_AG3AIYrzmkSeWebOHugTfA_4_3"/>
      <w:bookmarkStart w:id="1209" w:name="Tc_W9vcx4u-l0mMXJfg0WQX-w_4_2"/>
      <w:bookmarkStart w:id="1210" w:name="Tc_3RAH2_FTwEaG0pBTnIcgIQ_4_0"/>
      <w:bookmarkStart w:id="1211" w:name="Tc_pmlsRKxEKUyO65RBF6UtWA_3_11"/>
      <w:bookmarkStart w:id="1212" w:name="Tc_MujTXOKuJk6BDNVQtx4t4A_3_8"/>
      <w:bookmarkStart w:id="1213" w:name="Tc_x_ixX7EsY0Gx1H5wWQh7vA_3_5"/>
      <w:bookmarkStart w:id="1214" w:name="Tc_Xn5E6iWX7EugNwgrhhxYkg_3_2"/>
      <w:bookmarkStart w:id="1215" w:name="Tc_T30Z6hXHskOzfbSH07h5dw_2_8"/>
      <w:bookmarkStart w:id="1216" w:name="Tc_EeGZknnMaUmqFEsBipFxSA_1_2"/>
      <w:bookmarkStart w:id="1217" w:name="_ed8356f9_1533_4c6b_9f92_c1ef6599ea2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r>
        <w:rPr>
          <w:rFonts w:ascii="Times New Roman;Times;serif" w:hAnsi="Times New Roman;Times;serif"/>
          <w:sz w:val="20"/>
        </w:rPr>
        <w:t>(i) Gevo segment; (ii) Agri-Energy segment; and (iii) Renewable Natural Gas segment. Transactions between segments are eliminated in consolidation.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Gevo segment</w:t>
      </w:r>
      <w:r>
        <w:rPr>
          <w:rFonts w:ascii="Times New Roman;Times;serif" w:hAnsi="Times New Roman;Times;serif"/>
          <w:sz w:val="20"/>
        </w:rPr>
        <w:t>. The Gevo segment is responsible for all research and development activities related to the future production of SAF,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and construction of our Net-Zero Projects and other preliminary stage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Agri-Energy segment</w:t>
      </w:r>
      <w:r>
        <w:rPr>
          <w:rFonts w:ascii="Times New Roman;Times;serif" w:hAnsi="Times New Roman;Times;serif"/>
          <w:sz w:val="20"/>
        </w:rPr>
        <w:t>. The Agri-Energy segment is currently responsible for the operation of the Company’s Luverne Facility and the development and optimization of the production of isobutanol, ethanol and related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Renewable Natural Gas segment</w:t>
      </w:r>
      <w:r>
        <w:rPr>
          <w:rFonts w:ascii="Times New Roman;Times;serif" w:hAnsi="Times New Roman;Times;serif"/>
          <w:sz w:val="20"/>
        </w:rPr>
        <w:t>. The Renewable Natural Gas segment produces pipeline quality methane gas captured from dairy cow manure.</w:t>
      </w:r>
    </w:p>
    <w:p>
      <w:pPr>
        <w:pStyle w:val="TextBody"/>
        <w:bidi w:val="0"/>
        <w:spacing w:before="0" w:after="0"/>
        <w:ind w:left="0" w:right="0" w:hanging="0"/>
        <w:jc w:val="left"/>
        <w:rPr/>
      </w:pPr>
      <w:r>
        <w:rPr/>
        <w:t>​</w:t>
      </w:r>
    </w:p>
    <w:tbl>
      <w:tblPr>
        <w:tblW w:w="9349" w:type="dxa"/>
        <w:jc w:val="left"/>
        <w:tblInd w:w="0" w:type="dxa"/>
        <w:tblLayout w:type="fixed"/>
        <w:tblCellMar>
          <w:top w:w="0" w:type="dxa"/>
          <w:left w:w="0" w:type="dxa"/>
          <w:bottom w:w="0" w:type="dxa"/>
          <w:right w:w="0" w:type="dxa"/>
        </w:tblCellMar>
      </w:tblPr>
      <w:tblGrid>
        <w:gridCol w:w="3916"/>
        <w:gridCol w:w="326"/>
        <w:gridCol w:w="211"/>
        <w:gridCol w:w="796"/>
        <w:gridCol w:w="326"/>
        <w:gridCol w:w="255"/>
        <w:gridCol w:w="766"/>
        <w:gridCol w:w="326"/>
        <w:gridCol w:w="235"/>
        <w:gridCol w:w="770"/>
        <w:gridCol w:w="326"/>
        <w:gridCol w:w="230"/>
        <w:gridCol w:w="86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86660" cy="175260"/>
                      <wp:effectExtent l="0" t="0" r="0" b="0"/>
                      <wp:wrapNone/>
                      <wp:docPr id="284" name="Frame284"/>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05460" cy="175260"/>
                      <wp:effectExtent l="0" t="0" r="0" b="0"/>
                      <wp:wrapNone/>
                      <wp:docPr id="287" name="Frame28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61925" cy="175260"/>
                      <wp:effectExtent l="0" t="0" r="0" b="0"/>
                      <wp:wrapNone/>
                      <wp:docPr id="289" name="Frame28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86410" cy="175260"/>
                      <wp:effectExtent l="0" t="0" r="0" b="0"/>
                      <wp:wrapNone/>
                      <wp:docPr id="290" name="Frame29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49225" cy="175260"/>
                      <wp:effectExtent l="0" t="0" r="0" b="0"/>
                      <wp:wrapNone/>
                      <wp:docPr id="292" name="Frame29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88950" cy="175260"/>
                      <wp:effectExtent l="0" t="0" r="0" b="0"/>
                      <wp:wrapNone/>
                      <wp:docPr id="293" name="Frame293"/>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46050" cy="175260"/>
                      <wp:effectExtent l="0" t="0" r="0" b="0"/>
                      <wp:wrapNone/>
                      <wp:docPr id="295" name="Frame29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49910" cy="175260"/>
                      <wp:effectExtent l="0" t="0" r="0" b="0"/>
                      <wp:wrapNone/>
                      <wp:docPr id="296" name="Frame296"/>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2024</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    </w:t>
            </w:r>
          </w:p>
        </w:tc>
        <w:tc>
          <w:tcPr>
            <w:tcW w:w="230"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3,990</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(2,622)</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(1,374)</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(4,451)</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(19,645)</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(3,272)</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(23,141)</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4,569</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4,569</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16,505</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17,512</w:t>
            </w:r>
          </w:p>
        </w:tc>
      </w:tr>
    </w:tbl>
    <w:p>
      <w:pPr>
        <w:pStyle w:val="TextBody"/>
        <w:bidi w:val="0"/>
        <w:spacing w:before="0" w:after="240"/>
        <w:ind w:left="0" w:right="0" w:firstLine="360"/>
        <w:jc w:val="left"/>
        <w:rPr/>
      </w:pPr>
      <w:r>
        <w:rPr/>
        <w:t>​</w:t>
      </w:r>
    </w:p>
    <w:tbl>
      <w:tblPr>
        <w:tblW w:w="9350" w:type="dxa"/>
        <w:jc w:val="left"/>
        <w:tblInd w:w="0" w:type="dxa"/>
        <w:tblLayout w:type="fixed"/>
        <w:tblCellMar>
          <w:top w:w="0" w:type="dxa"/>
          <w:left w:w="0" w:type="dxa"/>
          <w:bottom w:w="0" w:type="dxa"/>
          <w:right w:w="0" w:type="dxa"/>
        </w:tblCellMar>
      </w:tblPr>
      <w:tblGrid>
        <w:gridCol w:w="3916"/>
        <w:gridCol w:w="326"/>
        <w:gridCol w:w="211"/>
        <w:gridCol w:w="796"/>
        <w:gridCol w:w="326"/>
        <w:gridCol w:w="255"/>
        <w:gridCol w:w="766"/>
        <w:gridCol w:w="326"/>
        <w:gridCol w:w="239"/>
        <w:gridCol w:w="767"/>
        <w:gridCol w:w="326"/>
        <w:gridCol w:w="230"/>
        <w:gridCol w:w="86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486660" cy="175260"/>
                      <wp:effectExtent l="0" t="0" r="0" b="0"/>
                      <wp:wrapNone/>
                      <wp:docPr id="297" name="Frame297"/>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505460" cy="175260"/>
                      <wp:effectExtent l="0" t="0" r="0" b="0"/>
                      <wp:wrapNone/>
                      <wp:docPr id="300" name="Frame30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61925" cy="175260"/>
                      <wp:effectExtent l="0" t="0" r="0" b="0"/>
                      <wp:wrapNone/>
                      <wp:docPr id="302" name="Frame30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86410" cy="175260"/>
                      <wp:effectExtent l="0" t="0" r="0" b="0"/>
                      <wp:wrapNone/>
                      <wp:docPr id="303" name="Frame30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51765" cy="175260"/>
                      <wp:effectExtent l="0" t="0" r="0" b="0"/>
                      <wp:wrapNone/>
                      <wp:docPr id="305" name="Frame30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87045" cy="175260"/>
                      <wp:effectExtent l="0" t="0" r="0" b="0"/>
                      <wp:wrapNone/>
                      <wp:docPr id="306" name="Frame306"/>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46050" cy="175260"/>
                      <wp:effectExtent l="0" t="0" r="0" b="0"/>
                      <wp:wrapNone/>
                      <wp:docPr id="308" name="Frame30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49910" cy="175260"/>
                      <wp:effectExtent l="0" t="0" r="0" b="0"/>
                      <wp:wrapNone/>
                      <wp:docPr id="309" name="Frame309"/>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8"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2023</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55"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r>
      <w:tr>
        <w:trPr/>
        <w:tc>
          <w:tcPr>
            <w:tcW w:w="39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left"/>
              <w:rPr/>
            </w:pPr>
            <w:r>
              <w:rPr/>
              <w:t>    </w:t>
            </w:r>
          </w:p>
        </w:tc>
        <w:tc>
          <w:tcPr>
            <w:tcW w:w="100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4,060</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(2,629)</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(4,575)</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(15,499)</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(3,147)</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(2,211)</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(20,857)</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3,688</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3,688</w:t>
            </w:r>
          </w:p>
        </w:tc>
      </w:tr>
      <w:tr>
        <w:trPr/>
        <w:tc>
          <w:tcPr>
            <w:tcW w:w="39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5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39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 of property, plant,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20,636</w:t>
            </w:r>
          </w:p>
        </w:tc>
        <w:tc>
          <w:tcPr>
            <w:tcW w:w="326" w:type="dxa"/>
            <w:tcBorders/>
            <w:vAlign w:val="center"/>
          </w:tcPr>
          <w:p>
            <w:pPr>
              <w:pStyle w:val="TableContents"/>
              <w:bidi w:val="0"/>
              <w:spacing w:before="0" w:after="1"/>
              <w:ind w:left="0" w:right="0" w:hanging="0"/>
              <w:jc w:val="left"/>
              <w:rPr/>
            </w:pPr>
            <w:r>
              <w:rPr/>
              <w:t>​</w:t>
            </w:r>
          </w:p>
        </w:tc>
        <w:tc>
          <w:tcPr>
            <w:tcW w:w="25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1,457</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22,093</w:t>
            </w:r>
          </w:p>
        </w:tc>
      </w:tr>
    </w:tbl>
    <w:p>
      <w:pPr>
        <w:pStyle w:val="TextBody"/>
        <w:bidi w:val="0"/>
        <w:spacing w:before="0" w:after="240"/>
        <w:ind w:left="0" w:right="0" w:hanging="0"/>
        <w:jc w:val="left"/>
        <w:rPr/>
      </w:pPr>
      <w:r>
        <w:rPr/>
        <w:t>​</w:t>
      </w:r>
    </w:p>
    <w:tbl>
      <w:tblPr>
        <w:tblW w:w="6495" w:type="dxa"/>
        <w:jc w:val="left"/>
        <w:tblInd w:w="0" w:type="dxa"/>
        <w:tblLayout w:type="fixed"/>
        <w:tblCellMar>
          <w:top w:w="0" w:type="dxa"/>
          <w:left w:w="0" w:type="dxa"/>
          <w:bottom w:w="0" w:type="dxa"/>
          <w:right w:w="0" w:type="dxa"/>
        </w:tblCellMar>
      </w:tblPr>
      <w:tblGrid>
        <w:gridCol w:w="1066"/>
        <w:gridCol w:w="326"/>
        <w:gridCol w:w="211"/>
        <w:gridCol w:w="781"/>
        <w:gridCol w:w="326"/>
        <w:gridCol w:w="242"/>
        <w:gridCol w:w="779"/>
        <w:gridCol w:w="326"/>
        <w:gridCol w:w="213"/>
        <w:gridCol w:w="792"/>
        <w:gridCol w:w="326"/>
        <w:gridCol w:w="211"/>
        <w:gridCol w:w="89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76910" cy="175260"/>
                      <wp:effectExtent l="0" t="0" r="0" b="0"/>
                      <wp:wrapNone/>
                      <wp:docPr id="310" name="Frame31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495935" cy="175260"/>
                      <wp:effectExtent l="0" t="0" r="0" b="0"/>
                      <wp:wrapNone/>
                      <wp:docPr id="313" name="Frame31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07010" cy="175260"/>
                      <wp:effectExtent l="0" t="0" r="0" b="0"/>
                      <wp:wrapNone/>
                      <wp:docPr id="314"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53670" cy="175260"/>
                      <wp:effectExtent l="0" t="0" r="0" b="0"/>
                      <wp:wrapNone/>
                      <wp:docPr id="315" name="Frame315"/>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94665" cy="175260"/>
                      <wp:effectExtent l="0" t="0" r="0" b="0"/>
                      <wp:wrapNone/>
                      <wp:docPr id="316" name="Frame316"/>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5255" cy="175260"/>
                      <wp:effectExtent l="0" t="0" r="0" b="0"/>
                      <wp:wrapNone/>
                      <wp:docPr id="318" name="Frame318"/>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02920" cy="175260"/>
                      <wp:effectExtent l="0" t="0" r="0" b="0"/>
                      <wp:wrapNone/>
                      <wp:docPr id="319" name="Frame319"/>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68960" cy="175260"/>
                      <wp:effectExtent l="0" t="0" r="0" b="0"/>
                      <wp:wrapNone/>
                      <wp:docPr id="322" name="Frame32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2024</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7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505,553</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27,043</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100,975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633,571</w:t>
            </w:r>
          </w:p>
        </w:tc>
      </w:tr>
    </w:tbl>
    <w:p>
      <w:pPr>
        <w:pStyle w:val="TextBody"/>
        <w:bidi w:val="0"/>
        <w:spacing w:before="0" w:after="240"/>
        <w:ind w:left="0" w:right="0" w:hanging="0"/>
        <w:jc w:val="left"/>
        <w:rPr/>
      </w:pPr>
      <w:r>
        <w:rPr/>
        <w:t>​</w:t>
      </w:r>
    </w:p>
    <w:tbl>
      <w:tblPr>
        <w:tblW w:w="6495" w:type="dxa"/>
        <w:jc w:val="left"/>
        <w:tblInd w:w="0" w:type="dxa"/>
        <w:tblLayout w:type="fixed"/>
        <w:tblCellMar>
          <w:top w:w="0" w:type="dxa"/>
          <w:left w:w="0" w:type="dxa"/>
          <w:bottom w:w="0" w:type="dxa"/>
          <w:right w:w="0" w:type="dxa"/>
        </w:tblCellMar>
      </w:tblPr>
      <w:tblGrid>
        <w:gridCol w:w="1066"/>
        <w:gridCol w:w="326"/>
        <w:gridCol w:w="211"/>
        <w:gridCol w:w="781"/>
        <w:gridCol w:w="326"/>
        <w:gridCol w:w="242"/>
        <w:gridCol w:w="779"/>
        <w:gridCol w:w="326"/>
        <w:gridCol w:w="213"/>
        <w:gridCol w:w="792"/>
        <w:gridCol w:w="326"/>
        <w:gridCol w:w="211"/>
        <w:gridCol w:w="896"/>
      </w:tblGrid>
      <w:tr>
        <w:trPr/>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76910" cy="175260"/>
                      <wp:effectExtent l="0" t="0" r="0" b="0"/>
                      <wp:wrapNone/>
                      <wp:docPr id="323" name="Frame32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3985" cy="175260"/>
                      <wp:effectExtent l="0" t="0" r="0" b="0"/>
                      <wp:wrapNone/>
                      <wp:docPr id="325" name="Frame3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95935" cy="175260"/>
                      <wp:effectExtent l="0" t="0" r="0" b="0"/>
                      <wp:wrapNone/>
                      <wp:docPr id="326" name="Frame3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7" name="Frame3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53670" cy="175260"/>
                      <wp:effectExtent l="0" t="0" r="0" b="0"/>
                      <wp:wrapNone/>
                      <wp:docPr id="328" name="Frame32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94665" cy="175260"/>
                      <wp:effectExtent l="0" t="0" r="0" b="0"/>
                      <wp:wrapNone/>
                      <wp:docPr id="329" name="Frame329"/>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5255" cy="175260"/>
                      <wp:effectExtent l="0" t="0" r="0" b="0"/>
                      <wp:wrapNone/>
                      <wp:docPr id="331" name="Frame33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02920" cy="175260"/>
                      <wp:effectExtent l="0" t="0" r="0" b="0"/>
                      <wp:wrapNone/>
                      <wp:docPr id="332" name="Frame332"/>
                      <a:graphic xmlns:a="http://schemas.openxmlformats.org/drawingml/2006/main">
                        <a:graphicData uri="http://schemas.microsoft.com/office/word/2010/wordprocessingShape">
                          <wps:wsp>
                            <wps:cNvSpPr txBox="1"/>
                            <wps:spPr>
                              <a:xfrm>
                                <a:off x="0" y="0"/>
                                <a:ext cx="502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33" name="Frame3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68960" cy="175260"/>
                      <wp:effectExtent l="0" t="0" r="0" b="0"/>
                      <wp:wrapNone/>
                      <wp:docPr id="335" name="Frame335"/>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510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77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Renewable</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96" w:type="dxa"/>
            <w:tcBorders/>
            <w:vAlign w:val="center"/>
          </w:tcPr>
          <w:p>
            <w:pPr>
              <w:pStyle w:val="TableContents"/>
              <w:bidi w:val="0"/>
              <w:spacing w:before="0" w:after="1"/>
              <w:ind w:left="0" w:right="0" w:hanging="0"/>
              <w:jc w:val="center"/>
              <w:rPr/>
            </w:pPr>
            <w:r>
              <w:rPr/>
              <w:t>​</w:t>
            </w:r>
          </w:p>
        </w:tc>
      </w:tr>
      <w:tr>
        <w:trPr/>
        <w:tc>
          <w:tcPr>
            <w:tcW w:w="10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Gevo</w:t>
            </w:r>
          </w:p>
        </w:tc>
        <w:tc>
          <w:tcPr>
            <w:tcW w:w="326" w:type="dxa"/>
            <w:tcBorders/>
            <w:vAlign w:val="center"/>
          </w:tcPr>
          <w:p>
            <w:pPr>
              <w:pStyle w:val="TableContents"/>
              <w:bidi w:val="0"/>
              <w:spacing w:before="0" w:after="1"/>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Agri-Energy</w:t>
            </w:r>
          </w:p>
        </w:tc>
        <w:tc>
          <w:tcPr>
            <w:tcW w:w="326" w:type="dxa"/>
            <w:tcBorders/>
            <w:vAlign w:val="center"/>
          </w:tcPr>
          <w:p>
            <w:pPr>
              <w:pStyle w:val="TableContents"/>
              <w:bidi w:val="0"/>
              <w:spacing w:before="0" w:after="1"/>
              <w:ind w:left="0" w:right="0" w:hanging="0"/>
              <w:jc w:val="center"/>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Natural Gas</w:t>
            </w:r>
          </w:p>
        </w:tc>
        <w:tc>
          <w:tcPr>
            <w:tcW w:w="326" w:type="dxa"/>
            <w:tcBorders/>
            <w:vAlign w:val="center"/>
          </w:tcPr>
          <w:p>
            <w:pPr>
              <w:pStyle w:val="TableContents"/>
              <w:bidi w:val="0"/>
              <w:spacing w:before="0" w:after="1"/>
              <w:ind w:left="0" w:right="0" w:hanging="0"/>
              <w:jc w:val="center"/>
              <w:rPr/>
            </w:pPr>
            <w:r>
              <w:rPr/>
              <w:t>    </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0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519,994</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28,818</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650,322</w:t>
            </w:r>
          </w:p>
        </w:tc>
      </w:tr>
    </w:tbl>
    <w:p>
      <w:pPr>
        <w:pStyle w:val="TextBody"/>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0"/>
        <w:jc w:val="left"/>
        <w:rPr>
          <w:rFonts w:ascii="Times New Roman;Times;serif" w:hAnsi="Times New Roman;Times;serif"/>
          <w:b/>
          <w:sz w:val="20"/>
        </w:rPr>
      </w:pPr>
      <w:bookmarkStart w:id="1218" w:name="Item2ManagementsDiscussionandAnalysisofF"/>
      <w:bookmarkStart w:id="1219" w:name="_a157e4d1_ee69_4995_bd6a_e3fced3a9649"/>
      <w:bookmarkEnd w:id="1218"/>
      <w:bookmarkEnd w:id="1219"/>
      <w:r>
        <w:rPr>
          <w:rFonts w:ascii="Times New Roman;Times;serif" w:hAnsi="Times New Roman;Times;serif"/>
          <w:b/>
          <w:sz w:val="20"/>
        </w:rPr>
        <w:t>Item 2. Management’s Discussion and Analysis of Financial Condition and Results of Operations.</w:t>
      </w:r>
    </w:p>
    <w:p>
      <w:pPr>
        <w:pStyle w:val="TextBody"/>
        <w:pBdr/>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ability to finance, develop, and construct our Net-Zero Projects (as defined below), as well as other growth projects, our ability to produce our products, our expectations regarding the demand for our products and our ability to meet such demand, our ability to meet production, financial and operational guidance, our ability to generate revenue from our executed contracts, our strategy to pursue low-carbon or “net-zero” carbon renewable fuels for sale into California and elsewhere, our ability to replace our fossil-based energy sources with renewable energy sources at our Net-Zero Projects and elsewhere, our expectations regarding the location and start-up date for our initial Net-Zero Project, our expectations regarding our ability to produce renewable liquid hydrocarbons, our expectations regarding our ability to produce protein and other products for use in the food chain, our ability and plans to construct greenfield commercial hydrocarbon facilities to produce sustainable aviation fuel (“SAF”) and other products, our ability to raise additional funds to finance our business and the sources of those funds, our ability to perform under our existing offtake agreements and other sales agreements we may enter into in the future, our ability to successfully operate our renewable natural gas (“RNG”), also known as biogas, facilities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our expectations regarding the demand for carbon credits, the expected cost-competitiveness and relative performance attributes of our products, our strategy to pursue alcohol-to-SAF development and production,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our Annual Report on Form 10-K for the year ended December 31, 2023 (our “2023 Annual Report”), including Item 1A. “Risk Factors” of our 2023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pStyle w:val="TextBody"/>
        <w:pBdr/>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Unless the context requires otherwise, in this Report the terms “Gevo”, “we,” “us,” “our” and the “Company” refer to Gevo, Inc. and its wholly owned, direct and indirect subsidiaries.</w:t>
      </w:r>
    </w:p>
    <w:p>
      <w:pPr>
        <w:pStyle w:val="TextBody"/>
        <w:shd w:fill="FFFFFF" w:val="clear"/>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2023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a growth-oriented, carbon abatement company with the mission of solving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focused on transforming renewable energy into energy-dense liquid hydrocarbons that can be used as renewable fuels, such as sustainable aviation fuel (“SAF”), with the potential to achieve a “net-zero” greenhouse gas (“GHG”) footprint. We believe that this addresses the global need of reducing GHG emissions with “drop in” sustainable alternatives to petroleum fuels. We use the Argonne National Laboratory’s Greenhouse gases, Regulated Emissions, and Energy use in Transportation model (the “GREET Model”) to measure, predict and verify GHG emissions across the life cycle of our products. The “net-zero” concept means Gevo expects that by using sustainably grown feedstock (e.g., low till, no-till and dry corn cultivation), renewable and substantially decarbonized energy sources, drop-in hydrocarbon fuels can be produced that have a net-zero, full life cycle footprint measured from the capture of renewable carbon through the burning of the fuel.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Our primary market focus, given current demand and growing customer interest, is hydrocarbon fuels, and SAF in particular. We believe that SAF from carbohydrates to alcohol is the most economically viable approach for carbon abatement. We also have commercial opportunities for other renewable hydrocarbon products, such as RNG; hydrocarbons for gasoline blendstocks and diesel fuel; ingredients for the chemical industry, such as ethylene and butenes; plastics and materials; and other chemicals. Global fuel consumption by commercial airlines continues to remain strong</w:t>
      </w:r>
      <w:r>
        <w:rPr>
          <w:rFonts w:ascii="Times New Roman;Times;serif" w:hAnsi="Times New Roman;Times;serif"/>
          <w:sz w:val="20"/>
        </w:rPr>
        <w:t>. Global fuel consumption by commercial airlines continues to remain strong, with global fuel consumption of approximately 86 billion gallons per year in 2023, and growing.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Project Updates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Net-Zero Projects.</w:t>
      </w:r>
      <w:r>
        <w:rPr>
          <w:rFonts w:ascii="Times New Roman;Times;serif" w:hAnsi="Times New Roman;Times;serif"/>
          <w:sz w:val="20"/>
        </w:rPr>
        <w:t xml:space="preserve"> Our</w:t>
      </w:r>
      <w:r>
        <w:rPr>
          <w:rFonts w:ascii="Times New Roman;Times;serif" w:hAnsi="Times New Roman;Times;serif"/>
          <w:sz w:val="20"/>
          <w:shd w:fill="FFFFFF" w:val="clear"/>
        </w:rPr>
        <w:t xml:space="preserve"> concept of “Net-Zero Projects” is a series of planned facilities to produce energy dense liquid hydrocarbons using renewable energy and our proprietary technology. Our initial Net-Zero Project, Net-Zero 1 (“NZ1”), is expected to be located in Lake Preston, South Dakota, and is being currently designed to produce approximately 65 million gallons per year (“MGPY”) of total hydrocarbon volumes, including 60 MGPY of SAF, which would fulfill part of our approximately 350 MGPY of SAF and hydrocarbon supply agreements. The liquid hydrocarbons, when burned, are expected to have a “net-zero” GHG footprint. Along with the hydrocarbons, NZ1 is expected to produce approximately 695,000 tons per year of high-value protein products for use in the food chain and more than 34 million pounds per year of corn oil.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 xml:space="preserve">We work with several technology, design and equipment partners, most notably Fluid Quip Technologies (“FQT”), Axens North America, Inc. (“Axens”), and </w:t>
      </w:r>
      <w:r>
        <w:rPr>
          <w:rFonts w:ascii="Times New Roman;Times;serif" w:hAnsi="Times New Roman;Times;serif"/>
          <w:sz w:val="20"/>
        </w:rPr>
        <w:t>PRAJ Industries Limited (“Praj”)</w:t>
      </w:r>
      <w:r>
        <w:rPr>
          <w:rFonts w:ascii="Times New Roman;Times;serif" w:hAnsi="Times New Roman;Times;serif"/>
          <w:sz w:val="20"/>
          <w:shd w:fill="FFFFFF" w:val="clear"/>
        </w:rPr>
        <w:t>. FQT and Axens provide area operation designs which have been incorporated into Gevo’s proprietary overall design of low carbon intensity (“CI”) carbohydrate-to-hydrocarbon plants, such as our NZ1 plant. Praj is working with us on the proprietary design and construction of prefabricated process modules for our plants. Our partners are working with us on proprietary process designs that have the potential to lower capital and future operating costs. The advantage of utilizing FQT and Axens for our operation and related process designs, which are proven in other applications, is that we believe we have chosen technology which is substantially de-risked.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substantially completed the engineering design on our NZ1 project and are proceeding with detailed engineering and modularization design. We are refining the project cost estimates with engineering, procurement, and construction (“EPC”) partners to identify opportunities to reduce and negotiate the cost. After which, we expect to sign a lump-sum, fixed price agreement for the EPC to build and deliver the plant. The current detailed engineering work is focused on increasing the modularization of component parts on the NZ1 plant design, with the goal to build the process equipment into modules at a factory, then assemble onsite. This will enable us to minimize specialized field work typical in plant construction of this type, lower the risk and costs, as well as provide better access to skilled labor. Increasing the modularization of the plant design is expected to reduce our spend in advance of securing third-party equity and debt financing for NZ1 and increase the certainty of the construction schedule for those counterparties.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NZ1 at the subsidiary level using a combination of Company equity and third-party capital, to include non-recourse debt. In January 2024, the Company announced that it expected to spend approximately $125.0 – $175.0 million from January 2024 until the financial close of NZ1. The Company has further refined and updated its estimates and now projects a range of $90.0 – $125.0 million to be spent on NZ1 between January 2024 and the financial close of NZ1. Of that expected spend, the Company has spent approximately $17.0 million in the first quarter of 2024. Cash distributions from future NZ1 earnings would be proportionate to Gevo’s ownership in NZ1 under this expected financing structure. The use of project debt and third-party equity allows us to conserve capital for use on other growth projects. We expect to apply similar development and financing strategies to future Net-Zero Projects to grow our SAF production to meet the demand for SAF.</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order to achieve full construction financing for NZ1, we need to secure third-party equity and debt. Upon receiving an invitation from the U.S. Department of Energy (“DOE”), we submitted a Part II Application for a DOE loan guarantee for a direct lending from the Federal Financing Bank. In August 2023, Gevo was invited to enter the due diligence and underwriting phases with the DOE. Given the current interest rate environment and general macroeconomic conditions, a DOE-guaranteed loan is expected to be our most attractive debt option and offer the lowest cost of debt for the project. We expect that obtaining a DOE-guaranteed loan will have the benefit of reducing the overall amount of equity required to finance NZ1 and should result in higher project equity returns for investors which should increase the likelihood of Gevo successfully financing NZ1. The DOE loan application process is targeted to be complete in 2024. We expect that our NZ1 plant start-up date will occur twenty-four to thirty months after the NZ1 financing closes, the timing of which is uncertain. In parallel with the DOE-guaranteed loan process, we continue to explore debt financing for NZ1 without the benefit of the DOE-guaranteed loan. We are also working to secure access to carbon capture and sequestration at the site.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are evaluating and performing early site development work at several sites in the U.S. for other greenfield sites. These sites include several locations that are particularly advantageous in terms of potential economics, opportunities to decarbonize, and time to market. In addition, we are pursuing potential Net-Zero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Renewable Natural Gas Project.</w:t>
      </w:r>
      <w:r>
        <w:rPr>
          <w:rFonts w:ascii="Times New Roman;Times;serif" w:hAnsi="Times New Roman;Times;serif"/>
          <w:sz w:val="20"/>
        </w:rPr>
        <w:t xml:space="preserve"> The RNG project in Northwest Iowa (the “RNG Project”) started up and began producing and injecting initial volumes of biogas in 2022, during the project’s testing and ramp-up period. In 2023, the project achieved stable production levels and surpassed our annual production target of 310,000 million British thermal units (“MMBtu”). In addition, we completed an expansion to the Gevo RNG project to increase its annual design capacity from 355,000 MMBtu to 400,000 MMBtu.</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Gevo’s revenue from the RNG Project stems from sales of RNG and from the environmental attributes associated with its RNG sales, including the attributes available from California’s Low Carbon Fuel Standard (“LCFS”) program and the U.S. Environmental Protection Agency (“EPA”) Renewable Fuels Standard (“RFS”) program (“RFS Program”) to receive renewable identification numbers (“RINs”). </w:t>
      </w:r>
      <w:r>
        <w:rPr>
          <w:rFonts w:ascii="Times New Roman;Times;serif" w:hAnsi="Times New Roman;Times;serif"/>
          <w:sz w:val="20"/>
          <w:shd w:fill="FFFFFF" w:val="clear"/>
        </w:rPr>
        <w:t xml:space="preserve">Gevo was granted registration approval by the EPA in 2022, allowing us to participate in the RFS Program to receive RINs.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shd w:fill="FFFFFF" w:val="clear"/>
        </w:rPr>
        <w:t>During the first quarter of 2023, we received approval for a temporary pathway under California’s LCFS program. We continue to realize substantial sales for our environmental attributes of both LCFS credits and RINs throughout 2023 and into 2024</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Verity.</w:t>
      </w:r>
      <w:r>
        <w:rPr>
          <w:rFonts w:ascii="Times New Roman;Times;serif" w:hAnsi="Times New Roman;Times;serif"/>
          <w:sz w:val="20"/>
        </w:rPr>
        <w:t xml:space="preserve"> </w:t>
      </w:r>
      <w:r>
        <w:rPr>
          <w:rFonts w:ascii="Times New Roman;Times;serif" w:hAnsi="Times New Roman;Times;serif"/>
          <w:sz w:val="20"/>
          <w:shd w:fill="FFFFFF" w:val="clear"/>
        </w:rPr>
        <w:t>It is critical that we can prove the carbon abatement of our products, ensuring that these values are accurate and auditable. The mission of Verity (“Verity”) is to document CI and other sustainability attributes and apply proprietary distributed ledger technology to create an immutable and reliable track record of the products throughout the entire business system. Verity starts by calculating the CI of feedstocks from high-quality data collected at the farm and field level. We plan to track these feedstocks through the production at our plants where we intend to use a mix of renewable electricity, biogas, renewable hydrogen and other potentially decarbonized energy sources in production. The CI data will then be combined to deliver a comprehensive CI reduction in a finished renewable fuel. The resulting CI reduction value has potential to be quantified as a digital asset and monetized in carbon markets and provide compliance needs for tax incentives while preventing double-counting. We believe that in the future, regenerative agricultural practices have the potential to sequester large quantities of soil organic carbon while improving soil health.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is increasing regulatory and stakeholder pressure on global corporations to lower emissions with a high degree of trust and transparency. These trends are driving demand for carbon credits, giving rise to two sets of markets, the regulated compliance carbon market and the unregulated voluntary carbon market, both of which could grow meaningfully in the coming decades. The total value of major compliance carbon markets was approximately $950 billion in 2023, according to Reuters. Verity intends to document and account for carbon abatement in conjunction with scientifically supported measurement techniques. The potential for Verity is broad and could be applicable to tracking the CI of various items beyond Gevo’s internal businesses, including, but not limited to, renewable fuels, food, feed and industrial products through their respective business systems and value chains. Our robust scientific measurement, reporting, and verification plan and approach is expected to provide a high-quality credit that should meet regulated compliance and unregulated carbon markets.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March 2023, we entered into a joint development framework agreement with Southwest Iowa Renewable Energy; in August 2023, we entered into a joint development framework agreement with a second ethanol producer in the midwestern U.S. that has over 100 million gallons of capacity; and in October 2023, we entered into an agreement with a third ethanol producer in the southwestern U.S. These agreements include commercial terms and profit-sharing frameworks. As we grow Verity as an externally facing business, we are working to sign up additional ethanol and biofuel customers. Each of these agreements will focus on implementing Verity technology and developing the market for carbon credits to help farmers and biofuel producers quantify the CI reductions for their products.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second quarter of 2023, we launched the Verity Tracking platform (the “Platform”) with farmers in the Lake Preston, South Dakota area who participated in our 2022 grower program. In its initial release, the Platform allows the users to measure, report, verify, and view the CI scores at both the farm average and field-by-field levels. The Platform provides insights into the contributors and removers behind the CI, helping users to understand the factors that drive differences in CI performance between fields. Users can also compare their scores with the U.S. national average calculated by the GREET model.</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Key Verity project highlights include:</w:t>
      </w:r>
    </w:p>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Development began in 2020 as a value-added services for our SAF production;</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Three ethanol producer customers contracted, and growing;</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Current customers comprise 2% of the total U.S. ethanol market or more than 300 million gallons per year;</w:t>
            </w:r>
          </w:p>
        </w:tc>
      </w:tr>
    </w:tbl>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100% farmer retention in the grower program comprising 65,000 acres and growing;</w:t>
            </w:r>
          </w:p>
        </w:tc>
      </w:tr>
    </w:tbl>
    <w:tbl>
      <w:tblPr>
        <w:tblW w:w="8091" w:type="dxa"/>
        <w:jc w:val="left"/>
        <w:tblInd w:w="0" w:type="dxa"/>
        <w:tblLayout w:type="fixed"/>
        <w:tblCellMar>
          <w:top w:w="28" w:type="dxa"/>
          <w:left w:w="28" w:type="dxa"/>
          <w:bottom w:w="28" w:type="dxa"/>
          <w:right w:w="28" w:type="dxa"/>
        </w:tblCellMar>
      </w:tblPr>
      <w:tblGrid>
        <w:gridCol w:w="124"/>
        <w:gridCol w:w="256"/>
        <w:gridCol w:w="7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Initiated first privately sponsored growers program for a biofuel client in the midwestern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Signed Letter of Intent with third party engine technology provider to develop carbon instruments that represent improved environmental performance; and</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Capital light, fee-based, industry agnostic business.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U.S. Department of Agriculture. </w:t>
      </w:r>
      <w:r>
        <w:rPr>
          <w:rFonts w:ascii="Times New Roman;Times;serif" w:hAnsi="Times New Roman;Times;serif"/>
          <w:sz w:val="20"/>
          <w:shd w:fill="FFFFFF" w:val="clear"/>
        </w:rPr>
        <w:t>In September 2023, we executed a Notice of Grant and Agreement Award with the U.S. Department of Agriculture (“USDA”) for a Partnerships for Climate-Smart Commodities grant of up to $30.0 million for Gevo’s Climate-Smart Farm-to-Flight Program (the “USDA Grant”), with project activity beginning during the 2023 crop year. The project expects to create critical structural climate-smart market incentives for low CI corn and to accelerate the production of SAF to reduce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w:t>
      </w:r>
    </w:p>
    <w:p>
      <w:pPr>
        <w:pStyle w:val="TextBody"/>
        <w:bidi w:val="0"/>
        <w:spacing w:before="0" w:after="240"/>
        <w:ind w:left="0" w:right="0" w:firstLine="360"/>
        <w:jc w:val="left"/>
        <w:rPr>
          <w:rFonts w:ascii="Times New Roman;Times;serif" w:hAnsi="Times New Roman;Times;serif"/>
          <w:sz w:val="20"/>
          <w:shd w:fill="FFFFFF" w:val="clear"/>
        </w:rPr>
      </w:pPr>
      <w:r>
        <w:rPr>
          <w:rFonts w:ascii="Times New Roman;Times;serif" w:hAnsi="Times New Roman;Times;serif"/>
          <w:sz w:val="20"/>
          <w:shd w:fill="FFFFFF" w:val="clear"/>
        </w:rPr>
        <w:t>During the three months ended March 31, 2024, the Company incurred $0.7 million of costs under the USDA Grant, which are included in Project development costs in the Consolidated Statement of Operations. During the three months ended March 31, 2024, the Company recognized $0.8 million of amounts received, included in Project development costs in the Consolidated Statement of Operations, which represent reimbursements for prior periods. The Company expects to be reimbursed for all expended eligible costs not yet reimbursed by the USDA Grant in future periods.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LG Chem Agreement.</w:t>
      </w:r>
      <w:r>
        <w:rPr>
          <w:rFonts w:ascii="Times New Roman;Times;serif" w:hAnsi="Times New Roman;Times;serif"/>
          <w:sz w:val="20"/>
          <w:shd w:fill="FFFFFF" w:val="clear"/>
        </w:rPr>
        <w:t xml:space="preserve"> In April 2023, we entered into a joint development agreement with LG Chem, Ltd. (“LG Chem”) a leading 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sustainable aviation fuel. These plant-based, renewable olefins would be derived from atmospheric CO2 captured through photosynthesis and are expected to deliver the same performance in final products on the market today. Under the terms of the agreement, we will provide the core enabling technology we have developed for renewable olefins to be produced from low-carbon ethanol and will collaborate with LG Chem to accelerate the pilot research, technical scale-up, and commercialization of bio-propylene. LG Chem is expected to bear all scale-up costs for chemicals and make certain payments to Gevo. In the second quarter of 2023, we received $1.1 million, net of foreign taxes of $0.2 million, and we expect to receive an additional $1.2 million through 2025 to help defray costs associated with the joint development efforts. In addition, LG Chem agreed to make certain payments to us upon commencement of commercialization as follows:</w:t>
      </w:r>
    </w:p>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$5.0 million upon commencement of commercialization, to be paid ratably over a period of five years.</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royalty on net sales for the first production facility beginning six years from commercial operation.</w:t>
            </w:r>
          </w:p>
        </w:tc>
      </w:tr>
    </w:tbl>
    <w:tbl>
      <w:tblPr>
        <w:tblW w:w="8541" w:type="dxa"/>
        <w:jc w:val="left"/>
        <w:tblInd w:w="0" w:type="dxa"/>
        <w:tblLayout w:type="fixed"/>
        <w:tblCellMar>
          <w:top w:w="28" w:type="dxa"/>
          <w:left w:w="28" w:type="dxa"/>
          <w:bottom w:w="28" w:type="dxa"/>
          <w:right w:w="28" w:type="dxa"/>
        </w:tblCellMar>
      </w:tblPr>
      <w:tblGrid>
        <w:gridCol w:w="124"/>
        <w:gridCol w:w="256"/>
        <w:gridCol w:w="81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royalty on net sales for all subsequent production facilities upon commencement of operations.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2024, the Company met the second milestone under the joint development agreement, and expects to receive $0.8 million, net of foreign taxes of $0.1 million, during the second quarter of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b/>
          <w:i/>
          <w:sz w:val="20"/>
        </w:rPr>
        <w:t xml:space="preserve">Luverne Facility. </w:t>
      </w:r>
      <w:r>
        <w:rPr>
          <w:rFonts w:ascii="Times New Roman;Times;serif" w:hAnsi="Times New Roman;Times;serif"/>
          <w:sz w:val="20"/>
          <w:shd w:fill="FFFFFF" w:val="clear"/>
        </w:rPr>
        <w:t>In 2022, the activities at our Luverne Facility were transitioned to care and maintenance, market development, and customer education, as we shifted focus to our Net Zero Projects. The workforce adjustment which resulted allowed us to retain key personnel and redeploy some resources to our NZ1 and RNG projects to provide valuable knowledge and experience for the future strategic growth of the Company. The Luverne Facility is well equipped and positioned as a development site as it provides a unique opportunity to showcase our decarbonization and business systems and raise awareness with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fuels and specialty chemicals with integrated solutions for GHG reductions. We continue to evaluate incentive opportunities recently introduced by the Inflation Reduction Act, which may positively impact the future economics of our operation at Luverne</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Nasdaq Listing Rules Compliance</w:t>
      </w:r>
    </w:p>
    <w:p>
      <w:pPr>
        <w:pStyle w:val="TextBody"/>
        <w:bidi w:val="0"/>
        <w:spacing w:before="0" w:after="30"/>
        <w:ind w:left="0" w:right="0" w:hanging="0"/>
        <w:jc w:val="left"/>
        <w:rPr>
          <w:rFonts w:ascii="Times New Roman;Times;serif" w:hAnsi="Times New Roman;Times;serif"/>
          <w:sz w:val="20"/>
        </w:rPr>
      </w:pPr>
      <w:r>
        <w:rPr>
          <w:rFonts w:ascii="Times New Roman;Times;serif" w:hAnsi="Times New Roman;Times;serif"/>
          <w:sz w:val="20"/>
        </w:rPr>
        <w:t>On February 29, 2024, we received notice from Nasdaq that we were not in compliance with Nasdaq Listing Rule 5550(a)(2) (the “Minimum Bid Price Requirement”), as the minimum bid price of our common stock had been below $1.00 per share for the previous 30 consecutive business days. We have 180 calendar days, or until August 27, 2024, to regain compliance with the Minimum Bid Price Requirement. To regain compliance, the minimum bid price of our common stock must meet or exceed $1.00 per share for a minimum of ten consecutive business days during the compliance period. In the event we do not regain compliance with the Minimum Bid Price Requirement by August 27, 2024, we may be eligible for an additional 180-calendar day compliance period. Our failure to regain compliance during the compliance period, and additional compliance period, if any, could result in delisting.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Operating Metrics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following table summarizes our RNG Segment key operating metrics, which we use to measure performance:</w:t>
      </w:r>
    </w:p>
    <w:p>
      <w:pPr>
        <w:pStyle w:val="TextBody"/>
        <w:bidi w:val="0"/>
        <w:spacing w:before="0" w:after="240"/>
        <w:ind w:left="0" w:right="0" w:firstLine="360"/>
        <w:jc w:val="left"/>
        <w:rPr/>
      </w:pPr>
      <w:r>
        <w:rPr/>
        <w:t>​</w:t>
      </w:r>
    </w:p>
    <w:p>
      <w:pPr>
        <w:pStyle w:val="TextBody"/>
        <w:bidi w:val="0"/>
        <w:spacing w:before="0" w:after="240"/>
        <w:ind w:left="0" w:right="0" w:firstLine="360"/>
        <w:jc w:val="left"/>
        <w:rPr/>
      </w:pPr>
      <w:r>
        <w:rPr/>
        <w:t>​</w:t>
      </w:r>
    </w:p>
    <w:tbl>
      <w:tblPr>
        <w:tblW w:w="10205" w:type="dxa"/>
        <w:jc w:val="left"/>
        <w:tblInd w:w="0" w:type="dxa"/>
        <w:tblLayout w:type="fixed"/>
        <w:tblCellMar>
          <w:top w:w="0" w:type="dxa"/>
          <w:left w:w="0" w:type="dxa"/>
          <w:bottom w:w="0" w:type="dxa"/>
          <w:right w:w="0" w:type="dxa"/>
        </w:tblCellMar>
      </w:tblPr>
      <w:tblGrid>
        <w:gridCol w:w="4720"/>
        <w:gridCol w:w="326"/>
        <w:gridCol w:w="238"/>
        <w:gridCol w:w="774"/>
        <w:gridCol w:w="368"/>
        <w:gridCol w:w="238"/>
        <w:gridCol w:w="774"/>
        <w:gridCol w:w="326"/>
        <w:gridCol w:w="211"/>
        <w:gridCol w:w="684"/>
        <w:gridCol w:w="326"/>
        <w:gridCol w:w="846"/>
        <w:gridCol w:w="374"/>
      </w:tblGrid>
      <w:tr>
        <w:trPr/>
        <w:tc>
          <w:tcPr>
            <w:tcW w:w="4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997200" cy="175260"/>
                      <wp:effectExtent l="0" t="0" r="0" b="0"/>
                      <wp:wrapNone/>
                      <wp:docPr id="336" name="Frame336"/>
                      <a:graphic xmlns:a="http://schemas.openxmlformats.org/drawingml/2006/main">
                        <a:graphicData uri="http://schemas.microsoft.com/office/word/2010/wordprocessingShape">
                          <wps:wsp>
                            <wps:cNvSpPr txBox="1"/>
                            <wps:spPr>
                              <a:xfrm>
                                <a:off x="0" y="0"/>
                                <a:ext cx="2997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7" name="Frame3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51130" cy="175260"/>
                      <wp:effectExtent l="0" t="0" r="0" b="0"/>
                      <wp:wrapNone/>
                      <wp:docPr id="338" name="Frame33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91490" cy="175260"/>
                      <wp:effectExtent l="0" t="0" r="0" b="0"/>
                      <wp:wrapNone/>
                      <wp:docPr id="339" name="Frame339"/>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33680" cy="175260"/>
                      <wp:effectExtent l="0" t="0" r="0" b="0"/>
                      <wp:wrapNone/>
                      <wp:docPr id="340" name="Frame340"/>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51130" cy="175260"/>
                      <wp:effectExtent l="0" t="0" r="0" b="0"/>
                      <wp:wrapNone/>
                      <wp:docPr id="341" name="Frame34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91490" cy="175260"/>
                      <wp:effectExtent l="0" t="0" r="0" b="0"/>
                      <wp:wrapNone/>
                      <wp:docPr id="342" name="Frame342"/>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43"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33985" cy="175260"/>
                      <wp:effectExtent l="0" t="0" r="0" b="0"/>
                      <wp:wrapNone/>
                      <wp:docPr id="344" name="Frame3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434340" cy="175260"/>
                      <wp:effectExtent l="0" t="0" r="0" b="0"/>
                      <wp:wrapNone/>
                      <wp:docPr id="345" name="Frame34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6" name="Frame3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37210" cy="175260"/>
                      <wp:effectExtent l="0" t="0" r="0" b="0"/>
                      <wp:wrapNone/>
                      <wp:docPr id="347" name="Frame347"/>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37490" cy="175260"/>
                      <wp:effectExtent l="0" t="0" r="0" b="0"/>
                      <wp:wrapNone/>
                      <wp:docPr id="348" name="Frame348"/>
                      <a:graphic xmlns:a="http://schemas.openxmlformats.org/drawingml/2006/main">
                        <a:graphicData uri="http://schemas.microsoft.com/office/word/2010/wordprocessingShape">
                          <wps:wsp>
                            <wps:cNvSpPr txBox="1"/>
                            <wps:spPr>
                              <a:xfrm>
                                <a:off x="0" y="0"/>
                                <a:ext cx="237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2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left"/>
              <w:rPr/>
            </w:pPr>
            <w:r>
              <w:rPr/>
              <w:t>​</w:t>
            </w:r>
          </w:p>
        </w:tc>
        <w:tc>
          <w:tcPr>
            <w:tcW w:w="374" w:type="dxa"/>
            <w:tcBorders/>
            <w:vAlign w:val="center"/>
          </w:tcPr>
          <w:p>
            <w:pPr>
              <w:pStyle w:val="TableContents"/>
              <w:bidi w:val="0"/>
              <w:spacing w:before="0" w:after="1"/>
              <w:ind w:left="0" w:right="0" w:hanging="0"/>
              <w:jc w:val="left"/>
              <w:rPr/>
            </w:pPr>
            <w:r>
              <w:rPr/>
              <w:t>​</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unless otherwise indicated)</w:t>
            </w:r>
          </w:p>
        </w:tc>
        <w:tc>
          <w:tcPr>
            <w:tcW w:w="326" w:type="dxa"/>
            <w:tcBorders/>
            <w:vAlign w:val="center"/>
          </w:tcPr>
          <w:p>
            <w:pPr>
              <w:pStyle w:val="TableContents"/>
              <w:bidi w:val="0"/>
              <w:spacing w:before="0" w:after="1"/>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8" w:type="dxa"/>
            <w:tcBorders/>
            <w:vAlign w:val="center"/>
          </w:tcPr>
          <w:p>
            <w:pPr>
              <w:pStyle w:val="TableContents"/>
              <w:bidi w:val="0"/>
              <w:spacing w:before="0" w:after="1"/>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26" w:type="dxa"/>
            <w:tcBorders/>
            <w:vAlign w:val="center"/>
          </w:tcPr>
          <w:p>
            <w:pPr>
              <w:pStyle w:val="TableContents"/>
              <w:bidi w:val="0"/>
              <w:spacing w:before="0" w:after="1"/>
              <w:ind w:left="0" w:right="0" w:hanging="0"/>
              <w:jc w:val="left"/>
              <w:rPr/>
            </w:pPr>
            <w:r>
              <w:rPr/>
              <w:t>    </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74" w:type="dxa"/>
            <w:tcBorders/>
            <w:vAlign w:val="center"/>
          </w:tcPr>
          <w:p>
            <w:pPr>
              <w:pStyle w:val="TableContents"/>
              <w:bidi w:val="0"/>
              <w:spacing w:before="0" w:after="1"/>
              <w:ind w:left="0" w:right="0" w:hanging="0"/>
              <w:jc w:val="left"/>
              <w:rPr/>
            </w:pPr>
            <w:r>
              <w:rPr/>
              <w:t>    </w:t>
            </w:r>
          </w:p>
        </w:tc>
      </w:tr>
      <w:tr>
        <w:trPr/>
        <w:tc>
          <w:tcPr>
            <w:tcW w:w="47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revenues</w:t>
            </w:r>
          </w:p>
        </w:tc>
        <w:tc>
          <w:tcPr>
            <w:tcW w:w="326" w:type="dxa"/>
            <w:tcBorders/>
            <w:shd w:fill="CCEEFF" w:val="clear"/>
            <w:vAlign w:val="center"/>
          </w:tcPr>
          <w:p>
            <w:pPr>
              <w:pStyle w:val="TableContents"/>
              <w:bidi w:val="0"/>
              <w:spacing w:before="0" w:after="1"/>
              <w:ind w:left="0" w:right="0" w:hanging="0"/>
              <w:jc w:val="left"/>
              <w:rPr/>
            </w:pPr>
            <w:r>
              <w:rPr/>
              <w:t> </w:t>
            </w:r>
          </w:p>
        </w:tc>
        <w:tc>
          <w:tcPr>
            <w:tcW w:w="23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pPr>
            <w:r>
              <w:rPr/>
              <w:t>  </w:t>
            </w:r>
          </w:p>
        </w:tc>
        <w:tc>
          <w:tcPr>
            <w:tcW w:w="368" w:type="dxa"/>
            <w:tcBorders/>
            <w:shd w:fill="CCEEFF" w:val="clear"/>
            <w:vAlign w:val="center"/>
          </w:tcPr>
          <w:p>
            <w:pPr>
              <w:pStyle w:val="TableContents"/>
              <w:bidi w:val="0"/>
              <w:spacing w:before="0" w:after="1"/>
              <w:ind w:left="0" w:right="0" w:hanging="0"/>
              <w:jc w:val="left"/>
              <w:rPr/>
            </w:pPr>
            <w:r>
              <w:rPr/>
              <w:t> </w:t>
            </w:r>
          </w:p>
        </w:tc>
        <w:tc>
          <w:tcPr>
            <w:tcW w:w="23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 </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Renewable natural gas</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Environmental attributes - RINs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2,637</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Environmental attributes - LCFS </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w:t>
            </w:r>
          </w:p>
        </w:tc>
        <w:tc>
          <w:tcPr>
            <w:tcW w:w="368"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3,990</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72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b/>
                <w:sz w:val="20"/>
              </w:rPr>
              <w:t xml:space="preserve">Cost of production </w:t>
            </w:r>
            <w:r>
              <w:rPr>
                <w:rFonts w:ascii="Times New Roman;Times;serif" w:hAnsi="Times New Roman;Times;serif"/>
                <w:b/>
                <w:sz w:val="15"/>
              </w:rPr>
              <w:t>(1)</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2,587</w:t>
            </w:r>
          </w:p>
        </w:tc>
        <w:tc>
          <w:tcPr>
            <w:tcW w:w="368"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(1,786)</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RNG metrics</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pPr>
            <w:r>
              <w:rPr/>
              <w:t>  </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  </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production volumes (MMBtu)</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RNG volumes dispensed in current period</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RNG production volumes not dispensed</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68"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RNG volumes available for RIN and LCFS generation </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RIN metrics</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pPr>
            <w:r>
              <w:rPr/>
              <w:t>  </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472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RIN generation </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Plus: prior period RINs</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68"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RINs available for sale</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RINs sold</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(1,039)</w:t>
            </w:r>
          </w:p>
        </w:tc>
        <w:tc>
          <w:tcPr>
            <w:tcW w:w="368"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RIN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720"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RNG volumes not dispensed for RINs (MMBtu) </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RIN price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0.53</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LCFS metrics</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pPr>
            <w:r>
              <w:rPr/>
              <w:t>  </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  </w:t>
            </w:r>
          </w:p>
        </w:tc>
        <w:tc>
          <w:tcPr>
            <w:tcW w:w="374" w:type="dxa"/>
            <w:tcBorders/>
            <w:vAlign w:val="center"/>
          </w:tcPr>
          <w:p>
            <w:pPr>
              <w:pStyle w:val="TableContents"/>
              <w:bidi w:val="0"/>
              <w:spacing w:before="0" w:after="1"/>
              <w:ind w:left="0" w:right="0" w:hanging="0"/>
              <w:jc w:val="left"/>
              <w:rPr/>
            </w:pPr>
            <w:r>
              <w:rPr/>
              <w:t>​</w:t>
            </w:r>
          </w:p>
        </w:tc>
      </w:tr>
      <w:tr>
        <w:trPr/>
        <w:tc>
          <w:tcPr>
            <w:tcW w:w="472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LCFS generation </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LCFS sold</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68"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LCFS 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74" w:type="dxa"/>
            <w:tcBorders/>
            <w:shd w:fill="CCEEFF" w:val="clear"/>
            <w:vAlign w:val="center"/>
          </w:tcPr>
          <w:p>
            <w:pPr>
              <w:pStyle w:val="TableContents"/>
              <w:bidi w:val="0"/>
              <w:spacing w:before="0" w:after="1"/>
              <w:ind w:left="0" w:right="0" w:hanging="0"/>
              <w:jc w:val="left"/>
              <w:rPr/>
            </w:pPr>
            <w:r>
              <w:rPr/>
              <w:t>​</w:t>
            </w:r>
          </w:p>
        </w:tc>
      </w:tr>
      <w:tr>
        <w:trPr/>
        <w:tc>
          <w:tcPr>
            <w:tcW w:w="47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RNG volumes not dispensed for LCFS (MMBtu)</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7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7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20"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 xml:space="preserve">Average realized LCFS price </w:t>
            </w:r>
            <w:r>
              <w:rPr>
                <w:rFonts w:ascii="Times New Roman;Times;serif" w:hAnsi="Times New Roman;Times;serif"/>
                <w:sz w:val="15"/>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57.29</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26"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higher per unit cost reflects lower production volumes during the commissioning and ramp-up phase, which was substantially completed by the end of Q3 2023.</w:t>
            </w:r>
          </w:p>
        </w:tc>
      </w:tr>
    </w:tbl>
    <w:tbl>
      <w:tblPr>
        <w:tblW w:w="7397" w:type="dxa"/>
        <w:jc w:val="left"/>
        <w:tblInd w:w="0" w:type="dxa"/>
        <w:tblLayout w:type="fixed"/>
        <w:tblCellMar>
          <w:top w:w="0" w:type="dxa"/>
          <w:left w:w="0" w:type="dxa"/>
          <w:bottom w:w="0" w:type="dxa"/>
          <w:right w:w="0" w:type="dxa"/>
        </w:tblCellMar>
      </w:tblPr>
      <w:tblGrid>
        <w:gridCol w:w="346"/>
        <w:gridCol w:w="70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gas production which has not been dispensed to generate RINs and LCFS.</w:t>
            </w:r>
          </w:p>
        </w:tc>
      </w:tr>
    </w:tbl>
    <w:tbl>
      <w:tblPr>
        <w:tblW w:w="6782" w:type="dxa"/>
        <w:jc w:val="left"/>
        <w:tblInd w:w="0" w:type="dxa"/>
        <w:tblLayout w:type="fixed"/>
        <w:tblCellMar>
          <w:top w:w="0" w:type="dxa"/>
          <w:left w:w="0" w:type="dxa"/>
          <w:bottom w:w="0" w:type="dxa"/>
          <w:right w:w="0" w:type="dxa"/>
        </w:tblCellMar>
      </w:tblPr>
      <w:tblGrid>
        <w:gridCol w:w="346"/>
        <w:gridCol w:w="643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4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RINs are generally generated in the month following the gas being dispensed.</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MMBtu of RNG has approximately the same energy content as 11.727 gallons of ethanol, and thus may generate 11.727 RINs under the RFS Program.</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prices for environmental attributes are net of third-party commissions and thus do not correspond directly to index prices.</w:t>
            </w:r>
          </w:p>
        </w:tc>
      </w:tr>
    </w:tbl>
    <w:tbl>
      <w:tblPr>
        <w:tblW w:w="8207" w:type="dxa"/>
        <w:jc w:val="left"/>
        <w:tblInd w:w="0" w:type="dxa"/>
        <w:tblLayout w:type="fixed"/>
        <w:tblCellMar>
          <w:top w:w="0" w:type="dxa"/>
          <w:left w:w="0" w:type="dxa"/>
          <w:bottom w:w="0" w:type="dxa"/>
          <w:right w:w="0" w:type="dxa"/>
        </w:tblCellMar>
      </w:tblPr>
      <w:tblGrid>
        <w:gridCol w:w="346"/>
        <w:gridCol w:w="786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78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LCFS credits are generally generated in the calendar quarter following the gas being dispensed.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360" w:right="0" w:hanging="0"/>
        <w:jc w:val="left"/>
        <w:rPr>
          <w:rFonts w:ascii="Times New Roman;Times;serif" w:hAnsi="Times New Roman;Times;serif"/>
          <w:b/>
          <w:sz w:val="20"/>
        </w:rPr>
      </w:pPr>
      <w:r>
        <w:rPr>
          <w:rFonts w:ascii="Times New Roman;Times;serif" w:hAnsi="Times New Roman;Times;serif"/>
          <w:b/>
          <w:sz w:val="20"/>
        </w:rPr>
        <w:t>Comparison of the Three Months Ended March 31, 2024 and 2023 (in thousands):</w:t>
      </w:r>
    </w:p>
    <w:tbl>
      <w:tblPr>
        <w:tblW w:w="8762" w:type="dxa"/>
        <w:jc w:val="left"/>
        <w:tblInd w:w="0" w:type="dxa"/>
        <w:tblLayout w:type="fixed"/>
        <w:tblCellMar>
          <w:top w:w="0" w:type="dxa"/>
          <w:left w:w="0" w:type="dxa"/>
          <w:bottom w:w="0" w:type="dxa"/>
          <w:right w:w="0" w:type="dxa"/>
        </w:tblCellMar>
      </w:tblPr>
      <w:tblGrid>
        <w:gridCol w:w="3016"/>
        <w:gridCol w:w="326"/>
        <w:gridCol w:w="220"/>
        <w:gridCol w:w="832"/>
        <w:gridCol w:w="340"/>
        <w:gridCol w:w="220"/>
        <w:gridCol w:w="832"/>
        <w:gridCol w:w="326"/>
        <w:gridCol w:w="326"/>
        <w:gridCol w:w="691"/>
        <w:gridCol w:w="326"/>
        <w:gridCol w:w="991"/>
        <w:gridCol w:w="31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915160" cy="175260"/>
                      <wp:effectExtent l="0" t="0" r="0" b="0"/>
                      <wp:wrapNone/>
                      <wp:docPr id="349" name="Frame349"/>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7010" cy="175260"/>
                      <wp:effectExtent l="0" t="0" r="0" b="0"/>
                      <wp:wrapNone/>
                      <wp:docPr id="350"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139700" cy="175260"/>
                      <wp:effectExtent l="0" t="0" r="0" b="0"/>
                      <wp:wrapNone/>
                      <wp:docPr id="351" name="Frame35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28320" cy="175260"/>
                      <wp:effectExtent l="0" t="0" r="0" b="0"/>
                      <wp:wrapNone/>
                      <wp:docPr id="352" name="Frame352"/>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5900" cy="175260"/>
                      <wp:effectExtent l="0" t="0" r="0" b="0"/>
                      <wp:wrapNone/>
                      <wp:docPr id="353" name="Frame353"/>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39700" cy="175260"/>
                      <wp:effectExtent l="0" t="0" r="0" b="0"/>
                      <wp:wrapNone/>
                      <wp:docPr id="354" name="Frame354"/>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28320" cy="175260"/>
                      <wp:effectExtent l="0" t="0" r="0" b="0"/>
                      <wp:wrapNone/>
                      <wp:docPr id="355" name="Frame355"/>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38785" cy="175260"/>
                      <wp:effectExtent l="0" t="0" r="0" b="0"/>
                      <wp:wrapNone/>
                      <wp:docPr id="358" name="Frame35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29285" cy="175260"/>
                      <wp:effectExtent l="0" t="0" r="0" b="0"/>
                      <wp:wrapNone/>
                      <wp:docPr id="360" name="Frame36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0660" cy="175260"/>
                      <wp:effectExtent l="0" t="0" r="0" b="0"/>
                      <wp:wrapNone/>
                      <wp:docPr id="361" name="Frame36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 </w:t>
            </w:r>
          </w:p>
        </w:tc>
      </w:tr>
      <w:tr>
        <w:trPr/>
        <w:tc>
          <w:tcPr>
            <w:tcW w:w="30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0"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1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2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left"/>
              <w:rPr/>
            </w:pPr>
            <w:r>
              <w:rPr/>
              <w:t> </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revenues</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3,990</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32" w:type="dxa"/>
            <w:tcBorders/>
            <w:vAlign w:val="center"/>
          </w:tcPr>
          <w:p>
            <w:pPr>
              <w:pStyle w:val="TableContents"/>
              <w:bidi w:val="0"/>
              <w:spacing w:before="0" w:after="1"/>
              <w:ind w:left="0" w:right="0" w:hanging="0"/>
              <w:jc w:val="right"/>
              <w:rPr/>
            </w:pPr>
            <w:r>
              <w:rPr/>
              <w:t>  </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3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production</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2,587</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4,425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(1,838)</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4,451</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4,575</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1,548</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1,198</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12,150</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10,761</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1,389</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Project development costs</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5,319</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Facility idling costs</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w:t>
            </w:r>
          </w:p>
        </w:tc>
        <w:tc>
          <w:tcPr>
            <w:tcW w:w="340"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999</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27,131</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24,917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2,214</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(23,141)</w:t>
            </w:r>
          </w:p>
        </w:tc>
        <w:tc>
          <w:tcPr>
            <w:tcW w:w="340"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(20,857)</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(2,284)</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pPr>
            <w:r>
              <w:rPr/>
              <w:t>  </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(542)</w:t>
            </w:r>
          </w:p>
        </w:tc>
        <w:tc>
          <w:tcPr>
            <w:tcW w:w="340"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83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4,593</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40" w:type="dxa"/>
            <w:tcBorders/>
            <w:vAlign w:val="center"/>
          </w:tcPr>
          <w:p>
            <w:pPr>
              <w:pStyle w:val="TableContents"/>
              <w:bidi w:val="0"/>
              <w:spacing w:before="0" w:after="1"/>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(3,683)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net</w:t>
            </w:r>
          </w:p>
        </w:tc>
        <w:tc>
          <w:tcPr>
            <w:tcW w:w="326"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4,266</w:t>
            </w:r>
          </w:p>
        </w:tc>
        <w:tc>
          <w:tcPr>
            <w:tcW w:w="340" w:type="dxa"/>
            <w:tcBorders/>
            <w:shd w:fill="CCEEFF" w:val="clear"/>
            <w:vAlign w:val="center"/>
          </w:tcPr>
          <w:p>
            <w:pPr>
              <w:pStyle w:val="TableContents"/>
              <w:bidi w:val="0"/>
              <w:spacing w:before="0" w:after="1"/>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1,027</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(18,875)</w:t>
            </w:r>
          </w:p>
        </w:tc>
        <w:tc>
          <w:tcPr>
            <w:tcW w:w="340" w:type="dxa"/>
            <w:tcBorders/>
            <w:vAlign w:val="center"/>
          </w:tcPr>
          <w:p>
            <w:pPr>
              <w:pStyle w:val="TableContents"/>
              <w:bidi w:val="0"/>
              <w:spacing w:before="0" w:after="1"/>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(17,618)</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(1,257)</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Operating revenue. </w:t>
      </w:r>
      <w:r>
        <w:rPr>
          <w:rFonts w:ascii="Times New Roman;Times;serif" w:hAnsi="Times New Roman;Times;serif"/>
          <w:sz w:val="20"/>
        </w:rPr>
        <w:t>During the three months ended March 31, 2024, operating revenue decreased $0.1 million compared to the three months ended March 31, 2023, primarily due to sales of RNG and environmental attributes from our RNG project. During the three months ended March 31, 2024, we sold 88,967 MMBtu of RNG from our RNG project, resulting in RNG sales of $0.2 million and environmental attribute sales of $3.8 million, see Key Operating Metrics above.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Cost of production.</w:t>
      </w:r>
      <w:r>
        <w:rPr>
          <w:rFonts w:ascii="Times New Roman;Times;serif" w:hAnsi="Times New Roman;Times;serif"/>
          <w:sz w:val="20"/>
        </w:rPr>
        <w:t xml:space="preserve"> Cost of production decreased $1.8 million during the three months ended March 31, 2024, compared to the three months ended March 31, 2023 primarily due to the production and sales from our RNG project, which significantly increased in 2023, after the ramp-up phase.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Depreciation and amortization. </w:t>
      </w:r>
      <w:r>
        <w:rPr>
          <w:rFonts w:ascii="Times New Roman;Times;serif" w:hAnsi="Times New Roman;Times;serif"/>
          <w:sz w:val="20"/>
        </w:rPr>
        <w:t>Depreciation and amortization remained consistent during the three months ended March 31, 2024, compared to the three months ended March 31, 2023.</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Research and development expense.</w:t>
      </w:r>
      <w:r>
        <w:rPr>
          <w:rFonts w:ascii="Times New Roman;Times;serif" w:hAnsi="Times New Roman;Times;serif"/>
          <w:sz w:val="20"/>
        </w:rPr>
        <w:t xml:space="preserve"> Research and development expenses increased $0.4 million during the three months ended March 31, 2024, compared to the three months ended March 31, 2023, primarily due to an increase of consulting expenses and personnel related costs due to additional headcount added during the period.</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General and administrative expense.</w:t>
      </w:r>
      <w:r>
        <w:rPr>
          <w:rFonts w:ascii="Times New Roman;Times;serif" w:hAnsi="Times New Roman;Times;serif"/>
          <w:sz w:val="20"/>
        </w:rPr>
        <w:t xml:space="preserve"> General and administrative expense increased $1.4 million during the three months ended March 31, 2024, compared to the three months ended March 31, 2023, primarily due to support efforts for carbon sequestration initiatives, increases </w:t>
      </w:r>
      <w:r>
        <w:rPr>
          <w:rFonts w:ascii="Times New Roman;Times;serif" w:hAnsi="Times New Roman;Times;serif"/>
          <w:sz w:val="20"/>
          <w:shd w:fill="FFFFFF" w:val="clear"/>
        </w:rPr>
        <w:t>in personnel costs related to the hiring of highly qualified and skilled professionals, and professional consulting fees, partially offset by a decrease in stock-based compensation</w:t>
      </w:r>
      <w:r>
        <w:rPr>
          <w:rFonts w:ascii="Times New Roman;Times;serif" w:hAnsi="Times New Roman;Times;serif"/>
          <w:sz w:val="20"/>
        </w:rPr>
        <w:t xml:space="preserve">. On an annual basis, we assess our corporate cost allocation estimates across all segments to reflect the use of centralized administrative functions as well as the allocation of personnel costs related to our project development efforts. </w:t>
      </w:r>
      <w:r>
        <w:rPr>
          <w:rFonts w:ascii="Times New Roman;Times;serif" w:hAnsi="Times New Roman;Times;serif"/>
          <w:sz w:val="20"/>
          <w:shd w:fill="FFFFFF" w:val="clear"/>
        </w:rPr>
        <w:t>Costs incurred to date have not yet been allocated to the specific growth projects on the face of our financial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Project development costs</w:t>
      </w:r>
      <w:r>
        <w:rPr>
          <w:rFonts w:ascii="Times New Roman;Times;serif" w:hAnsi="Times New Roman;Times;serif"/>
          <w:sz w:val="20"/>
        </w:rPr>
        <w:t>. Project development costs are primarily related to our Net-Zero Projects and Verity which consist primarily of employee expenses, preliminary engineering costs, and technical consulting costs. Project development costs increased $2.4 million during the three months ended March 31, 2024, compared to the three months ended March 31, 2023, primarily due to patent related costs, increases in personnel costs, and consulting fees.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Facility idling costs. </w:t>
      </w:r>
      <w:r>
        <w:rPr>
          <w:rFonts w:ascii="Times New Roman;Times;serif" w:hAnsi="Times New Roman;Times;serif"/>
          <w:sz w:val="20"/>
          <w:shd w:fill="FFFFFF" w:val="clear"/>
        </w:rPr>
        <w:t>Facility idling costs are related to the care and maintenance of our Luverne Facility. </w:t>
      </w:r>
      <w:r>
        <w:rPr>
          <w:rFonts w:ascii="Times New Roman;Times;serif" w:hAnsi="Times New Roman;Times;serif"/>
          <w:sz w:val="20"/>
        </w:rPr>
        <w:t>Facility idling costs remained consistent during the three months ended March 31, 2024, compared to the three months ended March 31, 2023</w:t>
      </w:r>
      <w:r>
        <w:rPr>
          <w:rFonts w:ascii="Times New Roman;Times;serif" w:hAnsi="Times New Roman;Times;serif"/>
          <w:sz w:val="20"/>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Loss from operations</w:t>
      </w:r>
      <w:r>
        <w:rPr>
          <w:rFonts w:ascii="Times New Roman;Times;serif" w:hAnsi="Times New Roman;Times;serif"/>
          <w:sz w:val="20"/>
        </w:rPr>
        <w:t xml:space="preserve">. The Company’s loss from operations increased by $2.3 million during the three months ended March 31, 2024, compared to the three months ended March 31, 2023, </w:t>
      </w:r>
      <w:r>
        <w:rPr>
          <w:rFonts w:ascii="Times New Roman;Times;serif" w:hAnsi="Times New Roman;Times;serif"/>
          <w:sz w:val="20"/>
          <w:shd w:fill="FFFFFF" w:val="clear"/>
        </w:rPr>
        <w:t>primarily due to the increase in costs for our Net-Zero and Verity projects</w:t>
      </w:r>
      <w:r>
        <w:rPr>
          <w:rFonts w:ascii="Times New Roman;Times;serif" w:hAnsi="Times New Roman;Times;serif"/>
          <w:sz w:val="20"/>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Interest expense remained flat during the three months ended March 31, 2024, compared to the three months ended March 31, 2023, and was primarily comprised of interest on the 2021 Bonds.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 xml:space="preserve">Interest and investment income. </w:t>
      </w:r>
      <w:r>
        <w:rPr>
          <w:rFonts w:ascii="Times New Roman;Times;serif" w:hAnsi="Times New Roman;Times;serif"/>
          <w:sz w:val="20"/>
        </w:rPr>
        <w:t>Interest and investment income increased $0.8 million during the three months ended March 31, 2024, compared to the three months ended March 31, 2023, primarily due to an increase in interest earned on our cash equivalent investments as a result of higher interest rates.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i/>
          <w:sz w:val="20"/>
        </w:rPr>
        <w:t>Other income (expense), net</w:t>
      </w:r>
      <w:r>
        <w:rPr>
          <w:rFonts w:ascii="Times New Roman;Times;serif" w:hAnsi="Times New Roman;Times;serif"/>
          <w:sz w:val="20"/>
        </w:rPr>
        <w:t>. Other income (expense), net increased $0.2 million for the three months ended March 31, 2024, compared to the three months ended March 31, 2023, primarily due to the termination of an agreement at our idled Luverne Facility.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There have been no significant changes to our critical accounting estimates and policies since December 31, 2023. For a description of our other critical accounting policies and estimates that affect our significant judgments and estimates used in the preparation of our consolidated financial statements, refer to “Management’s Discussion and Analysis of Financial Condition and Results of Operations—Critical Accounting Estimates” contained in our 2023 Annual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unaudited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of March 31, 2024, we had cash and cash equivalents of $270.7 million and non-current restricted cash of $69.9 million. As of March 31, 2024, we had net working capital of $260.2 million, with $22.1 million of current liabilities. Our cash equivalents consist of investments in U.S. government money market funds. We expect to use our cash, cash equivalents, and restricted cash for the following purposes: (i) identification, development, engineering, licensing, acquisition and construction of production facilities and the Company’s Net-Zero Projects; (ii) potential investment in RNG projects; (iii) potential development of the Luverne Facility; (iv) operating activities at the Company’s corporate headquarters in Colorado, including research and development work; (v) exploration of strategic alternatives and additional financing, including project financing; and (vi) future debt service obligations. We believe as a result of our cash and cash equivalents balances, and the performance of our current and expected operations, we will be able to meet our obligations and other potential cash requirements during the next 12 months from the date of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borrowings under debt facilities, and interest income. Our current sources of cash include sales of RNG, environmental attributes, and licensing fees. We may also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Our transition to profitability is dependent upon, among other things, the successful development and commercialization of our projects,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 facilities.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table sets forth the major sources and uses of cash for each of the periods set forth below (in thousands):</w:t>
      </w:r>
    </w:p>
    <w:tbl>
      <w:tblPr>
        <w:tblW w:w="7015" w:type="dxa"/>
        <w:jc w:val="left"/>
        <w:tblInd w:w="0" w:type="dxa"/>
        <w:tblLayout w:type="fixed"/>
        <w:tblCellMar>
          <w:top w:w="0" w:type="dxa"/>
          <w:left w:w="0" w:type="dxa"/>
          <w:bottom w:w="0" w:type="dxa"/>
          <w:right w:w="0" w:type="dxa"/>
        </w:tblCellMar>
      </w:tblPr>
      <w:tblGrid>
        <w:gridCol w:w="4201"/>
        <w:gridCol w:w="326"/>
        <w:gridCol w:w="221"/>
        <w:gridCol w:w="836"/>
        <w:gridCol w:w="342"/>
        <w:gridCol w:w="221"/>
        <w:gridCol w:w="868"/>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667635" cy="175260"/>
                      <wp:effectExtent l="0" t="0" r="0" b="0"/>
                      <wp:wrapNone/>
                      <wp:docPr id="362" name="Frame362"/>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7010" cy="175260"/>
                      <wp:effectExtent l="0" t="0" r="0" b="0"/>
                      <wp:wrapNone/>
                      <wp:docPr id="363"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40335" cy="175260"/>
                      <wp:effectExtent l="0" t="0" r="0" b="0"/>
                      <wp:wrapNone/>
                      <wp:docPr id="364" name="Frame36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530860" cy="175260"/>
                      <wp:effectExtent l="0" t="0" r="0" b="0"/>
                      <wp:wrapNone/>
                      <wp:docPr id="365" name="Frame365"/>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7170" cy="175260"/>
                      <wp:effectExtent l="0" t="0" r="0" b="0"/>
                      <wp:wrapNone/>
                      <wp:docPr id="366" name="Frame366"/>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40335" cy="175260"/>
                      <wp:effectExtent l="0" t="0" r="0" b="0"/>
                      <wp:wrapNone/>
                      <wp:docPr id="367" name="Frame36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51180" cy="175260"/>
                      <wp:effectExtent l="0" t="0" r="0" b="0"/>
                      <wp:wrapNone/>
                      <wp:docPr id="368" name="Frame368"/>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2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2" w:type="dxa"/>
            <w:tcBorders/>
            <w:vAlign w:val="center"/>
          </w:tcPr>
          <w:p>
            <w:pPr>
              <w:pStyle w:val="TableContents"/>
              <w:bidi w:val="0"/>
              <w:spacing w:before="0" w:after="1"/>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(16,078)</w:t>
            </w:r>
          </w:p>
        </w:tc>
        <w:tc>
          <w:tcPr>
            <w:tcW w:w="342" w:type="dxa"/>
            <w:tcBorders/>
            <w:shd w:fill="CCEEFF" w:val="clear"/>
            <w:vAlign w:val="center"/>
          </w:tcPr>
          <w:p>
            <w:pPr>
              <w:pStyle w:val="TableContents"/>
              <w:bidi w:val="0"/>
              <w:spacing w:before="0" w:after="1"/>
              <w:ind w:left="0" w:right="0" w:hanging="0"/>
              <w:jc w:val="left"/>
              <w:rPr/>
            </w:pPr>
            <w:r>
              <w:rPr/>
              <w:t>    </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(8,772)</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(17,512)</w:t>
            </w:r>
          </w:p>
        </w:tc>
        <w:tc>
          <w:tcPr>
            <w:tcW w:w="342"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113,524</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42"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240" w:after="240"/>
        <w:ind w:left="0" w:right="0" w:hanging="0"/>
        <w:jc w:val="left"/>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 xml:space="preserve">Our primary uses of cash from operating activities are personnel-related expenses, and research and development-related expenses, including costs incurred under development agreements, costs of licensing of technology, legal-related costs, and expenses for the development and commercialization of routes to efficiently produce fuels and chemicals from renewable feedstock carbohydrates using alcohols (isobutanol and ethanol) as an intermediate. </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2024, net cash used in operating activities was $16.1 million compared to $8.8 million for the three months ended March 31, 2023. Non-cash charges primarily consisted of depreciation and amortization of $4.5 million, stock-based compensation expense of $4.2 million, which reflects higher amortization expense for the stock awards issued in the prior period with higher market value, see Note 14 to the Consolidated Financial Statements for additional information, and non-cash expense of $0.7 million, primarily due to the Company’s 401(k) match. The net cash outflow from changes in operating assets and liabilities increased $6.0 million, primarily due to an increase in cash outflows of $3.8 million related to accounts payable, $1.1 million of prepaid expenses and other current assets, deposits and other assets and $1.7 million of costs associated with the sale of environmental attribute inventory. These were partially offset by $0.6 million related to decreases in accounts receivable.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2024, we had $17.5 million in cash used in investing activities, comprised of investments in our capital projects, including $0.5 million in the RNG project, $10.4 million for NZ1, and $6.6 million in other projects.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have substantially completed the engineering design on our NZ1 project and are proceeding with detailed engineering and modularization design. We are refining the project cost estimates with EPC partners to identify opportunities to reduce and negotiate the cost. We currently expect to finance the construction of NZ1 at the subsidiary level using a combination of Company equity and third-party capital, to include non-recourse debt. In January 2024, the Company announced that it expected to spend approximately $125.0 – $175.0 million from January 2024 until the financial close of NZ1. The Company has further refined and updated its estimates and now projects a range of $90.0 – $125.0 million to be spent on NZ1 between January 2024 and the financial close of NZ1. Of that, the Company has spent approximately $17.0 million in the first quarter of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2022, we allocated approximately $25.0 million to develop our next Net-Zero Project, of which we have spent approximately $16.8 million. Gevo is in the process of identifying and performing early site development work for additional Net-Zero production locations. These potential sites include greenfield and brownfield (i.e., at an existing ethanol plant) locations that are advantageous in terms of potential economics, opportunities to decarbonize, and time to market.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three months ended March 31, 2024, we had $1.5 million of net cash used in financing activities, due to payments for repurchases of the Company’s common stock, equipment loans, and finance lease liabilities.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currently expect to finance the construction of NZ1 at the subsidiary level using a combination of our own equity, third-party capital, and debt capital. The Company expects to retain an equity interest in the project and may invest equity in the project using the proceeds from the reimbursement of the Company’s NZ1 development expenditures. Cash distributions from future NZ1 earnings would be proportionate to Gevo’s ownership in NZ1 under this expected financing structure which would allow us to conserve and redeploy our capital on other growth projects, including our Net-Zero 2 project (“NZ2”). We expect to apply similar development and financing strategies to NZ2 and future Net-Zero Projects to enable growth of SAF production to meet demand for SAF.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Repurchase Program</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On May 30, 2023, we authorized a stock repurchase program, under which we may repurchase up to $25 million of our common stock. The primary goal of the repurchase program is to allow us to opportunistically repurchase shares, while maintaining our ability to fund our development projects. Under the stock repurchase program, we may repurchase shares from time to time in the open market or through privately negotiated transactions. The timing, volume and nature of stock repurchases, if any, will be at our sole discretion and will be dependent on market conditions, applicable securities laws, and other factors. The stock repurchase program may be suspended or discontinued at any time and does not have an expiration date. We repurchased 2.1 million shares of common stock for $1.4 million under the stock repurchase program during the three months ended March 31, 2024.</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April 2024, we repurchased an additional 3.3 million shares of common stock for $2.3 million under the stock repurchase program.</w:t>
      </w:r>
    </w:p>
    <w:p>
      <w:pPr>
        <w:pStyle w:val="TextBody"/>
        <w:bidi w:val="0"/>
        <w:spacing w:before="0" w:after="240"/>
        <w:ind w:left="0" w:right="0" w:hanging="0"/>
        <w:jc w:val="left"/>
        <w:rPr>
          <w:rFonts w:ascii="Times New Roman;Times;serif" w:hAnsi="Times New Roman;Times;serif"/>
          <w:b/>
          <w:sz w:val="20"/>
        </w:rPr>
      </w:pPr>
      <w:bookmarkStart w:id="1220" w:name="Item3QuantitativeandQualitativeDisclosur"/>
      <w:bookmarkStart w:id="1221" w:name="_8914de55_fa0d_4ace_9c3c_c59295e186b5"/>
      <w:bookmarkEnd w:id="1220"/>
      <w:bookmarkEnd w:id="1221"/>
      <w:r>
        <w:rPr>
          <w:rFonts w:ascii="Times New Roman;Times;serif" w:hAnsi="Times New Roman;Times;serif"/>
          <w:b/>
          <w:sz w:val="20"/>
        </w:rPr>
        <w:t>Item 3. Quantitative and Qualitative Disclosures About Market Risk.</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As a smaller reporting company, we are not required to provide the information required by this Item. However, we note that we are exposed to market risks in the ordinary course of our business. These risks primarily consist of environmental attribute pricing, commodity pricing, interest rate, credit risk with our contract counterparties, and equity price risks. There have been no material changes since our disclosure in “Quantitative and Qualitative Disclosures About Market Risk” included in Part II, Item 7A of our 2023 Annual Report.</w:t>
      </w:r>
    </w:p>
    <w:p>
      <w:pPr>
        <w:pStyle w:val="TextBody"/>
        <w:bidi w:val="0"/>
        <w:spacing w:before="0" w:after="240"/>
        <w:ind w:left="0" w:right="0" w:hanging="0"/>
        <w:jc w:val="left"/>
        <w:rPr>
          <w:rFonts w:ascii="Times New Roman;Times;serif" w:hAnsi="Times New Roman;Times;serif"/>
          <w:b/>
          <w:sz w:val="20"/>
        </w:rPr>
      </w:pPr>
      <w:bookmarkStart w:id="1222" w:name="Item4ControlsandProcedures_150025"/>
      <w:bookmarkStart w:id="1223" w:name="_fb071d40_0e50_4990_a621_19104eb37ca7"/>
      <w:bookmarkEnd w:id="1222"/>
      <w:bookmarkEnd w:id="1223"/>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March 31, 2024,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There were no changes that occurred during the three months ended March 31,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24" w:name="PARTIIOTHERINFORMATION_881509"/>
      <w:bookmarkStart w:id="1225" w:name="_9b2fce28_795d_42c8_8330_48f5be8bd9f6"/>
      <w:bookmarkEnd w:id="1224"/>
      <w:bookmarkEnd w:id="1225"/>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226" w:name="Item1LegalProceedings_687788"/>
      <w:bookmarkEnd w:id="1226"/>
      <w:r>
        <w:rPr>
          <w:rFonts w:ascii="Times New Roman;Times;serif" w:hAnsi="Times New Roman;Times;serif"/>
          <w:b/>
          <w:sz w:val="20"/>
        </w:rPr>
        <w:t>Item 1. Legal Proceedings.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 discussion of legal matters is found in Note 16, Commitments and Contingencies, in the accompanying Notes to the Financial Statements included in Part I - Item 1. Financial Statements of this Report.</w:t>
      </w:r>
    </w:p>
    <w:p>
      <w:pPr>
        <w:pStyle w:val="TextBody"/>
        <w:bidi w:val="0"/>
        <w:spacing w:before="0" w:after="240"/>
        <w:ind w:left="0" w:right="0" w:hanging="0"/>
        <w:jc w:val="left"/>
        <w:rPr>
          <w:rFonts w:ascii="Times New Roman;Times;serif" w:hAnsi="Times New Roman;Times;serif"/>
          <w:b/>
          <w:sz w:val="20"/>
        </w:rPr>
      </w:pPr>
      <w:bookmarkStart w:id="1227" w:name="Item1ARiskFactors_410492"/>
      <w:bookmarkStart w:id="1228" w:name="_f4e1c7d4_e6e9_4f5f_94b0_fe5237090009"/>
      <w:bookmarkEnd w:id="1227"/>
      <w:bookmarkEnd w:id="1228"/>
      <w:r>
        <w:rPr>
          <w:rFonts w:ascii="Times New Roman;Times;serif" w:hAnsi="Times New Roman;Times;serif"/>
          <w:b/>
          <w:sz w:val="20"/>
        </w:rPr>
        <w:t>Item 1A. Risk Factors.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You should carefully consider the risk factors discussed in Part I, Item 1A. “Risk Factors” in our 2023 Annual Report, which could materially affect our business, financial condition, cash flows or future results. There have been no material changes in our risk factors included in our 2023 Annual Report. The risk factors in our 2023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0"/>
        <w:ind w:left="0" w:right="0" w:hanging="0"/>
        <w:jc w:val="left"/>
        <w:rPr>
          <w:rFonts w:ascii="Times New Roman;Times;serif" w:hAnsi="Times New Roman;Times;serif"/>
          <w:b/>
          <w:sz w:val="20"/>
        </w:rPr>
      </w:pPr>
      <w:bookmarkStart w:id="1229" w:name="Item2UnregisteredSalesofEquitySecurities"/>
      <w:bookmarkStart w:id="1230" w:name="_eab717d9_23e1_4339_b957_49dce657b0c3"/>
      <w:bookmarkStart w:id="1231" w:name="_Item_2._Unregistered"/>
      <w:bookmarkEnd w:id="1229"/>
      <w:bookmarkEnd w:id="1230"/>
      <w:bookmarkEnd w:id="1231"/>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76"/>
        <w:gridCol w:w="109"/>
        <w:gridCol w:w="1619"/>
        <w:gridCol w:w="109"/>
        <w:gridCol w:w="386"/>
        <w:gridCol w:w="855"/>
        <w:gridCol w:w="109"/>
        <w:gridCol w:w="229"/>
        <w:gridCol w:w="2501"/>
        <w:gridCol w:w="109"/>
        <w:gridCol w:w="404"/>
        <w:gridCol w:w="2699"/>
      </w:tblGrid>
      <w:tr>
        <w:trPr/>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83260" cy="175260"/>
                      <wp:effectExtent l="0" t="0" r="0" b="0"/>
                      <wp:wrapNone/>
                      <wp:docPr id="369" name="Frame369"/>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9215" cy="175260"/>
                      <wp:effectExtent l="0" t="0" r="0" b="0"/>
                      <wp:wrapNone/>
                      <wp:docPr id="370"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1028065" cy="175260"/>
                      <wp:effectExtent l="0" t="0" r="0" b="0"/>
                      <wp:wrapNone/>
                      <wp:docPr id="371" name="Frame371"/>
                      <a:graphic xmlns:a="http://schemas.openxmlformats.org/drawingml/2006/main">
                        <a:graphicData uri="http://schemas.microsoft.com/office/word/2010/wordprocessingShape">
                          <wps:wsp>
                            <wps:cNvSpPr txBox="1"/>
                            <wps:spPr>
                              <a:xfrm>
                                <a:off x="0" y="0"/>
                                <a:ext cx="1028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9215" cy="175260"/>
                      <wp:effectExtent l="0" t="0" r="0" b="0"/>
                      <wp:wrapNone/>
                      <wp:docPr id="372" name="Frame3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45110" cy="175260"/>
                      <wp:effectExtent l="0" t="0" r="0" b="0"/>
                      <wp:wrapNone/>
                      <wp:docPr id="373" name="Frame37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42925" cy="175260"/>
                      <wp:effectExtent l="0" t="0" r="0" b="0"/>
                      <wp:wrapNone/>
                      <wp:docPr id="374" name="Frame374"/>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5" name="Frame3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45415" cy="175260"/>
                      <wp:effectExtent l="0" t="0" r="0" b="0"/>
                      <wp:wrapNone/>
                      <wp:docPr id="376" name="Frame37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588135" cy="175260"/>
                      <wp:effectExtent l="0" t="0" r="0" b="0"/>
                      <wp:wrapNone/>
                      <wp:docPr id="377" name="Frame377"/>
                      <a:graphic xmlns:a="http://schemas.openxmlformats.org/drawingml/2006/main">
                        <a:graphicData uri="http://schemas.microsoft.com/office/word/2010/wordprocessingShape">
                          <wps:wsp>
                            <wps:cNvSpPr txBox="1"/>
                            <wps:spPr>
                              <a:xfrm>
                                <a:off x="0" y="0"/>
                                <a:ext cx="1588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9215" cy="175260"/>
                      <wp:effectExtent l="0" t="0" r="0" b="0"/>
                      <wp:wrapNone/>
                      <wp:docPr id="378" name="Frame3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56540" cy="175260"/>
                      <wp:effectExtent l="0" t="0" r="0" b="0"/>
                      <wp:wrapNone/>
                      <wp:docPr id="379" name="Frame379"/>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713865" cy="175260"/>
                      <wp:effectExtent l="0" t="0" r="0" b="0"/>
                      <wp:wrapNone/>
                      <wp:docPr id="380" name="Frame380"/>
                      <a:graphic xmlns:a="http://schemas.openxmlformats.org/drawingml/2006/main">
                        <a:graphicData uri="http://schemas.microsoft.com/office/word/2010/wordprocessingShape">
                          <wps:wsp>
                            <wps:cNvSpPr txBox="1"/>
                            <wps:spPr>
                              <a:xfrm>
                                <a:off x="0" y="0"/>
                                <a:ext cx="171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205" w:type="dxa"/>
            <w:gridSpan w:val="1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Issuer Purchase of Equity Securities</w:t>
            </w:r>
          </w:p>
        </w:tc>
      </w:tr>
      <w:tr>
        <w:trPr/>
        <w:tc>
          <w:tcPr>
            <w:tcW w:w="10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Period</w:t>
            </w:r>
          </w:p>
        </w:tc>
        <w:tc>
          <w:tcPr>
            <w:tcW w:w="109" w:type="dxa"/>
            <w:tcBorders/>
            <w:vAlign w:val="center"/>
          </w:tcPr>
          <w:p>
            <w:pPr>
              <w:pStyle w:val="TableContents"/>
              <w:bidi w:val="0"/>
              <w:spacing w:before="0" w:after="0"/>
              <w:ind w:left="0" w:right="0" w:hanging="0"/>
              <w:jc w:val="center"/>
              <w:rPr/>
            </w:pPr>
            <w:r>
              <w:rPr/>
              <w:t>​</w:t>
            </w:r>
          </w:p>
        </w:tc>
        <w:tc>
          <w:tcPr>
            <w:tcW w:w="16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 Purchased</w:t>
            </w:r>
          </w:p>
        </w:tc>
        <w:tc>
          <w:tcPr>
            <w:tcW w:w="109" w:type="dxa"/>
            <w:tcBorders/>
            <w:vAlign w:val="center"/>
          </w:tcPr>
          <w:p>
            <w:pPr>
              <w:pStyle w:val="TableContents"/>
              <w:bidi w:val="0"/>
              <w:spacing w:before="0" w:after="0"/>
              <w:ind w:left="0" w:right="0" w:hanging="0"/>
              <w:jc w:val="center"/>
              <w:rPr/>
            </w:pPr>
            <w:r>
              <w:rPr/>
              <w:t>​</w:t>
            </w:r>
          </w:p>
        </w:tc>
        <w:tc>
          <w:tcPr>
            <w:tcW w:w="12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 Price Paid per Share</w:t>
            </w:r>
          </w:p>
        </w:tc>
        <w:tc>
          <w:tcPr>
            <w:tcW w:w="109" w:type="dxa"/>
            <w:tcBorders/>
            <w:vAlign w:val="center"/>
          </w:tcPr>
          <w:p>
            <w:pPr>
              <w:pStyle w:val="TableContents"/>
              <w:bidi w:val="0"/>
              <w:spacing w:before="0" w:after="0"/>
              <w:ind w:left="0" w:right="0" w:hanging="0"/>
              <w:jc w:val="center"/>
              <w:rPr/>
            </w:pPr>
            <w:r>
              <w:rPr/>
              <w:t>​</w:t>
            </w:r>
          </w:p>
        </w:tc>
        <w:tc>
          <w:tcPr>
            <w:tcW w:w="273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 xml:space="preserve">Total Number of Shares Purchased as Part of Publicly Announced Plans or Programs </w:t>
            </w:r>
            <w:r>
              <w:rPr>
                <w:rFonts w:ascii="Times New Roman;Times;serif" w:hAnsi="Times New Roman;Times;serif"/>
                <w:b/>
                <w:sz w:val="15"/>
              </w:rPr>
              <w:t>(1)</w:t>
            </w:r>
          </w:p>
        </w:tc>
        <w:tc>
          <w:tcPr>
            <w:tcW w:w="109" w:type="dxa"/>
            <w:tcBorders/>
            <w:vAlign w:val="center"/>
          </w:tcPr>
          <w:p>
            <w:pPr>
              <w:pStyle w:val="TableContents"/>
              <w:bidi w:val="0"/>
              <w:spacing w:before="0" w:after="0"/>
              <w:ind w:left="0" w:right="0" w:hanging="0"/>
              <w:jc w:val="center"/>
              <w:rPr/>
            </w:pPr>
            <w:r>
              <w:rPr/>
              <w:t>​</w:t>
            </w:r>
          </w:p>
        </w:tc>
        <w:tc>
          <w:tcPr>
            <w:tcW w:w="3103"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20"/>
              </w:rPr>
              <w:t xml:space="preserve">Maximum Dollar Value of Shares that May Yet be Purchased Under the Plans or Programs </w:t>
            </w:r>
            <w:r>
              <w:rPr>
                <w:rFonts w:ascii="Times New Roman;Times;serif" w:hAnsi="Times New Roman;Times;serif"/>
                <w:b/>
                <w:sz w:val="15"/>
              </w:rPr>
              <w:t>(1)</w:t>
            </w:r>
          </w:p>
        </w:tc>
      </w:tr>
      <w:tr>
        <w:trPr/>
        <w:tc>
          <w:tcPr>
            <w:tcW w:w="1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1 - 31,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6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2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25,000,000.00</w:t>
            </w:r>
          </w:p>
        </w:tc>
      </w:tr>
      <w:tr>
        <w:trPr/>
        <w:tc>
          <w:tcPr>
            <w:tcW w:w="1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1 - 29, 2024</w:t>
            </w:r>
          </w:p>
        </w:tc>
        <w:tc>
          <w:tcPr>
            <w:tcW w:w="109" w:type="dxa"/>
            <w:tcBorders/>
            <w:vAlign w:val="center"/>
          </w:tcPr>
          <w:p>
            <w:pPr>
              <w:pStyle w:val="TableContents"/>
              <w:bidi w:val="0"/>
              <w:spacing w:before="0" w:after="0"/>
              <w:ind w:left="0" w:right="0" w:hanging="0"/>
              <w:jc w:val="left"/>
              <w:rPr/>
            </w:pPr>
            <w:r>
              <w:rPr/>
              <w:t>​</w:t>
            </w:r>
          </w:p>
        </w:tc>
        <w:tc>
          <w:tcPr>
            <w:tcW w:w="1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2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2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25,000,000.00</w:t>
            </w:r>
          </w:p>
        </w:tc>
      </w:tr>
      <w:tr>
        <w:trPr/>
        <w:tc>
          <w:tcPr>
            <w:tcW w:w="1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6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2,127,661.00</w:t>
            </w:r>
          </w:p>
        </w:tc>
        <w:tc>
          <w:tcPr>
            <w:tcW w:w="109"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c>
          <w:tcPr>
            <w:tcW w:w="109"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2,127,661.00</w:t>
            </w:r>
          </w:p>
        </w:tc>
        <w:tc>
          <w:tcPr>
            <w:tcW w:w="109"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23,602,976.80</w:t>
            </w:r>
          </w:p>
        </w:tc>
      </w:tr>
      <w:tr>
        <w:trPr/>
        <w:tc>
          <w:tcPr>
            <w:tcW w:w="1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16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2,127,661.00</w:t>
            </w:r>
          </w:p>
        </w:tc>
        <w:tc>
          <w:tcPr>
            <w:tcW w:w="109" w:type="dxa"/>
            <w:tcBorders/>
            <w:vAlign w:val="center"/>
          </w:tcPr>
          <w:p>
            <w:pPr>
              <w:pStyle w:val="TableContents"/>
              <w:bidi w:val="0"/>
              <w:spacing w:before="0" w:after="0"/>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0.66</w:t>
            </w:r>
          </w:p>
        </w:tc>
        <w:tc>
          <w:tcPr>
            <w:tcW w:w="109"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2,127,661.00</w:t>
            </w:r>
          </w:p>
        </w:tc>
        <w:tc>
          <w:tcPr>
            <w:tcW w:w="109"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99"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23,602,976.80</w:t>
            </w:r>
          </w:p>
        </w:tc>
      </w:tr>
    </w:tbl>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(1) On May 30, 2023, we authorized a stock repurchase program, under which we may repurchase up to $25 million of our common stock. The primary goal of the repurchase program is to allow us to opportunistically repurchase shares, while maintaining our ability to fund our development projects. Under the stock repurchase program, we may repurchase shares from time to time in the open market or through privately negotiated transactions. The timing, volume and nature of stock repurchases, if any, will be at our sole discretion and will be dependent on market conditions, applicable securities laws, and other factors. The stock repurchase program may be suspended or discontinued at any time and does not have an expiration date.</w:t>
      </w:r>
    </w:p>
    <w:p>
      <w:pPr>
        <w:pStyle w:val="TextBody"/>
        <w:bidi w:val="0"/>
        <w:spacing w:before="0" w:after="240"/>
        <w:ind w:left="0" w:right="0" w:hanging="0"/>
        <w:jc w:val="left"/>
        <w:rPr>
          <w:rFonts w:ascii="Times New Roman;Times;serif" w:hAnsi="Times New Roman;Times;serif"/>
          <w:b/>
          <w:sz w:val="20"/>
        </w:rPr>
      </w:pPr>
      <w:bookmarkStart w:id="1232" w:name="Item3DefaultsUponSeniorSecurities_300980"/>
      <w:bookmarkStart w:id="1233" w:name="_32f280e0_08ed_42ed_8f52_c82557b17999"/>
      <w:bookmarkEnd w:id="1232"/>
      <w:bookmarkEnd w:id="1233"/>
      <w:r>
        <w:rPr>
          <w:rFonts w:ascii="Times New Roman;Times;serif" w:hAnsi="Times New Roman;Times;serif"/>
          <w:b/>
          <w:sz w:val="20"/>
        </w:rPr>
        <w:t>Item 3. Defaults Upon Senior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234" w:name="Item4MineSafetyDisclosures_988747"/>
      <w:bookmarkStart w:id="1235" w:name="_cbb9d64a_2a44_4984_86fd_e2ae201db1b4"/>
      <w:bookmarkEnd w:id="1234"/>
      <w:bookmarkEnd w:id="1235"/>
      <w:r>
        <w:rPr>
          <w:rFonts w:ascii="Times New Roman;Times;serif" w:hAnsi="Times New Roman;Times;serif"/>
          <w:b/>
          <w:sz w:val="20"/>
        </w:rPr>
        <w:t>Item 4. Mine Safety Disclosures.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36" w:name="Item5OtherInformation_31786"/>
      <w:bookmarkStart w:id="1237" w:name="_e6656140_a806_41b0_bb9c_fe432db67c64"/>
      <w:bookmarkEnd w:id="1236"/>
      <w:bookmarkEnd w:id="1237"/>
      <w:r>
        <w:rPr>
          <w:rFonts w:ascii="Times New Roman;Times;serif" w:hAnsi="Times New Roman;Times;serif"/>
          <w:b/>
          <w:sz w:val="20"/>
        </w:rPr>
        <w:t>Item 5. Other Information.</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During our last fiscal quarter, the below directors and/or officers, as defined in Rule 16a-1(f), adopted, modified or terminated a “Rule 10b5-1 trading arrangement,” as defined in Item 408 of Regulation S-K. The Rule 10b5-1 trading arrangements are each intended to satisfy the affirmative defense in Rule 10b5-1(c)(1).</w:t>
      </w:r>
    </w:p>
    <w:tbl>
      <w:tblPr>
        <w:tblW w:w="10205" w:type="dxa"/>
        <w:jc w:val="left"/>
        <w:tblInd w:w="0" w:type="dxa"/>
        <w:tblLayout w:type="fixed"/>
        <w:tblCellMar>
          <w:top w:w="0" w:type="dxa"/>
          <w:left w:w="0" w:type="dxa"/>
          <w:bottom w:w="0" w:type="dxa"/>
          <w:right w:w="0" w:type="dxa"/>
        </w:tblCellMar>
      </w:tblPr>
      <w:tblGrid>
        <w:gridCol w:w="3015"/>
        <w:gridCol w:w="109"/>
        <w:gridCol w:w="661"/>
        <w:gridCol w:w="109"/>
        <w:gridCol w:w="1094"/>
        <w:gridCol w:w="109"/>
        <w:gridCol w:w="2354"/>
        <w:gridCol w:w="109"/>
        <w:gridCol w:w="2645"/>
      </w:tblGrid>
      <w:tr>
        <w:trPr/>
        <w:tc>
          <w:tcPr>
            <w:tcW w:w="30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914525" cy="175260"/>
                      <wp:effectExtent l="0" t="0" r="0" b="0"/>
                      <wp:wrapNone/>
                      <wp:docPr id="381" name="Frame381"/>
                      <a:graphic xmlns:a="http://schemas.openxmlformats.org/drawingml/2006/main">
                        <a:graphicData uri="http://schemas.microsoft.com/office/word/2010/wordprocessingShape">
                          <wps:wsp>
                            <wps:cNvSpPr txBox="1"/>
                            <wps:spPr>
                              <a:xfrm>
                                <a:off x="0" y="0"/>
                                <a:ext cx="1914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9215" cy="175260"/>
                      <wp:effectExtent l="0" t="0" r="0" b="0"/>
                      <wp:wrapNone/>
                      <wp:docPr id="382" name="Frame3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19735" cy="175260"/>
                      <wp:effectExtent l="0" t="0" r="0" b="0"/>
                      <wp:wrapNone/>
                      <wp:docPr id="383" name="Frame383"/>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9215" cy="175260"/>
                      <wp:effectExtent l="0" t="0" r="0" b="0"/>
                      <wp:wrapNone/>
                      <wp:docPr id="384" name="Frame3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94690" cy="175260"/>
                      <wp:effectExtent l="0" t="0" r="0" b="0"/>
                      <wp:wrapNone/>
                      <wp:docPr id="385" name="Frame385"/>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9215" cy="175260"/>
                      <wp:effectExtent l="0" t="0" r="0" b="0"/>
                      <wp:wrapNone/>
                      <wp:docPr id="386" name="Frame3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494790" cy="175260"/>
                      <wp:effectExtent l="0" t="0" r="0" b="0"/>
                      <wp:wrapNone/>
                      <wp:docPr id="387" name="Frame387"/>
                      <a:graphic xmlns:a="http://schemas.openxmlformats.org/drawingml/2006/main">
                        <a:graphicData uri="http://schemas.microsoft.com/office/word/2010/wordprocessingShape">
                          <wps:wsp>
                            <wps:cNvSpPr txBox="1"/>
                            <wps:spPr>
                              <a:xfrm>
                                <a:off x="0" y="0"/>
                                <a:ext cx="149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9215" cy="175260"/>
                      <wp:effectExtent l="0" t="0" r="0" b="0"/>
                      <wp:wrapNone/>
                      <wp:docPr id="388"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679575" cy="175260"/>
                      <wp:effectExtent l="0" t="0" r="0" b="0"/>
                      <wp:wrapNone/>
                      <wp:docPr id="389" name="Frame389"/>
                      <a:graphic xmlns:a="http://schemas.openxmlformats.org/drawingml/2006/main">
                        <a:graphicData uri="http://schemas.microsoft.com/office/word/2010/wordprocessingShape">
                          <wps:wsp>
                            <wps:cNvSpPr txBox="1"/>
                            <wps:spPr>
                              <a:xfrm>
                                <a:off x="0" y="0"/>
                                <a:ext cx="167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and Title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Action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3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Duration of Plan</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6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 of Shares</w:t>
              <w:br/>
              <w:t>of Common Stock to be Purchased or Sold</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Patrick R. Gruber</w:t>
              <w:br/>
            </w:r>
            <w:r>
              <w:rPr>
                <w:rFonts w:ascii="Times New Roman;Times;serif" w:hAnsi="Times New Roman;Times;serif"/>
                <w:i/>
                <w:sz w:val="20"/>
              </w:rPr>
              <w:t>Chief Executive Officer</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Adopt</w:t>
            </w:r>
          </w:p>
        </w:tc>
        <w:tc>
          <w:tcPr>
            <w:tcW w:w="109"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18, 2024</w:t>
            </w:r>
          </w:p>
        </w:tc>
        <w:tc>
          <w:tcPr>
            <w:tcW w:w="109" w:type="dxa"/>
            <w:tcBorders/>
            <w:shd w:fill="CCEEFF" w:val="clear"/>
            <w:vAlign w:val="center"/>
          </w:tcPr>
          <w:p>
            <w:pPr>
              <w:pStyle w:val="TableContents"/>
              <w:bidi w:val="0"/>
              <w:spacing w:before="0" w:after="0"/>
              <w:ind w:left="0" w:right="0" w:hanging="0"/>
              <w:jc w:val="left"/>
              <w:rPr/>
            </w:pPr>
            <w:r>
              <w:rPr/>
              <w:t>​</w:t>
            </w:r>
          </w:p>
        </w:tc>
        <w:tc>
          <w:tcPr>
            <w:tcW w:w="235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26, 2024 to July 25, 2025</w:t>
            </w:r>
          </w:p>
        </w:tc>
        <w:tc>
          <w:tcPr>
            <w:tcW w:w="109" w:type="dxa"/>
            <w:tcBorders/>
            <w:shd w:fill="CCEEFF" w:val="clear"/>
            <w:vAlign w:val="center"/>
          </w:tcPr>
          <w:p>
            <w:pPr>
              <w:pStyle w:val="TableContents"/>
              <w:bidi w:val="0"/>
              <w:spacing w:before="0" w:after="0"/>
              <w:ind w:left="0" w:right="0" w:hanging="0"/>
              <w:jc w:val="left"/>
              <w:rPr/>
            </w:pPr>
            <w:r>
              <w:rPr/>
              <w:t>​</w:t>
            </w:r>
          </w:p>
        </w:tc>
        <w:tc>
          <w:tcPr>
            <w:tcW w:w="26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Up to 815,015</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Christopher M. Ryan</w:t>
              <w:br/>
            </w:r>
            <w:r>
              <w:rPr>
                <w:rFonts w:ascii="Times New Roman;Times;serif" w:hAnsi="Times New Roman;Times;serif"/>
                <w:i/>
                <w:sz w:val="20"/>
              </w:rPr>
              <w:t>President and Chief Operating Officer</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Adopt</w:t>
            </w:r>
          </w:p>
        </w:tc>
        <w:tc>
          <w:tcPr>
            <w:tcW w:w="109"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25, 2024</w:t>
            </w:r>
          </w:p>
        </w:tc>
        <w:tc>
          <w:tcPr>
            <w:tcW w:w="109" w:type="dxa"/>
            <w:tcBorders/>
            <w:vAlign w:val="center"/>
          </w:tcPr>
          <w:p>
            <w:pPr>
              <w:pStyle w:val="TableContents"/>
              <w:bidi w:val="0"/>
              <w:spacing w:before="0" w:after="0"/>
              <w:ind w:left="0" w:right="0" w:hanging="0"/>
              <w:jc w:val="left"/>
              <w:rPr/>
            </w:pPr>
            <w:r>
              <w:rPr/>
              <w:t>​</w:t>
            </w:r>
          </w:p>
        </w:tc>
        <w:tc>
          <w:tcPr>
            <w:tcW w:w="23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26, 2024 to July 25, 2025</w:t>
            </w:r>
          </w:p>
        </w:tc>
        <w:tc>
          <w:tcPr>
            <w:tcW w:w="109" w:type="dxa"/>
            <w:tcBorders/>
            <w:vAlign w:val="center"/>
          </w:tcPr>
          <w:p>
            <w:pPr>
              <w:pStyle w:val="TableContents"/>
              <w:bidi w:val="0"/>
              <w:spacing w:before="0" w:after="0"/>
              <w:ind w:left="0" w:right="0" w:hanging="0"/>
              <w:jc w:val="left"/>
              <w:rPr/>
            </w:pPr>
            <w:r>
              <w:rPr/>
              <w:t>​</w:t>
            </w:r>
          </w:p>
        </w:tc>
        <w:tc>
          <w:tcPr>
            <w:tcW w:w="26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Up to 341,227</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 Lynn Smull</w:t>
              <w:br/>
            </w:r>
            <w:r>
              <w:rPr>
                <w:rFonts w:ascii="Times New Roman;Times;serif" w:hAnsi="Times New Roman;Times;serif"/>
                <w:i/>
                <w:sz w:val="20"/>
              </w:rPr>
              <w:t>Chief Financial Officer</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Adopt</w:t>
            </w:r>
          </w:p>
        </w:tc>
        <w:tc>
          <w:tcPr>
            <w:tcW w:w="109"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19, 2024</w:t>
            </w:r>
          </w:p>
        </w:tc>
        <w:tc>
          <w:tcPr>
            <w:tcW w:w="109" w:type="dxa"/>
            <w:tcBorders/>
            <w:shd w:fill="CCEEFF" w:val="clear"/>
            <w:vAlign w:val="center"/>
          </w:tcPr>
          <w:p>
            <w:pPr>
              <w:pStyle w:val="TableContents"/>
              <w:bidi w:val="0"/>
              <w:spacing w:before="0" w:after="0"/>
              <w:ind w:left="0" w:right="0" w:hanging="0"/>
              <w:jc w:val="left"/>
              <w:rPr/>
            </w:pPr>
            <w:r>
              <w:rPr/>
              <w:t>​</w:t>
            </w:r>
          </w:p>
        </w:tc>
        <w:tc>
          <w:tcPr>
            <w:tcW w:w="235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26, 2024 to July 25, 2025</w:t>
            </w:r>
          </w:p>
        </w:tc>
        <w:tc>
          <w:tcPr>
            <w:tcW w:w="109" w:type="dxa"/>
            <w:tcBorders/>
            <w:shd w:fill="CCEEFF" w:val="clear"/>
            <w:vAlign w:val="center"/>
          </w:tcPr>
          <w:p>
            <w:pPr>
              <w:pStyle w:val="TableContents"/>
              <w:bidi w:val="0"/>
              <w:spacing w:before="0" w:after="0"/>
              <w:ind w:left="0" w:right="0" w:hanging="0"/>
              <w:jc w:val="left"/>
              <w:rPr/>
            </w:pPr>
            <w:r>
              <w:rPr/>
              <w:t>​</w:t>
            </w:r>
          </w:p>
        </w:tc>
        <w:tc>
          <w:tcPr>
            <w:tcW w:w="26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Up to 166,264</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D. Bloom</w:t>
              <w:br/>
            </w:r>
            <w:r>
              <w:rPr>
                <w:rFonts w:ascii="Times New Roman;Times;serif" w:hAnsi="Times New Roman;Times;serif"/>
                <w:i/>
                <w:sz w:val="20"/>
              </w:rPr>
              <w:t>Chief Carbon Officer and Chief Innovation Officer</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Adopt</w:t>
            </w:r>
          </w:p>
        </w:tc>
        <w:tc>
          <w:tcPr>
            <w:tcW w:w="109"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25, 2024</w:t>
            </w:r>
          </w:p>
        </w:tc>
        <w:tc>
          <w:tcPr>
            <w:tcW w:w="109" w:type="dxa"/>
            <w:tcBorders/>
            <w:vAlign w:val="center"/>
          </w:tcPr>
          <w:p>
            <w:pPr>
              <w:pStyle w:val="TableContents"/>
              <w:bidi w:val="0"/>
              <w:spacing w:before="0" w:after="0"/>
              <w:ind w:left="0" w:right="0" w:hanging="0"/>
              <w:jc w:val="left"/>
              <w:rPr/>
            </w:pPr>
            <w:r>
              <w:rPr/>
              <w:t>​</w:t>
            </w:r>
          </w:p>
        </w:tc>
        <w:tc>
          <w:tcPr>
            <w:tcW w:w="23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26, 2024 to July 25, 2025</w:t>
            </w:r>
          </w:p>
        </w:tc>
        <w:tc>
          <w:tcPr>
            <w:tcW w:w="109" w:type="dxa"/>
            <w:tcBorders/>
            <w:vAlign w:val="center"/>
          </w:tcPr>
          <w:p>
            <w:pPr>
              <w:pStyle w:val="TableContents"/>
              <w:bidi w:val="0"/>
              <w:spacing w:before="0" w:after="0"/>
              <w:ind w:left="0" w:right="0" w:hanging="0"/>
              <w:jc w:val="left"/>
              <w:rPr/>
            </w:pPr>
            <w:r>
              <w:rPr/>
              <w:t>​</w:t>
            </w:r>
          </w:p>
        </w:tc>
        <w:tc>
          <w:tcPr>
            <w:tcW w:w="26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Up to 308,814</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Andrew L. Shafer</w:t>
              <w:br/>
            </w:r>
            <w:r>
              <w:rPr>
                <w:rFonts w:ascii="Times New Roman;Times;serif" w:hAnsi="Times New Roman;Times;serif"/>
                <w:i/>
                <w:sz w:val="20"/>
              </w:rPr>
              <w:t>Chief Customer, Marketing and Brand Officer</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Adopt</w:t>
            </w:r>
          </w:p>
        </w:tc>
        <w:tc>
          <w:tcPr>
            <w:tcW w:w="109"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 2024</w:t>
            </w:r>
          </w:p>
        </w:tc>
        <w:tc>
          <w:tcPr>
            <w:tcW w:w="109" w:type="dxa"/>
            <w:tcBorders/>
            <w:shd w:fill="CCEEFF" w:val="clear"/>
            <w:vAlign w:val="center"/>
          </w:tcPr>
          <w:p>
            <w:pPr>
              <w:pStyle w:val="TableContents"/>
              <w:bidi w:val="0"/>
              <w:spacing w:before="0" w:after="0"/>
              <w:ind w:left="0" w:right="0" w:hanging="0"/>
              <w:jc w:val="left"/>
              <w:rPr/>
            </w:pPr>
            <w:r>
              <w:rPr/>
              <w:t>​</w:t>
            </w:r>
          </w:p>
        </w:tc>
        <w:tc>
          <w:tcPr>
            <w:tcW w:w="235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 2024 to October 31, 2025</w:t>
            </w:r>
          </w:p>
        </w:tc>
        <w:tc>
          <w:tcPr>
            <w:tcW w:w="109" w:type="dxa"/>
            <w:tcBorders/>
            <w:shd w:fill="CCEEFF" w:val="clear"/>
            <w:vAlign w:val="center"/>
          </w:tcPr>
          <w:p>
            <w:pPr>
              <w:pStyle w:val="TableContents"/>
              <w:bidi w:val="0"/>
              <w:spacing w:before="0" w:after="0"/>
              <w:ind w:left="0" w:right="0" w:hanging="0"/>
              <w:jc w:val="left"/>
              <w:rPr/>
            </w:pPr>
            <w:r>
              <w:rPr/>
              <w:t>​</w:t>
            </w:r>
          </w:p>
        </w:tc>
        <w:tc>
          <w:tcPr>
            <w:tcW w:w="26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Up to 60,606</w:t>
            </w:r>
          </w:p>
        </w:tc>
      </w:tr>
      <w:tr>
        <w:trPr/>
        <w:tc>
          <w:tcPr>
            <w:tcW w:w="3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Kimberly T. Bowron</w:t>
              <w:br/>
            </w:r>
            <w:r>
              <w:rPr>
                <w:rFonts w:ascii="Times New Roman;Times;serif" w:hAnsi="Times New Roman;Times;serif"/>
                <w:i/>
                <w:sz w:val="20"/>
              </w:rPr>
              <w:t>Chief People Officer</w:t>
            </w:r>
          </w:p>
        </w:tc>
        <w:tc>
          <w:tcPr>
            <w:tcW w:w="10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Adopt</w:t>
            </w:r>
          </w:p>
        </w:tc>
        <w:tc>
          <w:tcPr>
            <w:tcW w:w="109" w:type="dxa"/>
            <w:tcBorders/>
            <w:vAlign w:val="center"/>
          </w:tcPr>
          <w:p>
            <w:pPr>
              <w:pStyle w:val="TableContents"/>
              <w:bidi w:val="0"/>
              <w:spacing w:before="0" w:after="0"/>
              <w:ind w:left="0" w:right="0" w:hanging="0"/>
              <w:jc w:val="left"/>
              <w:rPr/>
            </w:pPr>
            <w:r>
              <w:rPr/>
              <w:t>​</w:t>
            </w:r>
          </w:p>
        </w:tc>
        <w:tc>
          <w:tcPr>
            <w:tcW w:w="109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25, 2024</w:t>
            </w:r>
          </w:p>
        </w:tc>
        <w:tc>
          <w:tcPr>
            <w:tcW w:w="109" w:type="dxa"/>
            <w:tcBorders/>
            <w:vAlign w:val="center"/>
          </w:tcPr>
          <w:p>
            <w:pPr>
              <w:pStyle w:val="TableContents"/>
              <w:bidi w:val="0"/>
              <w:spacing w:before="0" w:after="0"/>
              <w:ind w:left="0" w:right="0" w:hanging="0"/>
              <w:jc w:val="left"/>
              <w:rPr/>
            </w:pPr>
            <w:r>
              <w:rPr/>
              <w:t>​</w:t>
            </w:r>
          </w:p>
        </w:tc>
        <w:tc>
          <w:tcPr>
            <w:tcW w:w="23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26, 2024 to July 25, 2025</w:t>
            </w:r>
          </w:p>
        </w:tc>
        <w:tc>
          <w:tcPr>
            <w:tcW w:w="109" w:type="dxa"/>
            <w:tcBorders/>
            <w:vAlign w:val="center"/>
          </w:tcPr>
          <w:p>
            <w:pPr>
              <w:pStyle w:val="TableContents"/>
              <w:bidi w:val="0"/>
              <w:spacing w:before="0" w:after="0"/>
              <w:ind w:left="0" w:right="0" w:hanging="0"/>
              <w:jc w:val="left"/>
              <w:rPr/>
            </w:pPr>
            <w:r>
              <w:rPr/>
              <w:t>​</w:t>
            </w:r>
          </w:p>
        </w:tc>
        <w:tc>
          <w:tcPr>
            <w:tcW w:w="26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Up to 88,960</w:t>
            </w:r>
          </w:p>
        </w:tc>
      </w:tr>
      <w:tr>
        <w:trPr/>
        <w:tc>
          <w:tcPr>
            <w:tcW w:w="30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Alisher Nurmat</w:t>
              <w:br/>
            </w:r>
            <w:r>
              <w:rPr>
                <w:rFonts w:ascii="Times New Roman;Times;serif" w:hAnsi="Times New Roman;Times;serif"/>
                <w:i/>
                <w:sz w:val="20"/>
              </w:rPr>
              <w:t>Vice President, Accounting and Treasurer</w:t>
            </w:r>
          </w:p>
        </w:tc>
        <w:tc>
          <w:tcPr>
            <w:tcW w:w="109" w:type="dxa"/>
            <w:tcBorders/>
            <w:shd w:fill="CCEEFF" w:val="clear"/>
            <w:vAlign w:val="center"/>
          </w:tcPr>
          <w:p>
            <w:pPr>
              <w:pStyle w:val="TableContents"/>
              <w:bidi w:val="0"/>
              <w:spacing w:before="0" w:after="0"/>
              <w:ind w:left="0" w:right="0" w:hanging="0"/>
              <w:jc w:val="left"/>
              <w:rPr/>
            </w:pPr>
            <w:r>
              <w:rPr/>
              <w:t>​</w:t>
            </w:r>
          </w:p>
        </w:tc>
        <w:tc>
          <w:tcPr>
            <w:tcW w:w="6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Adopt</w:t>
            </w:r>
          </w:p>
        </w:tc>
        <w:tc>
          <w:tcPr>
            <w:tcW w:w="109" w:type="dxa"/>
            <w:tcBorders/>
            <w:shd w:fill="CCEEFF" w:val="clear"/>
            <w:vAlign w:val="center"/>
          </w:tcPr>
          <w:p>
            <w:pPr>
              <w:pStyle w:val="TableContents"/>
              <w:bidi w:val="0"/>
              <w:spacing w:before="0" w:after="0"/>
              <w:ind w:left="0" w:right="0" w:hanging="0"/>
              <w:jc w:val="left"/>
              <w:rPr/>
            </w:pPr>
            <w:r>
              <w:rPr/>
              <w:t>​</w:t>
            </w:r>
          </w:p>
        </w:tc>
        <w:tc>
          <w:tcPr>
            <w:tcW w:w="109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 2024</w:t>
            </w:r>
          </w:p>
        </w:tc>
        <w:tc>
          <w:tcPr>
            <w:tcW w:w="109" w:type="dxa"/>
            <w:tcBorders/>
            <w:shd w:fill="CCEEFF" w:val="clear"/>
            <w:vAlign w:val="center"/>
          </w:tcPr>
          <w:p>
            <w:pPr>
              <w:pStyle w:val="TableContents"/>
              <w:bidi w:val="0"/>
              <w:spacing w:before="0" w:after="0"/>
              <w:ind w:left="0" w:right="0" w:hanging="0"/>
              <w:jc w:val="left"/>
              <w:rPr/>
            </w:pPr>
            <w:r>
              <w:rPr/>
              <w:t>​</w:t>
            </w:r>
          </w:p>
        </w:tc>
        <w:tc>
          <w:tcPr>
            <w:tcW w:w="235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26, 2024 to July 25, 2025</w:t>
            </w:r>
          </w:p>
        </w:tc>
        <w:tc>
          <w:tcPr>
            <w:tcW w:w="109" w:type="dxa"/>
            <w:tcBorders/>
            <w:shd w:fill="CCEEFF" w:val="clear"/>
            <w:vAlign w:val="center"/>
          </w:tcPr>
          <w:p>
            <w:pPr>
              <w:pStyle w:val="TableContents"/>
              <w:bidi w:val="0"/>
              <w:spacing w:before="0" w:after="0"/>
              <w:ind w:left="0" w:right="0" w:hanging="0"/>
              <w:jc w:val="left"/>
              <w:rPr/>
            </w:pPr>
            <w:r>
              <w:rPr/>
              <w:t>​</w:t>
            </w:r>
          </w:p>
        </w:tc>
        <w:tc>
          <w:tcPr>
            <w:tcW w:w="2645"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Up to 37,058</w:t>
            </w:r>
          </w:p>
        </w:tc>
      </w:tr>
    </w:tbl>
    <w:p>
      <w:pPr>
        <w:pStyle w:val="TextBody"/>
        <w:bidi w:val="0"/>
        <w:spacing w:before="240" w:after="240"/>
        <w:ind w:left="0" w:right="0" w:firstLine="360"/>
        <w:jc w:val="left"/>
        <w:rPr>
          <w:rFonts w:ascii="Times New Roman;Times;serif" w:hAnsi="Times New Roman;Times;serif"/>
          <w:sz w:val="20"/>
        </w:rPr>
      </w:pPr>
      <w:r>
        <w:rPr>
          <w:rFonts w:ascii="Times New Roman;Times;serif" w:hAnsi="Times New Roman;Times;serif"/>
          <w:sz w:val="20"/>
        </w:rPr>
        <w:t>No other directors or officers, as defined in Rule 16a-1(f), adopted, modified and/or terminated a “Rule 10b5-1 trading arrangement,” or a “non-Rule 10b5-1 trading arrangement,” each as defined in Item 408 of Regulation S-K, during our last fiscal quarter.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38" w:name="Item6Exhibits_75368"/>
      <w:bookmarkStart w:id="1239" w:name="_7b3394b6_5666_4256_a184_9b0a538bf39d"/>
      <w:bookmarkEnd w:id="1238"/>
      <w:bookmarkEnd w:id="1239"/>
      <w:r>
        <w:rPr>
          <w:rFonts w:ascii="Times New Roman;Times;serif" w:hAnsi="Times New Roman;Times;serif"/>
          <w:b/>
          <w:sz w:val="20"/>
        </w:rPr>
        <w:t>Item 6. Exhibits.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exhibits listed below are filed or furnished as part of this report.</w:t>
      </w:r>
    </w:p>
    <w:tbl>
      <w:tblPr>
        <w:tblW w:w="10205" w:type="dxa"/>
        <w:jc w:val="left"/>
        <w:tblInd w:w="0" w:type="dxa"/>
        <w:tblLayout w:type="fixed"/>
        <w:tblCellMar>
          <w:top w:w="0" w:type="dxa"/>
          <w:left w:w="0" w:type="dxa"/>
          <w:bottom w:w="0" w:type="dxa"/>
          <w:right w:w="0" w:type="dxa"/>
        </w:tblCellMar>
      </w:tblPr>
      <w:tblGrid>
        <w:gridCol w:w="711"/>
        <w:gridCol w:w="326"/>
        <w:gridCol w:w="3452"/>
        <w:gridCol w:w="326"/>
        <w:gridCol w:w="526"/>
        <w:gridCol w:w="326"/>
        <w:gridCol w:w="711"/>
        <w:gridCol w:w="326"/>
        <w:gridCol w:w="1206"/>
        <w:gridCol w:w="326"/>
        <w:gridCol w:w="676"/>
        <w:gridCol w:w="326"/>
        <w:gridCol w:w="120"/>
        <w:gridCol w:w="570"/>
        <w:gridCol w:w="121"/>
        <w:gridCol w:w="156"/>
      </w:tblGrid>
      <w:tr>
        <w:trPr/>
        <w:tc>
          <w:tcPr>
            <w:tcW w:w="711"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4543" w:type="dxa"/>
            <w:gridSpan w:val="9"/>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c>
        <w:tc>
          <w:tcPr>
            <w:tcW w:w="570" w:type="dxa"/>
            <w:tcBorders/>
            <w:vAlign w:val="center"/>
          </w:tcPr>
          <w:p>
            <w:pPr>
              <w:pStyle w:val="TableHeading"/>
              <w:bidi w:val="0"/>
              <w:spacing w:before="0" w:after="0"/>
              <w:ind w:left="0" w:right="0" w:hanging="0"/>
              <w:jc w:val="left"/>
              <w:rPr/>
            </w:pPr>
            <w:r>
              <w:rPr/>
              <w:t>​</w:t>
            </w:r>
          </w:p>
        </w:tc>
        <w:tc>
          <w:tcPr>
            <w:tcW w:w="277" w:type="dxa"/>
            <w:gridSpan w:val="2"/>
            <w:tcBorders/>
            <w:vAlign w:val="center"/>
          </w:tcPr>
          <w:p>
            <w:pPr>
              <w:pStyle w:val="TableHeading"/>
              <w:bidi w:val="0"/>
              <w:spacing w:before="0" w:after="0"/>
              <w:ind w:left="0" w:right="0" w:hanging="0"/>
              <w:jc w:val="left"/>
              <w:rPr/>
            </w:pPr>
            <w:r>
              <w:rPr/>
              <w:t>​</w:t>
            </w:r>
          </w:p>
        </w:tc>
      </w:tr>
      <w:tr>
        <w:trPr/>
        <w:tc>
          <w:tcPr>
            <w:tcW w:w="10205" w:type="dxa"/>
            <w:gridSpan w:val="16"/>
            <w:tcBorders/>
            <w:vAlign w:val="center"/>
          </w:tcPr>
          <w:p>
            <w:pPr>
              <w:pStyle w:val="TableContents"/>
              <w:bidi w:val="0"/>
              <w:spacing w:before="0" w:after="283"/>
              <w:ind w:left="0" w:right="0" w:hanging="0"/>
              <w:jc w:val="left"/>
              <w:rPr>
                <w:sz w:val="4"/>
                <w:szCs w:val="4"/>
              </w:rPr>
            </w:pPr>
            <w:r>
              <w:rPr>
                <w:sz w:val="4"/>
                <w:szCs w:val="4"/>
              </w:rPr>
            </w:r>
          </w:p>
        </w:tc>
      </w:tr>
      <w:tr>
        <w:trPr/>
        <w:tc>
          <w:tcPr>
            <w:tcW w:w="711"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br/>
              <w:t>No.</w:t>
            </w:r>
          </w:p>
        </w:tc>
        <w:tc>
          <w:tcPr>
            <w:tcW w:w="326" w:type="dxa"/>
            <w:tcBorders/>
            <w:vAlign w:val="center"/>
          </w:tcPr>
          <w:p>
            <w:pPr>
              <w:pStyle w:val="TableHeading"/>
              <w:bidi w:val="0"/>
              <w:spacing w:before="0" w:after="0"/>
              <w:ind w:left="0" w:right="0" w:hanging="0"/>
              <w:jc w:val="left"/>
              <w:rPr/>
            </w:pPr>
            <w:r>
              <w:rPr/>
              <w:t>    </w:t>
            </w:r>
          </w:p>
        </w:tc>
        <w:tc>
          <w:tcPr>
            <w:tcW w:w="3452" w:type="dxa"/>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Description</w:t>
            </w:r>
          </w:p>
        </w:tc>
        <w:tc>
          <w:tcPr>
            <w:tcW w:w="326" w:type="dxa"/>
            <w:tcBorders/>
            <w:vAlign w:val="center"/>
          </w:tcPr>
          <w:p>
            <w:pPr>
              <w:pStyle w:val="TableHeading"/>
              <w:bidi w:val="0"/>
              <w:spacing w:before="0" w:after="0"/>
              <w:ind w:left="0" w:right="0" w:hanging="0"/>
              <w:jc w:val="left"/>
              <w:rPr/>
            </w:pPr>
            <w:r>
              <w:rPr/>
              <w:t>    </w:t>
            </w:r>
          </w:p>
        </w:tc>
        <w:tc>
          <w:tcPr>
            <w:tcW w:w="52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711"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 No.</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120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Filing Date</w:t>
            </w:r>
          </w:p>
        </w:tc>
        <w:tc>
          <w:tcPr>
            <w:tcW w:w="326" w:type="dxa"/>
            <w:tcBorders>
              <w:top w:val="single" w:sz="2" w:space="0" w:color="000000"/>
            </w:tcBorders>
            <w:tcMar>
              <w:top w:w="28" w:type="dxa"/>
            </w:tcMar>
            <w:vAlign w:val="center"/>
          </w:tcPr>
          <w:p>
            <w:pPr>
              <w:pStyle w:val="TableHeading"/>
              <w:bidi w:val="0"/>
              <w:spacing w:before="0" w:after="0"/>
              <w:ind w:left="0" w:right="0" w:hanging="0"/>
              <w:jc w:val="left"/>
              <w:rPr/>
            </w:pPr>
            <w:r>
              <w:rPr/>
              <w:t>    </w:t>
            </w:r>
          </w:p>
        </w:tc>
        <w:tc>
          <w:tcPr>
            <w:tcW w:w="676" w:type="dxa"/>
            <w:tcBorders>
              <w:top w:val="single" w:sz="2" w:space="0" w:color="000000"/>
              <w:bottom w:val="single" w:sz="2" w:space="0" w:color="000000"/>
            </w:tcBorders>
            <w:tcMar>
              <w:top w:w="28" w:type="dxa"/>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Exhibit</w:t>
            </w:r>
          </w:p>
        </w:tc>
        <w:tc>
          <w:tcPr>
            <w:tcW w:w="326" w:type="dxa"/>
            <w:tcBorders/>
            <w:vAlign w:val="center"/>
          </w:tcPr>
          <w:p>
            <w:pPr>
              <w:pStyle w:val="TableHeading"/>
              <w:bidi w:val="0"/>
              <w:spacing w:before="0" w:after="0"/>
              <w:ind w:left="0" w:right="0" w:hanging="0"/>
              <w:jc w:val="left"/>
              <w:rPr/>
            </w:pPr>
            <w:r>
              <w:rPr/>
              <w:t>    </w:t>
            </w:r>
          </w:p>
        </w:tc>
        <w:tc>
          <w:tcPr>
            <w:tcW w:w="811" w:type="dxa"/>
            <w:gridSpan w:val="3"/>
            <w:tcBorders>
              <w:bottom w:val="single" w:sz="2" w:space="0" w:color="000000"/>
            </w:tcBorders>
            <w:tcMar>
              <w:bottom w:w="28" w:type="dxa"/>
            </w:tcMar>
            <w:vAlign w:val="center"/>
          </w:tcPr>
          <w:p>
            <w:pPr>
              <w:pStyle w:val="TableHeading"/>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Filed</w:t>
              <w:br/>
              <w:t>Herewith</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top w:val="single" w:sz="2" w:space="0" w:color="000000"/>
            </w:tcBorders>
            <w:tcMar>
              <w:top w:w="28" w:type="dxa"/>
            </w:tcMar>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top w:val="single" w:sz="2" w:space="0" w:color="000000"/>
            </w:tcBorders>
            <w:tcMar>
              <w:top w:w="28" w:type="dxa"/>
            </w:tcMar>
            <w:vAlign w:val="center"/>
          </w:tcPr>
          <w:p>
            <w:pPr>
              <w:pStyle w:val="TableHeading"/>
              <w:bidi w:val="0"/>
              <w:spacing w:before="0" w:after="0"/>
              <w:ind w:left="0" w:right="0" w:hanging="0"/>
              <w:jc w:val="left"/>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Gevo, Inc.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10-K</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February 24, 2022</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Bylaws of Gevo, Inc.</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8-K</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001-35073</w:t>
            </w:r>
          </w:p>
        </w:tc>
        <w:tc>
          <w:tcPr>
            <w:tcW w:w="326" w:type="dxa"/>
            <w:tcBorders/>
            <w:vAlign w:val="center"/>
          </w:tcPr>
          <w:p>
            <w:pPr>
              <w:pStyle w:val="TableHeading"/>
              <w:bidi w:val="0"/>
              <w:spacing w:before="0" w:after="0"/>
              <w:ind w:left="0" w:right="0" w:hanging="0"/>
              <w:jc w:val="center"/>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November 24, 2021</w:t>
            </w:r>
          </w:p>
        </w:tc>
        <w:tc>
          <w:tcPr>
            <w:tcW w:w="32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w:t>
            </w:r>
          </w:p>
        </w:tc>
        <w:tc>
          <w:tcPr>
            <w:tcW w:w="326" w:type="dxa"/>
            <w:tcBorders/>
            <w:vAlign w:val="center"/>
          </w:tcPr>
          <w:p>
            <w:pPr>
              <w:pStyle w:val="TableHeading"/>
              <w:bidi w:val="0"/>
              <w:spacing w:before="0" w:after="0"/>
              <w:ind w:left="0" w:right="0" w:hanging="0"/>
              <w:jc w:val="center"/>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Form of Gevo, Inc. Common Stock Certificate.</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S-1</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333-168792</w:t>
            </w:r>
          </w:p>
        </w:tc>
        <w:tc>
          <w:tcPr>
            <w:tcW w:w="326" w:type="dxa"/>
            <w:tcBorders/>
            <w:vAlign w:val="center"/>
          </w:tcPr>
          <w:p>
            <w:pPr>
              <w:pStyle w:val="TableHeading"/>
              <w:bidi w:val="0"/>
              <w:spacing w:before="0" w:after="0"/>
              <w:ind w:left="0" w:right="0" w:hanging="0"/>
              <w:jc w:val="center"/>
              <w:rPr/>
            </w:pPr>
            <w:r>
              <w:rPr/>
              <w:t>​</w:t>
            </w:r>
          </w:p>
        </w:tc>
        <w:tc>
          <w:tcPr>
            <w:tcW w:w="120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January 19, 2011</w:t>
            </w:r>
          </w:p>
        </w:tc>
        <w:tc>
          <w:tcPr>
            <w:tcW w:w="326" w:type="dxa"/>
            <w:tcBorders/>
            <w:vAlign w:val="center"/>
          </w:tcPr>
          <w:p>
            <w:pPr>
              <w:pStyle w:val="TableHeading"/>
              <w:bidi w:val="0"/>
              <w:spacing w:before="0" w:after="0"/>
              <w:ind w:left="0" w:right="0" w:hanging="0"/>
              <w:jc w:val="center"/>
              <w:rPr/>
            </w:pPr>
            <w:r>
              <w:rPr/>
              <w:t>​</w:t>
            </w:r>
          </w:p>
        </w:tc>
        <w:tc>
          <w:tcPr>
            <w:tcW w:w="676"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4.1</w:t>
            </w:r>
          </w:p>
        </w:tc>
        <w:tc>
          <w:tcPr>
            <w:tcW w:w="326" w:type="dxa"/>
            <w:tcBorders/>
            <w:vAlign w:val="center"/>
          </w:tcPr>
          <w:p>
            <w:pPr>
              <w:pStyle w:val="TableHeading"/>
              <w:bidi w:val="0"/>
              <w:spacing w:before="0" w:after="0"/>
              <w:ind w:left="0" w:right="0" w:hanging="0"/>
              <w:jc w:val="center"/>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w:anchor="gevo-20240331xex31d1.htm">
              <w:r>
                <w:rPr>
                  <w:rStyle w:val="InternetLink"/>
                  <w:rFonts w:ascii="Times New Roman;Times;serif" w:hAnsi="Times New Roman;Times;serif"/>
                  <w:b w:val="false"/>
                  <w:i w:val="false"/>
                  <w:caps w:val="false"/>
                  <w:smallCaps w:val="false"/>
                  <w:sz w:val="20"/>
                </w:rPr>
                <w:t>Section 302 Certification of the Principal Executive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31.2</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w:anchor="gevo-20240331xex31d2.htm">
              <w:r>
                <w:rPr>
                  <w:rStyle w:val="InternetLink"/>
                  <w:rFonts w:ascii="Times New Roman;Times;serif" w:hAnsi="Times New Roman;Times;serif"/>
                  <w:b w:val="false"/>
                  <w:i w:val="false"/>
                  <w:caps w:val="false"/>
                  <w:smallCaps w:val="false"/>
                  <w:sz w:val="20"/>
                </w:rPr>
                <w:t>Section 302 Certification of the Principal Financial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32.1</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hyperlink w:anchor="gevo-20240331xex32.htm">
              <w:r>
                <w:rPr>
                  <w:rStyle w:val="InternetLink"/>
                  <w:rFonts w:ascii="Times New Roman;Times;serif" w:hAnsi="Times New Roman;Times;serif"/>
                  <w:b w:val="false"/>
                  <w:i w:val="false"/>
                  <w:caps w:val="false"/>
                  <w:smallCaps w:val="false"/>
                  <w:sz w:val="20"/>
                </w:rPr>
                <w:t>Section 906 Certification of the Principal Executive Officer and Principal Financial Officer.</w:t>
              </w:r>
            </w:hyperlink>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101.INS</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Instance Document (the Instance Document does not appear in the Interactive Data File because its XBRL tags are embedded within the Inline XBRL document)</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101.SCH</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Schema</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101.CAL</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Calculation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101.DEF</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Definition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101.LAB</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Label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101.PRE</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Inline XBRL Taxonomy Extension Presentation Linkbase</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pPr>
            <w:r>
              <w:rPr/>
              <w:t>  </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pPr>
            <w:r>
              <w:rPr/>
              <w:t>​</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11" w:type="dxa"/>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104</w:t>
            </w:r>
          </w:p>
        </w:tc>
        <w:tc>
          <w:tcPr>
            <w:tcW w:w="326" w:type="dxa"/>
            <w:tcBorders/>
            <w:vAlign w:val="center"/>
          </w:tcPr>
          <w:p>
            <w:pPr>
              <w:pStyle w:val="TableHeading"/>
              <w:bidi w:val="0"/>
              <w:spacing w:before="0" w:after="0"/>
              <w:ind w:left="0" w:right="0" w:hanging="0"/>
              <w:jc w:val="left"/>
              <w:rPr/>
            </w:pPr>
            <w:r>
              <w:rPr/>
              <w:t>​</w:t>
            </w:r>
          </w:p>
        </w:tc>
        <w:tc>
          <w:tcPr>
            <w:tcW w:w="3452" w:type="dxa"/>
            <w:tcBorders/>
            <w:vAlign w:val="center"/>
          </w:tcPr>
          <w:p>
            <w:pPr>
              <w:pStyle w:val="TableHeading"/>
              <w:bidi w:val="0"/>
              <w:spacing w:before="0" w:after="0"/>
              <w:ind w:left="0" w:right="0" w:hanging="0"/>
              <w:jc w:val="left"/>
              <w:rPr>
                <w:rFonts w:ascii="Times New Roman;Times;serif" w:hAnsi="Times New Roman;Times;serif"/>
                <w:b w:val="false"/>
                <w:sz w:val="18"/>
              </w:rPr>
            </w:pPr>
            <w:r>
              <w:rPr>
                <w:rFonts w:ascii="Times New Roman;Times;serif" w:hAnsi="Times New Roman;Times;serif"/>
                <w:b w:val="false"/>
                <w:sz w:val="18"/>
              </w:rPr>
              <w:t>Cover Page Interactive Data File (embedded within the Inline XBRL document and contained in Exhibit 101)</w:t>
            </w:r>
          </w:p>
        </w:tc>
        <w:tc>
          <w:tcPr>
            <w:tcW w:w="326" w:type="dxa"/>
            <w:tcBorders/>
            <w:vAlign w:val="center"/>
          </w:tcPr>
          <w:p>
            <w:pPr>
              <w:pStyle w:val="TableHeading"/>
              <w:bidi w:val="0"/>
              <w:spacing w:before="0" w:after="0"/>
              <w:ind w:left="0" w:right="0" w:hanging="0"/>
              <w:jc w:val="left"/>
              <w:rPr/>
            </w:pPr>
            <w:r>
              <w:rPr/>
              <w:t>​</w:t>
            </w:r>
          </w:p>
        </w:tc>
        <w:tc>
          <w:tcPr>
            <w:tcW w:w="52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711"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120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676" w:type="dxa"/>
            <w:tcBorders/>
            <w:vAlign w:val="center"/>
          </w:tcPr>
          <w:p>
            <w:pPr>
              <w:pStyle w:val="TableHeading"/>
              <w:bidi w:val="0"/>
              <w:spacing w:before="0" w:after="0"/>
              <w:ind w:left="0" w:right="0" w:hanging="0"/>
              <w:jc w:val="center"/>
              <w:rPr/>
            </w:pPr>
            <w:r>
              <w:rPr/>
              <w:t>​</w:t>
            </w:r>
          </w:p>
        </w:tc>
        <w:tc>
          <w:tcPr>
            <w:tcW w:w="326" w:type="dxa"/>
            <w:tcBorders/>
            <w:vAlign w:val="center"/>
          </w:tcPr>
          <w:p>
            <w:pPr>
              <w:pStyle w:val="TableHeading"/>
              <w:bidi w:val="0"/>
              <w:spacing w:before="0" w:after="0"/>
              <w:ind w:left="0" w:right="0" w:hanging="0"/>
              <w:jc w:val="left"/>
              <w:rPr/>
            </w:pPr>
            <w:r>
              <w:rPr/>
              <w:t>​</w:t>
            </w:r>
          </w:p>
        </w:tc>
        <w:tc>
          <w:tcPr>
            <w:tcW w:w="811" w:type="dxa"/>
            <w:gridSpan w:val="3"/>
            <w:tcBorders/>
            <w:vAlign w:val="center"/>
          </w:tcPr>
          <w:p>
            <w:pPr>
              <w:pStyle w:val="TableHeading"/>
              <w:bidi w:val="0"/>
              <w:spacing w:before="0" w:after="0"/>
              <w:ind w:left="0" w:right="0" w:hanging="0"/>
              <w:jc w:val="center"/>
              <w:rPr>
                <w:rFonts w:ascii="Times New Roman;Times;serif" w:hAnsi="Times New Roman;Times;serif"/>
                <w:b w:val="false"/>
                <w:sz w:val="18"/>
              </w:rPr>
            </w:pPr>
            <w:r>
              <w:rPr>
                <w:rFonts w:ascii="Times New Roman;Times;serif" w:hAnsi="Times New Roman;Times;serif"/>
                <w:b w:val="false"/>
                <w:sz w:val="18"/>
              </w:rPr>
              <w:t>X</w:t>
            </w:r>
          </w:p>
        </w:tc>
        <w:tc>
          <w:tcPr>
            <w:tcW w:w="15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40" w:name="SIGNATURES_446651"/>
      <w:bookmarkStart w:id="1241" w:name="_d5f40e34_b845_4543_b0a7_e5eb900e2f91"/>
      <w:bookmarkEnd w:id="1240"/>
      <w:bookmarkEnd w:id="1241"/>
      <w:r>
        <w:rPr>
          <w:rFonts w:ascii="Times New Roman;Times;serif" w:hAnsi="Times New Roman;Times;serif"/>
          <w:b/>
          <w:sz w:val="20"/>
        </w:rPr>
        <w:t>SIGNATURES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5691" w:type="dxa"/>
        <w:jc w:val="left"/>
        <w:tblInd w:w="0" w:type="dxa"/>
        <w:tblLayout w:type="fixed"/>
        <w:tblCellMar>
          <w:top w:w="0" w:type="dxa"/>
          <w:left w:w="0" w:type="dxa"/>
          <w:bottom w:w="0" w:type="dxa"/>
          <w:right w:w="0" w:type="dxa"/>
        </w:tblCellMar>
      </w:tblPr>
      <w:tblGrid>
        <w:gridCol w:w="421"/>
        <w:gridCol w:w="5116"/>
        <w:gridCol w:w="154"/>
      </w:tblGrid>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Gevo, Inc.</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(REGISTRANT)</w:t>
            </w:r>
          </w:p>
        </w:tc>
        <w:tc>
          <w:tcPr>
            <w:tcW w:w="154" w:type="dxa"/>
            <w:tcBorders/>
            <w:vAlign w:val="center"/>
          </w:tcPr>
          <w:p>
            <w:pPr>
              <w:pStyle w:val="TableContents"/>
              <w:bidi w:val="0"/>
              <w:spacing w:before="0" w:after="0"/>
              <w:ind w:left="0" w:right="0" w:hanging="0"/>
              <w:jc w:val="center"/>
              <w:rPr/>
            </w:pPr>
            <w:r>
              <w:rPr/>
              <w:t>​</w:t>
            </w:r>
          </w:p>
        </w:tc>
      </w:tr>
      <w:tr>
        <w:trPr/>
        <w:tc>
          <w:tcPr>
            <w:tcW w:w="5537"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1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Alisher Nurmat</w:t>
            </w:r>
          </w:p>
        </w:tc>
        <w:tc>
          <w:tcPr>
            <w:tcW w:w="154" w:type="dxa"/>
            <w:tcBorders/>
            <w:vAlign w:val="center"/>
          </w:tcPr>
          <w:p>
            <w:pPr>
              <w:pStyle w:val="TableContents"/>
              <w:bidi w:val="0"/>
              <w:spacing w:before="0" w:after="0"/>
              <w:ind w:left="0" w:right="0" w:hanging="0"/>
              <w:jc w:val="center"/>
              <w:rPr/>
            </w:pPr>
            <w:r>
              <w:rPr/>
              <w:t>​</w:t>
            </w:r>
          </w:p>
        </w:tc>
      </w:tr>
      <w:tr>
        <w:trPr/>
        <w:tc>
          <w:tcPr>
            <w:tcW w:w="421" w:type="dxa"/>
            <w:tcBorders/>
            <w:vAlign w:val="center"/>
          </w:tcPr>
          <w:p>
            <w:pPr>
              <w:pStyle w:val="TableContents"/>
              <w:bidi w:val="0"/>
              <w:spacing w:before="0" w:after="0"/>
              <w:ind w:left="0" w:right="0" w:hanging="0"/>
              <w:jc w:val="center"/>
              <w:rPr/>
            </w:pPr>
            <w:r>
              <w:rPr/>
              <w:t>​</w:t>
            </w:r>
          </w:p>
        </w:tc>
        <w:tc>
          <w:tcPr>
            <w:tcW w:w="511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Alisher Nurmat, CPA</w:t>
              <w:br/>
              <w:t>Vice President of Accounting and Treasurer</w:t>
              <w:br/>
              <w:t>(Duly Authorized Officer and Principal Accounting Officer)</w:t>
            </w:r>
          </w:p>
        </w:tc>
        <w:tc>
          <w:tcPr>
            <w:tcW w:w="154"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Date: May 2, 2024</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120"/>
        <w:ind w:left="0" w:right="0" w:hanging="0"/>
        <w:jc w:val="right"/>
        <w:rPr>
          <w:rFonts w:ascii="Times New Roman;Times;serif" w:hAnsi="Times New Roman;Times;serif"/>
          <w:b/>
          <w:sz w:val="20"/>
        </w:rPr>
      </w:pPr>
      <w:bookmarkStart w:id="1242" w:name="gevo-20240331xex31d1.htm"/>
      <w:bookmarkStart w:id="1243" w:name="ksgevo20240331xex31d1"/>
      <w:bookmarkEnd w:id="1242"/>
      <w:bookmarkEnd w:id="1243"/>
      <w:r>
        <w:rPr>
          <w:rFonts w:ascii="Times New Roman;Times;serif" w:hAnsi="Times New Roman;Times;serif"/>
          <w:b/>
          <w:sz w:val="20"/>
        </w:rPr>
        <w:t>Exhibit 31.1</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Patrick R. Gruber,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2,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266" w:type="dxa"/>
        <w:jc w:val="left"/>
        <w:tblInd w:w="0" w:type="dxa"/>
        <w:tblLayout w:type="fixed"/>
        <w:tblCellMar>
          <w:top w:w="0" w:type="dxa"/>
          <w:left w:w="0" w:type="dxa"/>
          <w:bottom w:w="0" w:type="dxa"/>
          <w:right w:w="0" w:type="dxa"/>
        </w:tblCellMar>
      </w:tblPr>
      <w:tblGrid>
        <w:gridCol w:w="2266"/>
      </w:tblGrid>
      <w:tr>
        <w:trPr/>
        <w:tc>
          <w:tcPr>
            <w:tcW w:w="2266" w:type="dxa"/>
            <w:tcBorders/>
            <w:vAlign w:val="center"/>
          </w:tcPr>
          <w:p>
            <w:pPr>
              <w:pStyle w:val="TableContents"/>
              <w:bidi w:val="0"/>
              <w:spacing w:before="0" w:after="0"/>
              <w:ind w:left="0" w:right="0" w:hanging="0"/>
              <w:jc w:val="left"/>
              <w:rPr/>
            </w:pPr>
            <w:r>
              <w:rPr/>
              <w:t>​</w:t>
            </w:r>
          </w:p>
        </w:tc>
      </w:tr>
      <w:tr>
        <w:trPr/>
        <w:tc>
          <w:tcPr>
            <w:tcW w:w="226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26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244" w:name="gevo-20240331xex31d2.htm"/>
      <w:bookmarkStart w:id="1245" w:name="ksgevo20240331xex31d2"/>
      <w:bookmarkEnd w:id="1244"/>
      <w:bookmarkEnd w:id="1245"/>
      <w:r>
        <w:rPr>
          <w:rFonts w:ascii="Times New Roman;Times;serif" w:hAnsi="Times New Roman;Times;serif"/>
          <w:b/>
          <w:sz w:val="20"/>
        </w:rPr>
        <w:t>Exhibit 31.2</w:t>
      </w:r>
      <w:r>
        <w:br w:type="page"/>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L. Lynn Smull, certify that:</w:t>
      </w:r>
    </w:p>
    <w:tbl>
      <w:tblPr>
        <w:tblW w:w="7015" w:type="dxa"/>
        <w:jc w:val="left"/>
        <w:tblInd w:w="0" w:type="dxa"/>
        <w:tblLayout w:type="fixed"/>
        <w:tblCellMar>
          <w:top w:w="0" w:type="dxa"/>
          <w:left w:w="0" w:type="dxa"/>
          <w:bottom w:w="0" w:type="dxa"/>
          <w:right w:w="0" w:type="dxa"/>
        </w:tblCellMar>
      </w:tblPr>
      <w:tblGrid>
        <w:gridCol w:w="170"/>
        <w:gridCol w:w="6845"/>
      </w:tblGrid>
      <w:tr>
        <w:trPr/>
        <w:tc>
          <w:tcPr>
            <w:tcW w:w="170"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1.</w:t>
            </w:r>
          </w:p>
        </w:tc>
        <w:tc>
          <w:tcPr>
            <w:tcW w:w="68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I have reviewed this Quarterly Report on Form 10-Q of Gevo, Inc. (the “Registrant”);</w:t>
            </w:r>
          </w:p>
        </w:tc>
      </w:tr>
    </w:tbl>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2,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28" w:type="dxa"/>
          <w:right w:w="0" w:type="dxa"/>
        </w:tblCellMar>
      </w:tblPr>
      <w:tblGrid>
        <w:gridCol w:w="2386"/>
      </w:tblGrid>
      <w:tr>
        <w:trPr/>
        <w:tc>
          <w:tcPr>
            <w:tcW w:w="2386" w:type="dxa"/>
            <w:tcBorders>
              <w:bottom w:val="single" w:sz="2" w:space="0" w:color="000000"/>
            </w:tcBorders>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L. Lynn Smull</w:t>
            </w:r>
          </w:p>
        </w:tc>
      </w:tr>
      <w:tr>
        <w:trPr/>
        <w:tc>
          <w:tcPr>
            <w:tcW w:w="2386" w:type="dxa"/>
            <w:tcBorders>
              <w:top w:val="single" w:sz="2" w:space="0" w:color="000000"/>
            </w:tcBorders>
            <w:tcMar>
              <w:top w:w="28" w:type="dxa"/>
              <w:bottom w:w="0"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L. Lynn Smull</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right"/>
        <w:rPr>
          <w:rFonts w:ascii="Times New Roman;Times;serif" w:hAnsi="Times New Roman;Times;serif"/>
          <w:b/>
          <w:sz w:val="20"/>
        </w:rPr>
      </w:pPr>
      <w:bookmarkStart w:id="1246" w:name="gevo-20240331xex32.htm"/>
      <w:bookmarkStart w:id="1247" w:name="ksgevo20240331xex32"/>
      <w:bookmarkEnd w:id="1246"/>
      <w:bookmarkEnd w:id="1247"/>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CERTIFICATIONS PURSUANT TO SECTION 906 OF THE SARBANES-OXLEY ACT OF 2002</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 Patrick R. Gruber, Chief Executive Officer of Gevo, Inc. (the "Company"), and I, L. Lynn Smull, Chief Financial Officer of the Company, certify, pursuant to 18 U.S.C. Section 1350, as adopted pursuant to Section 906 of the Sarbanes-Oxley Act of 2002, that: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(1) The Quarterly Report on Form 10-Q of the Company for the quarter ended March 31, 2024 (the "Report"), fully complies with the requirements of Section 13(a) or 15(d) of the Securities Exchange Act of 1934, as amended;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for the period covered by the Report.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386" w:type="dxa"/>
        <w:jc w:val="left"/>
        <w:tblInd w:w="0" w:type="dxa"/>
        <w:tblLayout w:type="fixed"/>
        <w:tblCellMar>
          <w:top w:w="0" w:type="dxa"/>
          <w:left w:w="0" w:type="dxa"/>
          <w:bottom w:w="0" w:type="dxa"/>
          <w:right w:w="0" w:type="dxa"/>
        </w:tblCellMar>
      </w:tblPr>
      <w:tblGrid>
        <w:gridCol w:w="2386"/>
      </w:tblGrid>
      <w:tr>
        <w:trPr/>
        <w:tc>
          <w:tcPr>
            <w:tcW w:w="2386" w:type="dxa"/>
            <w:tcBorders/>
            <w:vAlign w:val="center"/>
          </w:tcPr>
          <w:p>
            <w:pPr>
              <w:pStyle w:val="TableContents"/>
              <w:bidi w:val="0"/>
              <w:spacing w:before="0" w:after="2"/>
              <w:ind w:left="0" w:right="0" w:hanging="0"/>
              <w:jc w:val="left"/>
              <w:rPr/>
            </w:pPr>
            <w:r>
              <w:rPr/>
              <w:t>​</w:t>
            </w:r>
          </w:p>
          <w:p>
            <w:pPr>
              <w:pStyle w:val="TableContents"/>
              <w:bidi w:val="0"/>
              <w:spacing w:before="0" w:after="30"/>
              <w:ind w:left="0" w:right="0" w:hanging="0"/>
              <w:jc w:val="left"/>
              <w:rPr/>
            </w:pPr>
            <w:r>
              <w:rPr/>
              <w:t>​</w:t>
            </w:r>
          </w:p>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2"/>
              <w:ind w:left="0" w:right="0" w:hanging="0"/>
              <w:jc w:val="left"/>
              <w:rPr>
                <w:rFonts w:ascii="Times New Roman;Times;serif" w:hAnsi="Times New Roman;Times;serif"/>
                <w:sz w:val="20"/>
              </w:rPr>
            </w:pPr>
            <w:r>
              <w:rPr>
                <w:rFonts w:ascii="Times New Roman;Times;serif" w:hAnsi="Times New Roman;Times;serif"/>
                <w:sz w:val="20"/>
              </w:rPr>
              <w:t>Date: May 2, 2024</w:t>
            </w:r>
          </w:p>
          <w:p>
            <w:pPr>
              <w:pStyle w:val="TableContents"/>
              <w:bidi w:val="0"/>
              <w:spacing w:before="0" w:after="3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Patrick R. Gruber</w:t>
            </w:r>
          </w:p>
        </w:tc>
      </w:tr>
      <w:tr>
        <w:trPr/>
        <w:tc>
          <w:tcPr>
            <w:tcW w:w="23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Patrick R. Gruber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Chief Executive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Executive Officer)</w: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1515110" cy="175260"/>
                      <wp:effectExtent l="0" t="0" r="0" b="0"/>
                      <wp:wrapNone/>
                      <wp:docPr id="390" name="Frame390"/>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515110" cy="175260"/>
                      <wp:effectExtent l="0" t="0" r="0" b="0"/>
                      <wp:wrapNone/>
                      <wp:docPr id="391" name="Frame391"/>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515110" cy="175260"/>
                      <wp:effectExtent l="0" t="0" r="0" b="0"/>
                      <wp:wrapNone/>
                      <wp:docPr id="392" name="Frame392"/>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bottom w:val="single" w:sz="2" w:space="0" w:color="000000"/>
            </w:tcBorders>
            <w:tcMar>
              <w:bottom w:w="28" w:type="dxa"/>
            </w:tcMar>
            <w:vAlign w:val="center"/>
          </w:tcPr>
          <w:p>
            <w:pPr>
              <w:pStyle w:val="TableContents"/>
              <w:bidi w:val="0"/>
              <w:spacing w:before="0" w:after="30"/>
              <w:ind w:left="0" w:right="0" w:hanging="0"/>
              <w:jc w:val="center"/>
              <w:rPr>
                <w:rFonts w:ascii="Times New Roman;Times;serif" w:hAnsi="Times New Roman;Times;serif"/>
                <w:sz w:val="20"/>
              </w:rPr>
            </w:pPr>
            <w:r>
              <w:rPr>
                <w:rFonts w:ascii="Times New Roman;Times;serif" w:hAnsi="Times New Roman;Times;serif"/>
                <w:sz w:val="20"/>
              </w:rPr>
              <w:t>/s/ L. Lynn Smull</w:t>
            </w:r>
          </w:p>
        </w:tc>
      </w:tr>
      <w:tr>
        <w:trPr/>
        <w:tc>
          <w:tcPr>
            <w:tcW w:w="2386" w:type="dxa"/>
            <w:tcBorders>
              <w:top w:val="single" w:sz="2" w:space="0" w:color="000000"/>
            </w:tcBorders>
            <w:tcMar>
              <w:top w:w="28" w:type="dxa"/>
            </w:tcMar>
            <w:vAlign w:val="center"/>
          </w:tcPr>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L. Lynn Smull</w:t>
            </w:r>
          </w:p>
          <w:p>
            <w:pPr>
              <w:pStyle w:val="TableContents"/>
              <w:bidi w:val="0"/>
              <w:spacing w:before="0" w:after="2"/>
              <w:ind w:left="0" w:right="0" w:hanging="0"/>
              <w:jc w:val="center"/>
              <w:rPr>
                <w:rFonts w:ascii="Times New Roman;Times;serif" w:hAnsi="Times New Roman;Times;serif"/>
                <w:b/>
                <w:sz w:val="16"/>
              </w:rPr>
            </w:pPr>
            <w:r>
              <w:rPr>
                <w:rFonts w:ascii="Times New Roman;Times;serif" w:hAnsi="Times New Roman;Times;serif"/>
                <w:b/>
                <w:sz w:val="16"/>
              </w:rPr>
              <w:t>Chief Financial Officer</w:t>
            </w:r>
          </w:p>
          <w:p>
            <w:pPr>
              <w:pStyle w:val="TableContents"/>
              <w:bidi w:val="0"/>
              <w:spacing w:before="0" w:after="30"/>
              <w:ind w:left="0" w:right="0" w:hanging="0"/>
              <w:jc w:val="center"/>
              <w:rPr>
                <w:rFonts w:ascii="Times New Roman;Times;serif" w:hAnsi="Times New Roman;Times;serif"/>
                <w:b/>
                <w:sz w:val="16"/>
              </w:rPr>
            </w:pPr>
            <w:r>
              <w:rPr>
                <w:rFonts w:ascii="Times New Roman;Times;serif" w:hAnsi="Times New Roman;Times;serif"/>
                <w:b/>
                <w:sz w:val="16"/>
              </w:rPr>
              <w:t>(Principal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2380/000143774922004346/ex_337695.htm" TargetMode="External"/><Relationship Id="rId3" Type="http://schemas.openxmlformats.org/officeDocument/2006/relationships/hyperlink" Target="https://www.sec.gov/Archives/edgar/data/1392380/000143774921027382/ex_310252.htm" TargetMode="External"/><Relationship Id="rId4" Type="http://schemas.openxmlformats.org/officeDocument/2006/relationships/hyperlink" Target="https://www.sec.gov/Archives/edgar/data/1392380/000119312511009935/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19508</Words>
  <Characters>107342</Characters>
  <CharactersWithSpaces>128184</CharactersWithSpaces>
  <Paragraphs>5203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