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103505</wp:posOffset>
            </wp:positionV>
            <wp:extent cx="193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48260</wp:posOffset>
            </wp:positionV>
            <wp:extent cx="193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81" w:lineRule="exact"/>
        <w:rPr>
          <w:sz w:val="24"/>
          <w:szCs w:val="24"/>
          <w:color w:val="auto"/>
        </w:rPr>
      </w:pPr>
    </w:p>
    <w:p>
      <w:pPr>
        <w:ind w:left="3980" w:right="2480" w:hanging="3975"/>
        <w:spacing w:after="0" w:line="320" w:lineRule="auto"/>
        <w:tabs>
          <w:tab w:leader="none" w:pos="204"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OR</w:t>
      </w:r>
    </w:p>
    <w:p>
      <w:pPr>
        <w:spacing w:after="0" w:line="66" w:lineRule="exact"/>
        <w:rPr>
          <w:sz w:val="24"/>
          <w:szCs w:val="24"/>
          <w:color w:val="auto"/>
        </w:rPr>
      </w:pPr>
    </w:p>
    <w:p>
      <w:pPr>
        <w:ind w:left="2960" w:right="2120" w:hanging="2955"/>
        <w:spacing w:after="0" w:line="320" w:lineRule="auto"/>
        <w:tabs>
          <w:tab w:leader="none" w:pos="198"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________________ to ________________</w:t>
      </w:r>
    </w:p>
    <w:p>
      <w:pPr>
        <w:spacing w:after="0" w:line="1" w:lineRule="exact"/>
        <w:rPr>
          <w:rFonts w:ascii="MS PGothic" w:cs="MS PGothic" w:eastAsia="MS PGothic" w:hAnsi="MS PGothic"/>
          <w:sz w:val="17"/>
          <w:szCs w:val="17"/>
          <w:color w:val="auto"/>
        </w:rPr>
      </w:pPr>
    </w:p>
    <w:p>
      <w:pPr>
        <w:ind w:left="42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69850</wp:posOffset>
            </wp:positionV>
            <wp:extent cx="3004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241" w:lineRule="exact"/>
        <w:rPr>
          <w:sz w:val="24"/>
          <w:szCs w:val="24"/>
          <w:color w:val="auto"/>
        </w:rPr>
      </w:pPr>
    </w:p>
    <w:tbl>
      <w:tblPr>
        <w:tblLayout w:type="fixed"/>
        <w:tblInd w:w="700" w:type="dxa"/>
        <w:tblCellMar>
          <w:top w:w="0" w:type="dxa"/>
          <w:left w:w="0" w:type="dxa"/>
          <w:bottom w:w="0" w:type="dxa"/>
          <w:right w:w="0" w:type="dxa"/>
        </w:tblCellMar>
      </w:tblPr>
      <w:tr>
        <w:trPr>
          <w:trHeight w:val="472"/>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38"/>
                <w:szCs w:val="38"/>
                <w:b w:val="1"/>
                <w:bCs w:val="1"/>
                <w:color w:val="auto"/>
              </w:rPr>
              <w:t>GEVO, INC.</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79"/>
        </w:trPr>
        <w:tc>
          <w:tcPr>
            <w:tcW w:w="25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2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Delaware</w:t>
            </w:r>
          </w:p>
        </w:tc>
        <w:tc>
          <w:tcPr>
            <w:tcW w:w="6120" w:type="dxa"/>
            <w:vAlign w:val="bottom"/>
            <w:gridSpan w:val="2"/>
          </w:tcPr>
          <w:p>
            <w:pPr>
              <w:jc w:val="right"/>
              <w:ind w:right="133"/>
              <w:spacing w:after="0"/>
              <w:rPr>
                <w:sz w:val="20"/>
                <w:szCs w:val="20"/>
                <w:color w:val="auto"/>
              </w:rPr>
            </w:pPr>
            <w:r>
              <w:rPr>
                <w:rFonts w:ascii="Arial" w:cs="Arial" w:eastAsia="Arial" w:hAnsi="Arial"/>
                <w:sz w:val="17"/>
                <w:szCs w:val="17"/>
                <w:b w:val="1"/>
                <w:bCs w:val="1"/>
                <w:color w:val="auto"/>
              </w:rPr>
              <w:t>87-0747704</w:t>
            </w:r>
          </w:p>
        </w:tc>
        <w:tc>
          <w:tcPr>
            <w:tcW w:w="0" w:type="dxa"/>
            <w:vAlign w:val="bottom"/>
          </w:tcPr>
          <w:p>
            <w:pPr>
              <w:spacing w:after="0"/>
              <w:rPr>
                <w:sz w:val="1"/>
                <w:szCs w:val="1"/>
                <w:color w:val="auto"/>
              </w:rPr>
            </w:pPr>
          </w:p>
        </w:tc>
      </w:tr>
      <w:tr>
        <w:trPr>
          <w:trHeight w:val="184"/>
        </w:trPr>
        <w:tc>
          <w:tcPr>
            <w:tcW w:w="2940" w:type="dxa"/>
            <w:vAlign w:val="bottom"/>
            <w:gridSpan w:val="2"/>
          </w:tcPr>
          <w:p>
            <w:pPr>
              <w:jc w:val="center"/>
              <w:ind w:right="80"/>
              <w:spacing w:after="0" w:line="184" w:lineRule="exact"/>
              <w:rPr>
                <w:sz w:val="20"/>
                <w:szCs w:val="20"/>
                <w:color w:val="auto"/>
              </w:rPr>
            </w:pPr>
            <w:r>
              <w:rPr>
                <w:rFonts w:ascii="Arial" w:cs="Arial" w:eastAsia="Arial" w:hAnsi="Arial"/>
                <w:sz w:val="17"/>
                <w:szCs w:val="17"/>
                <w:color w:val="auto"/>
                <w:w w:val="94"/>
              </w:rPr>
              <w:t>(State or other jurisdiction of</w:t>
            </w:r>
          </w:p>
        </w:tc>
        <w:tc>
          <w:tcPr>
            <w:tcW w:w="4340" w:type="dxa"/>
            <w:vAlign w:val="bottom"/>
          </w:tcPr>
          <w:p>
            <w:pPr>
              <w:spacing w:after="0"/>
              <w:rPr>
                <w:sz w:val="15"/>
                <w:szCs w:val="15"/>
                <w:color w:val="auto"/>
              </w:rPr>
            </w:pPr>
          </w:p>
        </w:tc>
        <w:tc>
          <w:tcPr>
            <w:tcW w:w="1780" w:type="dxa"/>
            <w:vAlign w:val="bottom"/>
          </w:tcPr>
          <w:p>
            <w:pPr>
              <w:jc w:val="center"/>
              <w:ind w:left="393"/>
              <w:spacing w:after="0" w:line="184" w:lineRule="exact"/>
              <w:rPr>
                <w:sz w:val="20"/>
                <w:szCs w:val="20"/>
                <w:color w:val="auto"/>
              </w:rPr>
            </w:pPr>
            <w:r>
              <w:rPr>
                <w:rFonts w:ascii="Arial" w:cs="Arial" w:eastAsia="Arial" w:hAnsi="Arial"/>
                <w:sz w:val="17"/>
                <w:szCs w:val="17"/>
                <w:color w:val="auto"/>
                <w:w w:val="94"/>
              </w:rPr>
              <w:t>(I.R.S. Employer</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incorporation or organization)</w:t>
            </w:r>
          </w:p>
        </w:tc>
        <w:tc>
          <w:tcPr>
            <w:tcW w:w="4340" w:type="dxa"/>
            <w:vAlign w:val="bottom"/>
          </w:tcPr>
          <w:p>
            <w:pPr>
              <w:spacing w:after="0"/>
              <w:rPr>
                <w:sz w:val="19"/>
                <w:szCs w:val="19"/>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color w:val="auto"/>
                <w:w w:val="98"/>
              </w:rPr>
              <w:t>Identification No.)</w:t>
            </w:r>
          </w:p>
        </w:tc>
        <w:tc>
          <w:tcPr>
            <w:tcW w:w="0" w:type="dxa"/>
            <w:vAlign w:val="bottom"/>
          </w:tcPr>
          <w:p>
            <w:pPr>
              <w:spacing w:after="0"/>
              <w:rPr>
                <w:sz w:val="1"/>
                <w:szCs w:val="1"/>
                <w:color w:val="auto"/>
              </w:rPr>
            </w:pPr>
          </w:p>
        </w:tc>
      </w:tr>
      <w:tr>
        <w:trPr>
          <w:trHeight w:val="302"/>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345 Inverness Drive South,</w:t>
            </w:r>
          </w:p>
        </w:tc>
        <w:tc>
          <w:tcPr>
            <w:tcW w:w="4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940" w:type="dxa"/>
            <w:vAlign w:val="bottom"/>
            <w:gridSpan w:val="2"/>
          </w:tcPr>
          <w:p>
            <w:pPr>
              <w:jc w:val="center"/>
              <w:ind w:right="60"/>
              <w:spacing w:after="0" w:line="170" w:lineRule="exact"/>
              <w:rPr>
                <w:sz w:val="20"/>
                <w:szCs w:val="20"/>
                <w:color w:val="auto"/>
              </w:rPr>
            </w:pPr>
            <w:r>
              <w:rPr>
                <w:rFonts w:ascii="Arial" w:cs="Arial" w:eastAsia="Arial" w:hAnsi="Arial"/>
                <w:sz w:val="17"/>
                <w:szCs w:val="17"/>
                <w:color w:val="auto"/>
                <w:w w:val="95"/>
              </w:rPr>
              <w:t>Building C, Suite 310</w:t>
            </w:r>
          </w:p>
        </w:tc>
        <w:tc>
          <w:tcPr>
            <w:tcW w:w="6120" w:type="dxa"/>
            <w:vAlign w:val="bottom"/>
            <w:gridSpan w:val="2"/>
            <w:vMerge w:val="restart"/>
          </w:tcPr>
          <w:p>
            <w:pPr>
              <w:jc w:val="right"/>
              <w:ind w:right="353"/>
              <w:spacing w:after="0"/>
              <w:rPr>
                <w:sz w:val="20"/>
                <w:szCs w:val="20"/>
                <w:color w:val="auto"/>
              </w:rPr>
            </w:pPr>
            <w:r>
              <w:rPr>
                <w:rFonts w:ascii="Arial" w:cs="Arial" w:eastAsia="Arial" w:hAnsi="Arial"/>
                <w:sz w:val="17"/>
                <w:szCs w:val="17"/>
                <w:b w:val="1"/>
                <w:bCs w:val="1"/>
                <w:color w:val="auto"/>
              </w:rPr>
              <w:t>80112</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Englewood, CO</w:t>
            </w:r>
          </w:p>
        </w:tc>
        <w:tc>
          <w:tcPr>
            <w:tcW w:w="6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0"/>
              </w:rPr>
              <w:t>(Address of principal executive offices)</w:t>
            </w:r>
          </w:p>
        </w:tc>
        <w:tc>
          <w:tcPr>
            <w:tcW w:w="4340" w:type="dxa"/>
            <w:vAlign w:val="bottom"/>
          </w:tcPr>
          <w:p>
            <w:pPr>
              <w:spacing w:after="0"/>
              <w:rPr>
                <w:sz w:val="21"/>
                <w:szCs w:val="21"/>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b w:val="1"/>
                <w:bCs w:val="1"/>
                <w:color w:val="auto"/>
                <w:w w:val="97"/>
              </w:rPr>
              <w:t>(Zip Code)</w:t>
            </w:r>
          </w:p>
        </w:tc>
        <w:tc>
          <w:tcPr>
            <w:tcW w:w="0" w:type="dxa"/>
            <w:vAlign w:val="bottom"/>
          </w:tcPr>
          <w:p>
            <w:pPr>
              <w:spacing w:after="0"/>
              <w:rPr>
                <w:sz w:val="1"/>
                <w:szCs w:val="1"/>
                <w:color w:val="auto"/>
              </w:rPr>
            </w:pPr>
          </w:p>
        </w:tc>
      </w:tr>
      <w:tr>
        <w:trPr>
          <w:trHeight w:val="288"/>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40" w:type="dxa"/>
            <w:vAlign w:val="bottom"/>
          </w:tcPr>
          <w:p>
            <w:pPr>
              <w:jc w:val="center"/>
              <w:ind w:right="275"/>
              <w:spacing w:after="0"/>
              <w:rPr>
                <w:sz w:val="20"/>
                <w:szCs w:val="20"/>
                <w:color w:val="auto"/>
              </w:rPr>
            </w:pPr>
            <w:r>
              <w:rPr>
                <w:rFonts w:ascii="Arial" w:cs="Arial" w:eastAsia="Arial" w:hAnsi="Arial"/>
                <w:sz w:val="17"/>
                <w:szCs w:val="17"/>
                <w:b w:val="1"/>
                <w:bCs w:val="1"/>
                <w:color w:val="auto"/>
                <w:w w:val="92"/>
              </w:rPr>
              <w:t>(303) 858-8358</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17"/>
                <w:szCs w:val="17"/>
                <w:color w:val="auto"/>
                <w:w w:val="92"/>
              </w:rPr>
              <w:t>(Registrant’s telephone number, including area code)</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Title of Each Class</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Trading Symbol</w:t>
            </w:r>
          </w:p>
        </w:tc>
        <w:tc>
          <w:tcPr>
            <w:tcW w:w="100" w:type="dxa"/>
            <w:vAlign w:val="bottom"/>
          </w:tcPr>
          <w:p>
            <w:pPr>
              <w:spacing w:after="0"/>
              <w:rPr>
                <w:sz w:val="20"/>
                <w:szCs w:val="20"/>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Name of Each Exchange on Which Registered</w:t>
            </w:r>
          </w:p>
        </w:tc>
      </w:tr>
      <w:tr>
        <w:trPr>
          <w:trHeight w:val="235"/>
        </w:trPr>
        <w:tc>
          <w:tcPr>
            <w:tcW w:w="43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Common Stock, par value $0.01 per share</w:t>
            </w:r>
          </w:p>
        </w:tc>
        <w:tc>
          <w:tcPr>
            <w:tcW w:w="17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GEVO</w:t>
            </w:r>
          </w:p>
        </w:tc>
        <w:tc>
          <w:tcPr>
            <w:tcW w:w="4240" w:type="dxa"/>
            <w:vAlign w:val="bottom"/>
          </w:tcPr>
          <w:p>
            <w:pPr>
              <w:jc w:val="center"/>
              <w:spacing w:after="0"/>
              <w:rPr>
                <w:sz w:val="20"/>
                <w:szCs w:val="20"/>
                <w:color w:val="auto"/>
              </w:rPr>
            </w:pPr>
            <w:r>
              <w:rPr>
                <w:rFonts w:ascii="Arial" w:cs="Arial" w:eastAsia="Arial" w:hAnsi="Arial"/>
                <w:sz w:val="17"/>
                <w:szCs w:val="17"/>
                <w:b w:val="1"/>
                <w:bCs w:val="1"/>
                <w:color w:val="auto"/>
                <w:w w:val="96"/>
              </w:rPr>
              <w:t>The Nasdaq Stock Market LLC</w:t>
            </w:r>
          </w:p>
        </w:tc>
      </w:tr>
    </w:tbl>
    <w:p>
      <w:pPr>
        <w:spacing w:after="0" w:line="17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32" w:lineRule="exact"/>
        <w:rPr>
          <w:sz w:val="24"/>
          <w:szCs w:val="24"/>
          <w:color w:val="auto"/>
        </w:rPr>
      </w:pPr>
    </w:p>
    <w:p>
      <w:pPr>
        <w:ind w:left="5440"/>
        <w:spacing w:after="0"/>
        <w:rPr>
          <w:sz w:val="20"/>
          <w:szCs w:val="20"/>
          <w:color w:val="auto"/>
        </w:rPr>
      </w:pPr>
      <w:r>
        <w:rPr>
          <w:rFonts w:ascii="Arial" w:cs="Arial" w:eastAsia="Arial" w:hAnsi="Arial"/>
          <w:sz w:val="17"/>
          <w:szCs w:val="17"/>
          <w:b w:val="1"/>
          <w:bCs w:val="1"/>
          <w:color w:val="auto"/>
        </w:rPr>
        <w:t>None</w:t>
      </w:r>
    </w:p>
    <w:p>
      <w:pPr>
        <w:spacing w:after="0" w:line="126" w:lineRule="exact"/>
        <w:rPr>
          <w:sz w:val="24"/>
          <w:szCs w:val="24"/>
          <w:color w:val="auto"/>
        </w:rPr>
      </w:pPr>
    </w:p>
    <w:p>
      <w:pPr>
        <w:ind w:left="640"/>
        <w:spacing w:after="0" w:line="196"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4" w:lineRule="exact"/>
        <w:rPr>
          <w:sz w:val="24"/>
          <w:szCs w:val="24"/>
          <w:color w:val="auto"/>
        </w:rPr>
      </w:pPr>
    </w:p>
    <w:p>
      <w:pPr>
        <w:ind w:left="64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right="380" w:firstLine="627"/>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jc w:val="both"/>
        <w:ind w:right="240" w:firstLine="627"/>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6" w:lineRule="exact"/>
        <w:rPr>
          <w:sz w:val="24"/>
          <w:szCs w:val="24"/>
          <w:color w:val="auto"/>
        </w:rPr>
      </w:pPr>
    </w:p>
    <w:p>
      <w:pPr>
        <w:ind w:right="240" w:firstLine="627"/>
        <w:spacing w:after="0" w:line="26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9"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24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780" w:type="dxa"/>
            <w:vAlign w:val="bottom"/>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ind w:left="740"/>
              <w:spacing w:after="0"/>
              <w:rPr>
                <w:sz w:val="20"/>
                <w:szCs w:val="20"/>
                <w:color w:val="auto"/>
              </w:rPr>
            </w:pPr>
            <w:r>
              <w:rPr>
                <w:rFonts w:ascii="Arial" w:cs="Arial" w:eastAsia="Arial" w:hAnsi="Arial"/>
                <w:sz w:val="17"/>
                <w:szCs w:val="17"/>
                <w:color w:val="auto"/>
              </w:rPr>
              <w:t>Accelerated filer</w:t>
            </w:r>
          </w:p>
        </w:tc>
        <w:tc>
          <w:tcPr>
            <w:tcW w:w="1080" w:type="dxa"/>
            <w:vAlign w:val="bottom"/>
          </w:tcPr>
          <w:p>
            <w:pPr>
              <w:ind w:left="9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8"/>
        </w:trPr>
        <w:tc>
          <w:tcPr>
            <w:tcW w:w="2440" w:type="dxa"/>
            <w:vAlign w:val="bottom"/>
          </w:tcPr>
          <w:p>
            <w:pPr>
              <w:spacing w:after="0"/>
              <w:rPr>
                <w:sz w:val="20"/>
                <w:szCs w:val="20"/>
                <w:color w:val="auto"/>
              </w:rPr>
            </w:pPr>
            <w:r>
              <w:rPr>
                <w:rFonts w:ascii="Arial" w:cs="Arial" w:eastAsia="Arial" w:hAnsi="Arial"/>
                <w:sz w:val="17"/>
                <w:szCs w:val="17"/>
                <w:color w:val="auto"/>
              </w:rPr>
              <w:t>Non-accelerated filer</w:t>
            </w:r>
          </w:p>
        </w:tc>
        <w:tc>
          <w:tcPr>
            <w:tcW w:w="1780" w:type="dxa"/>
            <w:vAlign w:val="bottom"/>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ind w:left="740"/>
              <w:spacing w:after="0"/>
              <w:rPr>
                <w:sz w:val="20"/>
                <w:szCs w:val="20"/>
                <w:color w:val="auto"/>
              </w:rPr>
            </w:pPr>
            <w:r>
              <w:rPr>
                <w:rFonts w:ascii="Arial" w:cs="Arial" w:eastAsia="Arial" w:hAnsi="Arial"/>
                <w:sz w:val="17"/>
                <w:szCs w:val="17"/>
                <w:color w:val="auto"/>
              </w:rPr>
              <w:t>Smaller reporting company</w:t>
            </w:r>
          </w:p>
        </w:tc>
        <w:tc>
          <w:tcPr>
            <w:tcW w:w="1080" w:type="dxa"/>
            <w:vAlign w:val="bottom"/>
          </w:tcPr>
          <w:p>
            <w:pPr>
              <w:ind w:left="9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24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560" w:type="dxa"/>
            <w:vAlign w:val="bottom"/>
          </w:tcPr>
          <w:p>
            <w:pPr>
              <w:ind w:left="740"/>
              <w:spacing w:after="0"/>
              <w:rPr>
                <w:sz w:val="20"/>
                <w:szCs w:val="20"/>
                <w:color w:val="auto"/>
              </w:rPr>
            </w:pPr>
            <w:r>
              <w:rPr>
                <w:rFonts w:ascii="Arial" w:cs="Arial" w:eastAsia="Arial" w:hAnsi="Arial"/>
                <w:sz w:val="17"/>
                <w:szCs w:val="17"/>
                <w:color w:val="auto"/>
              </w:rPr>
              <w:t>Emerging growth company</w:t>
            </w:r>
          </w:p>
        </w:tc>
        <w:tc>
          <w:tcPr>
            <w:tcW w:w="1080" w:type="dxa"/>
            <w:vAlign w:val="bottom"/>
          </w:tcPr>
          <w:p>
            <w:pPr>
              <w:ind w:left="9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42" w:lineRule="exact"/>
        <w:rPr>
          <w:sz w:val="24"/>
          <w:szCs w:val="24"/>
          <w:color w:val="auto"/>
        </w:rPr>
      </w:pPr>
    </w:p>
    <w:p>
      <w:pPr>
        <w:jc w:val="both"/>
        <w:ind w:right="180" w:firstLine="627"/>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8" w:lineRule="exact"/>
        <w:rPr>
          <w:sz w:val="24"/>
          <w:szCs w:val="24"/>
          <w:color w:val="auto"/>
        </w:rPr>
      </w:pPr>
    </w:p>
    <w:p>
      <w:pPr>
        <w:jc w:val="both"/>
        <w:ind w:right="180" w:firstLine="627"/>
        <w:spacing w:after="0" w:line="211"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0" w:lineRule="exact"/>
        <w:rPr>
          <w:sz w:val="24"/>
          <w:szCs w:val="24"/>
          <w:color w:val="auto"/>
        </w:rPr>
      </w:pPr>
    </w:p>
    <w:p>
      <w:pPr>
        <w:ind w:firstLine="627"/>
        <w:spacing w:after="0" w:line="245"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auto"/>
        </w:rPr>
        <w:t>☐</w:t>
      </w:r>
    </w:p>
    <w:p>
      <w:pPr>
        <w:spacing w:after="0" w:line="190" w:lineRule="exact"/>
        <w:rPr>
          <w:sz w:val="24"/>
          <w:szCs w:val="24"/>
          <w:color w:val="auto"/>
        </w:rPr>
      </w:pPr>
    </w:p>
    <w:p>
      <w:pPr>
        <w:ind w:right="420" w:firstLine="627"/>
        <w:spacing w:after="0" w:line="245"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20"/>
          <w:szCs w:val="20"/>
          <w:color w:val="auto"/>
        </w:rPr>
        <w:t>☐</w:t>
      </w:r>
    </w:p>
    <w:p>
      <w:pPr>
        <w:spacing w:after="0" w:line="93" w:lineRule="exact"/>
        <w:rPr>
          <w:sz w:val="24"/>
          <w:szCs w:val="24"/>
          <w:color w:val="auto"/>
        </w:rPr>
      </w:pPr>
    </w:p>
    <w:p>
      <w:pPr>
        <w:ind w:left="6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00"/>
          </w:cols>
          <w:pgMar w:left="320" w:top="232" w:right="379" w:bottom="157" w:gutter="0" w:footer="0" w:header="0"/>
        </w:sectPr>
      </w:pPr>
    </w:p>
    <w:bookmarkStart w:id="1" w:name="page2"/>
    <w:bookmarkEnd w:id="1"/>
    <w:p>
      <w:pPr>
        <w:ind w:firstLine="627"/>
        <w:spacing w:after="0" w:line="252" w:lineRule="auto"/>
        <w:rPr>
          <w:sz w:val="20"/>
          <w:szCs w:val="20"/>
          <w:color w:val="auto"/>
        </w:rPr>
      </w:pPr>
      <w:r>
        <w:rPr>
          <w:rFonts w:ascii="Arial" w:cs="Arial" w:eastAsia="Arial" w:hAnsi="Arial"/>
          <w:sz w:val="17"/>
          <w:szCs w:val="17"/>
          <w:color w:val="auto"/>
        </w:rPr>
        <w:t>The aggregate market value of common equity held by non-affiliates of the registrant was approximately $0.6 billion as of June 30, 2022, the last trading day of the registrant’s most recently completed second fiscal quarter, based on the closing price of the common stock as reported on the Nasdaq Capital Market on June 30, 2022.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January 31, 2023, the number of outstanding shares of the registrant’s common stock, par value $0.01 per share, was 237,166,625.</w:t>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190" w:lineRule="exact"/>
        <w:rPr>
          <w:sz w:val="20"/>
          <w:szCs w:val="20"/>
          <w:color w:val="auto"/>
        </w:rPr>
      </w:pPr>
    </w:p>
    <w:p>
      <w:pPr>
        <w:ind w:right="160" w:firstLine="627"/>
        <w:spacing w:after="0" w:line="272" w:lineRule="auto"/>
        <w:rPr>
          <w:sz w:val="20"/>
          <w:szCs w:val="20"/>
          <w:color w:val="auto"/>
        </w:rPr>
      </w:pPr>
      <w:r>
        <w:rPr>
          <w:rFonts w:ascii="Arial" w:cs="Arial" w:eastAsia="Arial" w:hAnsi="Arial"/>
          <w:sz w:val="17"/>
          <w:szCs w:val="17"/>
          <w:color w:val="auto"/>
        </w:rPr>
        <w:t>Part III of this Annual Report on Form 10-K incorporates certain information by reference from the registrant’s proxy statement for the 2023 annual meeting of stockholders to be filed no later than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543560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400" w:type="dxa"/>
            <w:vAlign w:val="bottom"/>
            <w:gridSpan w:val="9"/>
          </w:tcPr>
          <w:p>
            <w:pPr>
              <w:spacing w:after="0"/>
              <w:rPr>
                <w:sz w:val="20"/>
                <w:szCs w:val="20"/>
                <w:color w:val="auto"/>
              </w:rPr>
            </w:pPr>
            <w:r>
              <w:rPr>
                <w:rFonts w:ascii="Arial" w:cs="Arial" w:eastAsia="Arial" w:hAnsi="Arial"/>
                <w:sz w:val="17"/>
                <w:szCs w:val="17"/>
                <w:color w:val="0000FF"/>
              </w:rPr>
              <w:t>Table of Contents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803"/>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60" w:type="dxa"/>
            <w:vAlign w:val="bottom"/>
            <w:gridSpan w:val="8"/>
          </w:tcPr>
          <w:p>
            <w:pPr>
              <w:jc w:val="center"/>
              <w:ind w:right="3760"/>
              <w:spacing w:after="0"/>
              <w:rPr>
                <w:sz w:val="20"/>
                <w:szCs w:val="20"/>
                <w:color w:val="auto"/>
              </w:rPr>
            </w:pPr>
            <w:r>
              <w:rPr>
                <w:rFonts w:ascii="Arial" w:cs="Arial" w:eastAsia="Arial" w:hAnsi="Arial"/>
                <w:sz w:val="17"/>
                <w:szCs w:val="17"/>
                <w:b w:val="1"/>
                <w:bCs w:val="1"/>
                <w:color w:val="auto"/>
              </w:rPr>
              <w:t>GEVO,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60" w:type="dxa"/>
            <w:vAlign w:val="bottom"/>
            <w:gridSpan w:val="9"/>
          </w:tcPr>
          <w:p>
            <w:pPr>
              <w:jc w:val="center"/>
              <w:ind w:right="3340"/>
              <w:spacing w:after="0"/>
              <w:rPr>
                <w:sz w:val="20"/>
                <w:szCs w:val="20"/>
                <w:color w:val="auto"/>
              </w:rPr>
            </w:pPr>
            <w:r>
              <w:rPr>
                <w:rFonts w:ascii="Arial" w:cs="Arial" w:eastAsia="Arial" w:hAnsi="Arial"/>
                <w:sz w:val="17"/>
                <w:szCs w:val="17"/>
                <w:b w:val="1"/>
                <w:bCs w:val="1"/>
                <w:color w:val="auto"/>
              </w:rPr>
              <w:t>FORM 10-K—ANNUAL REPORT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gridSpan w:val="11"/>
          </w:tcPr>
          <w:p>
            <w:pPr>
              <w:jc w:val="center"/>
              <w:ind w:right="2520"/>
              <w:spacing w:after="0"/>
              <w:rPr>
                <w:sz w:val="20"/>
                <w:szCs w:val="20"/>
                <w:color w:val="auto"/>
              </w:rPr>
            </w:pPr>
            <w:r>
              <w:rPr>
                <w:rFonts w:ascii="Arial" w:cs="Arial" w:eastAsia="Arial" w:hAnsi="Arial"/>
                <w:sz w:val="17"/>
                <w:szCs w:val="17"/>
                <w:b w:val="1"/>
                <w:bCs w:val="1"/>
                <w:color w:val="auto"/>
              </w:rPr>
              <w:t>FOR THE FISCAL YEAR ENDED DECEMBER 31, 2022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gridSpan w:val="8"/>
          </w:tcPr>
          <w:p>
            <w:pPr>
              <w:jc w:val="center"/>
              <w:ind w:right="3740"/>
              <w:spacing w:after="0"/>
              <w:rPr>
                <w:sz w:val="20"/>
                <w:szCs w:val="20"/>
                <w:color w:val="auto"/>
              </w:rPr>
            </w:pPr>
            <w:r>
              <w:rPr>
                <w:rFonts w:ascii="Arial" w:cs="Arial" w:eastAsia="Arial" w:hAnsi="Arial"/>
                <w:sz w:val="17"/>
                <w:szCs w:val="17"/>
                <w:b w:val="1"/>
                <w:bCs w:val="1"/>
                <w:color w:val="auto"/>
              </w:rPr>
              <w:t>TABLE OF CONTENTS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gridSpan w:val="5"/>
          </w:tcPr>
          <w:p>
            <w:pPr>
              <w:ind w:left="240"/>
              <w:spacing w:after="0"/>
              <w:rPr>
                <w:sz w:val="20"/>
                <w:szCs w:val="20"/>
                <w:color w:val="auto"/>
              </w:rPr>
            </w:pPr>
            <w:r>
              <w:rPr>
                <w:rFonts w:ascii="Arial" w:cs="Arial" w:eastAsia="Arial" w:hAnsi="Arial"/>
                <w:sz w:val="17"/>
                <w:szCs w:val="17"/>
                <w:b w:val="1"/>
                <w:bCs w:val="1"/>
                <w:color w:val="auto"/>
              </w:rPr>
              <w:t>Page</w:t>
            </w:r>
          </w:p>
        </w:tc>
      </w:tr>
      <w:tr>
        <w:trPr>
          <w:trHeight w:val="183"/>
        </w:trPr>
        <w:tc>
          <w:tcPr>
            <w:tcW w:w="20" w:type="dxa"/>
            <w:vAlign w:val="bottom"/>
          </w:tcPr>
          <w:p>
            <w:pPr>
              <w:spacing w:after="0"/>
              <w:rPr>
                <w:sz w:val="15"/>
                <w:szCs w:val="15"/>
                <w:color w:val="auto"/>
              </w:rPr>
            </w:pPr>
          </w:p>
        </w:tc>
        <w:tc>
          <w:tcPr>
            <w:tcW w:w="1380" w:type="dxa"/>
            <w:vAlign w:val="bottom"/>
            <w:gridSpan w:val="8"/>
          </w:tcPr>
          <w:p>
            <w:pPr>
              <w:spacing w:after="0" w:line="183" w:lineRule="exact"/>
              <w:rPr>
                <w:sz w:val="20"/>
                <w:szCs w:val="20"/>
                <w:color w:val="auto"/>
              </w:rPr>
            </w:pPr>
            <w:r>
              <w:rPr>
                <w:rFonts w:ascii="Arial" w:cs="Arial" w:eastAsia="Arial" w:hAnsi="Arial"/>
                <w:sz w:val="17"/>
                <w:szCs w:val="17"/>
                <w:b w:val="1"/>
                <w:bCs w:val="1"/>
                <w:color w:val="3051F2"/>
              </w:rPr>
              <w:t>PART I</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 and 2.</w:t>
            </w:r>
          </w:p>
        </w:tc>
        <w:tc>
          <w:tcPr>
            <w:tcW w:w="1680" w:type="dxa"/>
            <w:vAlign w:val="bottom"/>
            <w:gridSpan w:val="6"/>
          </w:tcPr>
          <w:p>
            <w:pPr>
              <w:spacing w:after="0"/>
              <w:rPr>
                <w:sz w:val="20"/>
                <w:szCs w:val="20"/>
                <w:color w:val="auto"/>
              </w:rPr>
            </w:pPr>
            <w:r>
              <w:rPr>
                <w:rFonts w:ascii="Arial" w:cs="Arial" w:eastAsia="Arial" w:hAnsi="Arial"/>
                <w:sz w:val="17"/>
                <w:szCs w:val="17"/>
                <w:color w:val="3051F2"/>
                <w:w w:val="90"/>
              </w:rPr>
              <w:t>Business and Properties</w:t>
            </w:r>
          </w:p>
        </w:tc>
        <w:tc>
          <w:tcPr>
            <w:tcW w:w="7300" w:type="dxa"/>
            <w:vAlign w:val="bottom"/>
            <w:gridSpan w:val="14"/>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1A.</w:t>
            </w:r>
          </w:p>
        </w:tc>
        <w:tc>
          <w:tcPr>
            <w:tcW w:w="1680" w:type="dxa"/>
            <w:vAlign w:val="bottom"/>
            <w:gridSpan w:val="6"/>
          </w:tcPr>
          <w:p>
            <w:pPr>
              <w:spacing w:after="0"/>
              <w:rPr>
                <w:sz w:val="20"/>
                <w:szCs w:val="20"/>
                <w:color w:val="auto"/>
              </w:rPr>
            </w:pPr>
            <w:r>
              <w:rPr>
                <w:rFonts w:ascii="Arial" w:cs="Arial" w:eastAsia="Arial" w:hAnsi="Arial"/>
                <w:sz w:val="17"/>
                <w:szCs w:val="17"/>
                <w:color w:val="3051F2"/>
              </w:rPr>
              <w:t>Risk Factors</w:t>
            </w:r>
          </w:p>
        </w:tc>
        <w:tc>
          <w:tcPr>
            <w:tcW w:w="7300" w:type="dxa"/>
            <w:vAlign w:val="bottom"/>
            <w:gridSpan w:val="14"/>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17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1B.</w:t>
            </w:r>
          </w:p>
        </w:tc>
        <w:tc>
          <w:tcPr>
            <w:tcW w:w="8980" w:type="dxa"/>
            <w:vAlign w:val="bottom"/>
            <w:gridSpan w:val="20"/>
          </w:tcPr>
          <w:p>
            <w:pPr>
              <w:spacing w:after="0"/>
              <w:rPr>
                <w:sz w:val="20"/>
                <w:szCs w:val="20"/>
                <w:color w:val="auto"/>
              </w:rPr>
            </w:pPr>
            <w:r>
              <w:rPr>
                <w:rFonts w:ascii="Arial" w:cs="Arial" w:eastAsia="Arial" w:hAnsi="Arial"/>
                <w:sz w:val="17"/>
                <w:szCs w:val="17"/>
                <w:color w:val="3051F2"/>
              </w:rPr>
              <w:t>Unresolved Staff Comments</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35</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3.</w:t>
            </w:r>
          </w:p>
        </w:tc>
        <w:tc>
          <w:tcPr>
            <w:tcW w:w="1500" w:type="dxa"/>
            <w:vAlign w:val="bottom"/>
            <w:tcBorders>
              <w:top w:val="single" w:sz="8" w:color="3051F2"/>
              <w:bottom w:val="single" w:sz="8" w:color="3051F2"/>
            </w:tcBorders>
            <w:gridSpan w:val="5"/>
          </w:tcPr>
          <w:p>
            <w:pPr>
              <w:spacing w:after="0"/>
              <w:rPr>
                <w:sz w:val="20"/>
                <w:szCs w:val="20"/>
                <w:color w:val="auto"/>
              </w:rPr>
            </w:pPr>
            <w:r>
              <w:rPr>
                <w:rFonts w:ascii="Arial" w:cs="Arial" w:eastAsia="Arial" w:hAnsi="Arial"/>
                <w:sz w:val="17"/>
                <w:szCs w:val="17"/>
                <w:color w:val="3051F2"/>
              </w:rPr>
              <w:t>Legal Proceedings</w:t>
            </w:r>
          </w:p>
        </w:tc>
        <w:tc>
          <w:tcPr>
            <w:tcW w:w="480" w:type="dxa"/>
            <w:vAlign w:val="bottom"/>
            <w:tcBorders>
              <w:top w:val="single" w:sz="8" w:color="3051F2"/>
            </w:tcBorders>
            <w:gridSpan w:val="4"/>
          </w:tcPr>
          <w:p>
            <w:pPr>
              <w:spacing w:after="0"/>
              <w:rPr>
                <w:sz w:val="19"/>
                <w:szCs w:val="19"/>
                <w:color w:val="auto"/>
              </w:rPr>
            </w:pPr>
          </w:p>
        </w:tc>
        <w:tc>
          <w:tcPr>
            <w:tcW w:w="7000" w:type="dxa"/>
            <w:vAlign w:val="bottom"/>
            <w:gridSpan w:val="11"/>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3051F2"/>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4.</w:t>
            </w:r>
          </w:p>
        </w:tc>
        <w:tc>
          <w:tcPr>
            <w:tcW w:w="8980" w:type="dxa"/>
            <w:vAlign w:val="bottom"/>
            <w:gridSpan w:val="20"/>
          </w:tcPr>
          <w:p>
            <w:pPr>
              <w:spacing w:after="0"/>
              <w:rPr>
                <w:sz w:val="20"/>
                <w:szCs w:val="20"/>
                <w:color w:val="auto"/>
              </w:rPr>
            </w:pPr>
            <w:r>
              <w:rPr>
                <w:rFonts w:ascii="Arial" w:cs="Arial" w:eastAsia="Arial" w:hAnsi="Arial"/>
                <w:sz w:val="17"/>
                <w:szCs w:val="17"/>
                <w:color w:val="3051F2"/>
              </w:rPr>
              <w:t>Mine Safety Disclosures</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35</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40" w:type="dxa"/>
            <w:vAlign w:val="bottom"/>
            <w:tcBorders>
              <w:bottom w:val="single" w:sz="8" w:color="3051F2"/>
            </w:tcBorders>
            <w:gridSpan w:val="3"/>
          </w:tcPr>
          <w:p>
            <w:pPr>
              <w:spacing w:after="0"/>
              <w:rPr>
                <w:sz w:val="20"/>
                <w:szCs w:val="20"/>
                <w:color w:val="auto"/>
              </w:rPr>
            </w:pPr>
            <w:r>
              <w:rPr>
                <w:rFonts w:ascii="Arial" w:cs="Arial" w:eastAsia="Arial" w:hAnsi="Arial"/>
                <w:sz w:val="17"/>
                <w:szCs w:val="17"/>
                <w:b w:val="1"/>
                <w:bCs w:val="1"/>
                <w:color w:val="3051F2"/>
              </w:rPr>
              <w:t>PART II</w:t>
            </w:r>
          </w:p>
        </w:tc>
        <w:tc>
          <w:tcPr>
            <w:tcW w:w="740" w:type="dxa"/>
            <w:vAlign w:val="bottom"/>
            <w:gridSpan w:val="5"/>
          </w:tcPr>
          <w:p>
            <w:pPr>
              <w:spacing w:after="0"/>
              <w:rPr>
                <w:sz w:val="19"/>
                <w:szCs w:val="19"/>
                <w:color w:val="auto"/>
              </w:rPr>
            </w:pPr>
          </w:p>
        </w:tc>
        <w:tc>
          <w:tcPr>
            <w:tcW w:w="78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400" w:type="dxa"/>
            <w:vAlign w:val="bottom"/>
            <w:tcBorders>
              <w:top w:val="single" w:sz="8" w:color="3051F2"/>
            </w:tcBorders>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200" w:type="dxa"/>
            <w:vAlign w:val="bottom"/>
            <w:tcBorders>
              <w:top w:val="single" w:sz="8" w:color="3051F2"/>
            </w:tcBorders>
          </w:tcPr>
          <w:p>
            <w:pPr>
              <w:spacing w:after="0"/>
              <w:rPr>
                <w:sz w:val="19"/>
                <w:szCs w:val="19"/>
                <w:color w:val="auto"/>
              </w:rPr>
            </w:pPr>
          </w:p>
        </w:tc>
        <w:tc>
          <w:tcPr>
            <w:tcW w:w="180" w:type="dxa"/>
            <w:vAlign w:val="bottom"/>
            <w:tcBorders>
              <w:top w:val="single" w:sz="8" w:color="3051F2"/>
            </w:tcBorders>
          </w:tcPr>
          <w:p>
            <w:pPr>
              <w:spacing w:after="0"/>
              <w:rPr>
                <w:sz w:val="19"/>
                <w:szCs w:val="19"/>
                <w:color w:val="auto"/>
              </w:rPr>
            </w:pPr>
          </w:p>
        </w:tc>
        <w:tc>
          <w:tcPr>
            <w:tcW w:w="40" w:type="dxa"/>
            <w:vAlign w:val="bottom"/>
            <w:tcBorders>
              <w:top w:val="single" w:sz="8" w:color="3051F2"/>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80" w:type="dxa"/>
            <w:vAlign w:val="bottom"/>
            <w:tcBorders>
              <w:top w:val="single" w:sz="8" w:color="3051F2"/>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5.</w:t>
            </w:r>
          </w:p>
        </w:tc>
        <w:tc>
          <w:tcPr>
            <w:tcW w:w="8980" w:type="dxa"/>
            <w:vAlign w:val="bottom"/>
            <w:gridSpan w:val="20"/>
          </w:tcPr>
          <w:p>
            <w:pPr>
              <w:spacing w:after="0"/>
              <w:rPr>
                <w:sz w:val="20"/>
                <w:szCs w:val="20"/>
                <w:color w:val="auto"/>
              </w:rPr>
            </w:pPr>
            <w:r>
              <w:rPr>
                <w:rFonts w:ascii="Arial" w:cs="Arial" w:eastAsia="Arial" w:hAnsi="Arial"/>
                <w:sz w:val="17"/>
                <w:szCs w:val="17"/>
                <w:color w:val="3051F2"/>
              </w:rPr>
              <w:t>Market for Registrant’s Common Equity, Related Stockholder Matters and Issuer Purchases of Equity Securities</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36</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6.</w:t>
            </w:r>
          </w:p>
        </w:tc>
        <w:tc>
          <w:tcPr>
            <w:tcW w:w="78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7"/>
                <w:szCs w:val="17"/>
                <w:color w:val="3051F2"/>
                <w:w w:val="92"/>
              </w:rPr>
              <w:t>[Reserved]</w:t>
            </w:r>
          </w:p>
        </w:tc>
        <w:tc>
          <w:tcPr>
            <w:tcW w:w="7040" w:type="dxa"/>
            <w:vAlign w:val="bottom"/>
            <w:tcBorders>
              <w:top w:val="single" w:sz="8" w:color="3051F2"/>
            </w:tcBorders>
            <w:gridSpan w:val="18"/>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3051F2"/>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7.</w:t>
            </w:r>
          </w:p>
        </w:tc>
        <w:tc>
          <w:tcPr>
            <w:tcW w:w="6280" w:type="dxa"/>
            <w:vAlign w:val="bottom"/>
            <w:tcBorders>
              <w:bottom w:val="single" w:sz="8" w:color="3051F2"/>
            </w:tcBorders>
            <w:gridSpan w:val="17"/>
          </w:tcPr>
          <w:p>
            <w:pPr>
              <w:spacing w:after="0"/>
              <w:rPr>
                <w:sz w:val="20"/>
                <w:szCs w:val="20"/>
                <w:color w:val="auto"/>
              </w:rPr>
            </w:pPr>
            <w:r>
              <w:rPr>
                <w:rFonts w:ascii="Arial" w:cs="Arial" w:eastAsia="Arial" w:hAnsi="Arial"/>
                <w:sz w:val="17"/>
                <w:szCs w:val="17"/>
                <w:color w:val="3051F2"/>
                <w:w w:val="93"/>
              </w:rPr>
              <w:t>Management’s Discussion and Analysis of Financial Condition and Results of Operations</w:t>
            </w:r>
          </w:p>
        </w:tc>
        <w:tc>
          <w:tcPr>
            <w:tcW w:w="2700" w:type="dxa"/>
            <w:vAlign w:val="bottom"/>
            <w:gridSpan w:val="3"/>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7A.</w:t>
            </w:r>
          </w:p>
        </w:tc>
        <w:tc>
          <w:tcPr>
            <w:tcW w:w="4180" w:type="dxa"/>
            <w:vAlign w:val="bottom"/>
            <w:tcBorders>
              <w:bottom w:val="single" w:sz="8" w:color="3051F2"/>
            </w:tcBorders>
            <w:gridSpan w:val="14"/>
          </w:tcPr>
          <w:p>
            <w:pPr>
              <w:spacing w:after="0"/>
              <w:rPr>
                <w:sz w:val="20"/>
                <w:szCs w:val="20"/>
                <w:color w:val="auto"/>
              </w:rPr>
            </w:pPr>
            <w:r>
              <w:rPr>
                <w:rFonts w:ascii="Arial" w:cs="Arial" w:eastAsia="Arial" w:hAnsi="Arial"/>
                <w:sz w:val="17"/>
                <w:szCs w:val="17"/>
                <w:color w:val="3051F2"/>
                <w:w w:val="93"/>
              </w:rPr>
              <w:t>Quantitative and Qualitative Disclosures about Market Risk</w:t>
            </w:r>
          </w:p>
        </w:tc>
        <w:tc>
          <w:tcPr>
            <w:tcW w:w="4800" w:type="dxa"/>
            <w:vAlign w:val="bottom"/>
            <w:gridSpan w:val="6"/>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8.</w:t>
            </w:r>
          </w:p>
        </w:tc>
        <w:tc>
          <w:tcPr>
            <w:tcW w:w="8980" w:type="dxa"/>
            <w:vAlign w:val="bottom"/>
            <w:gridSpan w:val="20"/>
          </w:tcPr>
          <w:p>
            <w:pPr>
              <w:spacing w:after="0"/>
              <w:rPr>
                <w:sz w:val="20"/>
                <w:szCs w:val="20"/>
                <w:color w:val="auto"/>
              </w:rPr>
            </w:pPr>
            <w:r>
              <w:rPr>
                <w:rFonts w:ascii="Arial" w:cs="Arial" w:eastAsia="Arial" w:hAnsi="Arial"/>
                <w:sz w:val="17"/>
                <w:szCs w:val="17"/>
                <w:color w:val="3051F2"/>
              </w:rPr>
              <w:t>Financial Statements and Supplementary Data</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47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60" w:type="dxa"/>
            <w:vAlign w:val="bottom"/>
            <w:gridSpan w:val="3"/>
            <w:shd w:val="clear" w:color="auto" w:fill="3051F2"/>
          </w:tcPr>
          <w:p>
            <w:pPr>
              <w:spacing w:after="0" w:line="20" w:lineRule="exact"/>
              <w:rPr>
                <w:sz w:val="1"/>
                <w:szCs w:val="1"/>
                <w:color w:val="auto"/>
              </w:rPr>
            </w:pPr>
          </w:p>
        </w:tc>
        <w:tc>
          <w:tcPr>
            <w:tcW w:w="1020" w:type="dxa"/>
            <w:vAlign w:val="bottom"/>
            <w:gridSpan w:val="2"/>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9.</w:t>
            </w:r>
          </w:p>
        </w:tc>
        <w:tc>
          <w:tcPr>
            <w:tcW w:w="6280" w:type="dxa"/>
            <w:vAlign w:val="bottom"/>
            <w:tcBorders>
              <w:bottom w:val="single" w:sz="8" w:color="3051F2"/>
            </w:tcBorders>
            <w:gridSpan w:val="17"/>
          </w:tcPr>
          <w:p>
            <w:pPr>
              <w:spacing w:after="0"/>
              <w:rPr>
                <w:sz w:val="20"/>
                <w:szCs w:val="20"/>
                <w:color w:val="auto"/>
              </w:rPr>
            </w:pPr>
            <w:r>
              <w:rPr>
                <w:rFonts w:ascii="Arial" w:cs="Arial" w:eastAsia="Arial" w:hAnsi="Arial"/>
                <w:sz w:val="17"/>
                <w:szCs w:val="17"/>
                <w:color w:val="3051F2"/>
                <w:w w:val="92"/>
              </w:rPr>
              <w:t>Changes in and Disagreements with Accountants on Accounting and Financial Disclosure</w:t>
            </w:r>
          </w:p>
        </w:tc>
        <w:tc>
          <w:tcPr>
            <w:tcW w:w="2700" w:type="dxa"/>
            <w:vAlign w:val="bottom"/>
            <w:gridSpan w:val="3"/>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9A.</w:t>
            </w:r>
          </w:p>
        </w:tc>
        <w:tc>
          <w:tcPr>
            <w:tcW w:w="1720" w:type="dxa"/>
            <w:vAlign w:val="bottom"/>
            <w:tcBorders>
              <w:bottom w:val="single" w:sz="8" w:color="3051F2"/>
            </w:tcBorders>
            <w:gridSpan w:val="7"/>
          </w:tcPr>
          <w:p>
            <w:pPr>
              <w:spacing w:after="0"/>
              <w:rPr>
                <w:sz w:val="20"/>
                <w:szCs w:val="20"/>
                <w:color w:val="auto"/>
              </w:rPr>
            </w:pPr>
            <w:r>
              <w:rPr>
                <w:rFonts w:ascii="Arial" w:cs="Arial" w:eastAsia="Arial" w:hAnsi="Arial"/>
                <w:sz w:val="17"/>
                <w:szCs w:val="17"/>
                <w:color w:val="3051F2"/>
                <w:w w:val="90"/>
              </w:rPr>
              <w:t>Controls and Procedures</w:t>
            </w:r>
          </w:p>
        </w:tc>
        <w:tc>
          <w:tcPr>
            <w:tcW w:w="7260" w:type="dxa"/>
            <w:vAlign w:val="bottom"/>
            <w:gridSpan w:val="13"/>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9B.</w:t>
            </w:r>
          </w:p>
        </w:tc>
        <w:tc>
          <w:tcPr>
            <w:tcW w:w="8980" w:type="dxa"/>
            <w:vAlign w:val="bottom"/>
            <w:gridSpan w:val="20"/>
          </w:tcPr>
          <w:p>
            <w:pPr>
              <w:spacing w:after="0"/>
              <w:rPr>
                <w:sz w:val="20"/>
                <w:szCs w:val="20"/>
                <w:color w:val="auto"/>
              </w:rPr>
            </w:pPr>
            <w:r>
              <w:rPr>
                <w:rFonts w:ascii="Arial" w:cs="Arial" w:eastAsia="Arial" w:hAnsi="Arial"/>
                <w:sz w:val="17"/>
                <w:szCs w:val="17"/>
                <w:color w:val="3051F2"/>
              </w:rPr>
              <w:t>Other Information</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79</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3051F2"/>
            </w:tcBorders>
            <w:gridSpan w:val="5"/>
          </w:tcPr>
          <w:p>
            <w:pPr>
              <w:spacing w:after="0"/>
              <w:rPr>
                <w:sz w:val="20"/>
                <w:szCs w:val="20"/>
                <w:color w:val="auto"/>
              </w:rPr>
            </w:pPr>
            <w:r>
              <w:rPr>
                <w:rFonts w:ascii="Arial" w:cs="Arial" w:eastAsia="Arial" w:hAnsi="Arial"/>
                <w:sz w:val="17"/>
                <w:szCs w:val="17"/>
                <w:b w:val="1"/>
                <w:bCs w:val="1"/>
                <w:color w:val="3051F2"/>
              </w:rPr>
              <w:t>PART III</w:t>
            </w:r>
          </w:p>
        </w:tc>
        <w:tc>
          <w:tcPr>
            <w:tcW w:w="660" w:type="dxa"/>
            <w:vAlign w:val="bottom"/>
            <w:gridSpan w:val="3"/>
          </w:tcPr>
          <w:p>
            <w:pPr>
              <w:spacing w:after="0"/>
              <w:rPr>
                <w:sz w:val="19"/>
                <w:szCs w:val="19"/>
                <w:color w:val="auto"/>
              </w:rPr>
            </w:pPr>
          </w:p>
        </w:tc>
        <w:tc>
          <w:tcPr>
            <w:tcW w:w="78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400" w:type="dxa"/>
            <w:vAlign w:val="bottom"/>
            <w:tcBorders>
              <w:top w:val="single" w:sz="8" w:color="3051F2"/>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80" w:type="dxa"/>
            <w:vAlign w:val="bottom"/>
            <w:tcBorders>
              <w:top w:val="single" w:sz="8" w:color="3051F2"/>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10.</w:t>
            </w:r>
          </w:p>
        </w:tc>
        <w:tc>
          <w:tcPr>
            <w:tcW w:w="8980" w:type="dxa"/>
            <w:vAlign w:val="bottom"/>
            <w:gridSpan w:val="20"/>
          </w:tcPr>
          <w:p>
            <w:pPr>
              <w:spacing w:after="0"/>
              <w:rPr>
                <w:sz w:val="20"/>
                <w:szCs w:val="20"/>
                <w:color w:val="auto"/>
              </w:rPr>
            </w:pPr>
            <w:r>
              <w:rPr>
                <w:rFonts w:ascii="Arial" w:cs="Arial" w:eastAsia="Arial" w:hAnsi="Arial"/>
                <w:sz w:val="17"/>
                <w:szCs w:val="17"/>
                <w:color w:val="3051F2"/>
              </w:rPr>
              <w:t>Directors, Executive Officers and Corporate Governance</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80</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11.</w:t>
            </w:r>
          </w:p>
        </w:tc>
        <w:tc>
          <w:tcPr>
            <w:tcW w:w="1760" w:type="dxa"/>
            <w:vAlign w:val="bottom"/>
            <w:tcBorders>
              <w:top w:val="single" w:sz="8" w:color="3051F2"/>
              <w:bottom w:val="single" w:sz="8" w:color="3051F2"/>
            </w:tcBorders>
            <w:gridSpan w:val="8"/>
          </w:tcPr>
          <w:p>
            <w:pPr>
              <w:spacing w:after="0"/>
              <w:rPr>
                <w:sz w:val="20"/>
                <w:szCs w:val="20"/>
                <w:color w:val="auto"/>
              </w:rPr>
            </w:pPr>
            <w:r>
              <w:rPr>
                <w:rFonts w:ascii="Arial" w:cs="Arial" w:eastAsia="Arial" w:hAnsi="Arial"/>
                <w:sz w:val="17"/>
                <w:szCs w:val="17"/>
                <w:color w:val="3051F2"/>
                <w:w w:val="92"/>
              </w:rPr>
              <w:t>Executive Compensation</w:t>
            </w:r>
          </w:p>
        </w:tc>
        <w:tc>
          <w:tcPr>
            <w:tcW w:w="2200" w:type="dxa"/>
            <w:vAlign w:val="bottom"/>
            <w:tcBorders>
              <w:top w:val="single" w:sz="8" w:color="3051F2"/>
            </w:tcBorders>
            <w:gridSpan w:val="5"/>
          </w:tcPr>
          <w:p>
            <w:pPr>
              <w:spacing w:after="0"/>
              <w:rPr>
                <w:sz w:val="19"/>
                <w:szCs w:val="19"/>
                <w:color w:val="auto"/>
              </w:rPr>
            </w:pPr>
          </w:p>
        </w:tc>
        <w:tc>
          <w:tcPr>
            <w:tcW w:w="5020" w:type="dxa"/>
            <w:vAlign w:val="bottom"/>
            <w:gridSpan w:val="7"/>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3051F2"/>
              <w:bottom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12.</w:t>
            </w:r>
          </w:p>
        </w:tc>
        <w:tc>
          <w:tcPr>
            <w:tcW w:w="8980" w:type="dxa"/>
            <w:vAlign w:val="bottom"/>
            <w:gridSpan w:val="20"/>
          </w:tcPr>
          <w:p>
            <w:pPr>
              <w:spacing w:after="0"/>
              <w:rPr>
                <w:sz w:val="20"/>
                <w:szCs w:val="20"/>
                <w:color w:val="auto"/>
              </w:rPr>
            </w:pPr>
            <w:r>
              <w:rPr>
                <w:rFonts w:ascii="Arial" w:cs="Arial" w:eastAsia="Arial" w:hAnsi="Arial"/>
                <w:sz w:val="17"/>
                <w:szCs w:val="17"/>
                <w:color w:val="3051F2"/>
              </w:rPr>
              <w:t>Security Ownership of Certain Beneficial Owners and Management and Related Stockholder Matters</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80</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13.</w:t>
            </w:r>
          </w:p>
        </w:tc>
        <w:tc>
          <w:tcPr>
            <w:tcW w:w="7060" w:type="dxa"/>
            <w:vAlign w:val="bottom"/>
            <w:tcBorders>
              <w:top w:val="single" w:sz="8" w:color="3051F2"/>
            </w:tcBorders>
            <w:gridSpan w:val="18"/>
          </w:tcPr>
          <w:p>
            <w:pPr>
              <w:spacing w:after="0"/>
              <w:rPr>
                <w:sz w:val="20"/>
                <w:szCs w:val="20"/>
                <w:color w:val="auto"/>
              </w:rPr>
            </w:pPr>
            <w:r>
              <w:rPr>
                <w:rFonts w:ascii="Arial" w:cs="Arial" w:eastAsia="Arial" w:hAnsi="Arial"/>
                <w:sz w:val="17"/>
                <w:szCs w:val="17"/>
                <w:color w:val="3051F2"/>
              </w:rPr>
              <w:t>Certain Relationships and Related Transactions, and Director Independence</w:t>
            </w:r>
          </w:p>
        </w:tc>
        <w:tc>
          <w:tcPr>
            <w:tcW w:w="192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14.</w:t>
            </w:r>
          </w:p>
        </w:tc>
        <w:tc>
          <w:tcPr>
            <w:tcW w:w="5280" w:type="dxa"/>
            <w:vAlign w:val="bottom"/>
            <w:tcBorders>
              <w:top w:val="single" w:sz="8" w:color="3051F2"/>
            </w:tcBorders>
            <w:gridSpan w:val="15"/>
          </w:tcPr>
          <w:p>
            <w:pPr>
              <w:spacing w:after="0"/>
              <w:rPr>
                <w:sz w:val="20"/>
                <w:szCs w:val="20"/>
                <w:color w:val="auto"/>
              </w:rPr>
            </w:pPr>
            <w:r>
              <w:rPr>
                <w:rFonts w:ascii="Arial" w:cs="Arial" w:eastAsia="Arial" w:hAnsi="Arial"/>
                <w:sz w:val="17"/>
                <w:szCs w:val="17"/>
                <w:color w:val="3051F2"/>
              </w:rPr>
              <w:t>Principal Accountant Fees and Services</w:t>
            </w:r>
          </w:p>
        </w:tc>
        <w:tc>
          <w:tcPr>
            <w:tcW w:w="3700" w:type="dxa"/>
            <w:vAlign w:val="bottom"/>
            <w:gridSpan w:val="5"/>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3051F2"/>
            </w:tcBorders>
            <w:gridSpan w:val="2"/>
          </w:tcPr>
          <w:p>
            <w:pPr>
              <w:jc w:val="right"/>
              <w:spacing w:after="0"/>
              <w:rPr>
                <w:sz w:val="20"/>
                <w:szCs w:val="20"/>
                <w:color w:val="auto"/>
              </w:rPr>
            </w:pPr>
            <w:r>
              <w:rPr>
                <w:rFonts w:ascii="Arial" w:cs="Arial" w:eastAsia="Arial" w:hAnsi="Arial"/>
                <w:sz w:val="17"/>
                <w:szCs w:val="17"/>
                <w:color w:val="3051F2"/>
                <w:w w:val="84"/>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00" w:type="dxa"/>
            <w:vAlign w:val="bottom"/>
            <w:tcBorders>
              <w:bottom w:val="single" w:sz="8" w:color="3051F2"/>
            </w:tcBorders>
            <w:gridSpan w:val="4"/>
          </w:tcPr>
          <w:p>
            <w:pPr>
              <w:spacing w:after="0"/>
              <w:rPr>
                <w:sz w:val="20"/>
                <w:szCs w:val="20"/>
                <w:color w:val="auto"/>
              </w:rPr>
            </w:pPr>
            <w:r>
              <w:rPr>
                <w:rFonts w:ascii="Arial" w:cs="Arial" w:eastAsia="Arial" w:hAnsi="Arial"/>
                <w:sz w:val="17"/>
                <w:szCs w:val="17"/>
                <w:b w:val="1"/>
                <w:bCs w:val="1"/>
                <w:color w:val="3051F2"/>
              </w:rPr>
              <w:t>PART IV</w:t>
            </w:r>
          </w:p>
        </w:tc>
        <w:tc>
          <w:tcPr>
            <w:tcW w:w="680" w:type="dxa"/>
            <w:vAlign w:val="bottom"/>
            <w:gridSpan w:val="4"/>
          </w:tcPr>
          <w:p>
            <w:pPr>
              <w:spacing w:after="0"/>
              <w:rPr>
                <w:sz w:val="19"/>
                <w:szCs w:val="19"/>
                <w:color w:val="auto"/>
              </w:rPr>
            </w:pPr>
          </w:p>
        </w:tc>
        <w:tc>
          <w:tcPr>
            <w:tcW w:w="78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400" w:type="dxa"/>
            <w:vAlign w:val="bottom"/>
            <w:tcBorders>
              <w:top w:val="single" w:sz="8" w:color="3051F2"/>
            </w:tcBorders>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200" w:type="dxa"/>
            <w:vAlign w:val="bottom"/>
            <w:tcBorders>
              <w:top w:val="single" w:sz="8" w:color="3051F2"/>
            </w:tcBorders>
          </w:tcPr>
          <w:p>
            <w:pPr>
              <w:spacing w:after="0"/>
              <w:rPr>
                <w:sz w:val="19"/>
                <w:szCs w:val="19"/>
                <w:color w:val="auto"/>
              </w:rPr>
            </w:pPr>
          </w:p>
        </w:tc>
        <w:tc>
          <w:tcPr>
            <w:tcW w:w="180" w:type="dxa"/>
            <w:vAlign w:val="bottom"/>
            <w:tcBorders>
              <w:top w:val="single" w:sz="8" w:color="3051F2"/>
            </w:tcBorders>
          </w:tcPr>
          <w:p>
            <w:pPr>
              <w:spacing w:after="0"/>
              <w:rPr>
                <w:sz w:val="19"/>
                <w:szCs w:val="19"/>
                <w:color w:val="auto"/>
              </w:rPr>
            </w:pPr>
          </w:p>
        </w:tc>
        <w:tc>
          <w:tcPr>
            <w:tcW w:w="40" w:type="dxa"/>
            <w:vAlign w:val="bottom"/>
            <w:tcBorders>
              <w:top w:val="single" w:sz="8" w:color="3051F2"/>
            </w:tcBorders>
          </w:tcPr>
          <w:p>
            <w:pPr>
              <w:spacing w:after="0"/>
              <w:rPr>
                <w:sz w:val="19"/>
                <w:szCs w:val="19"/>
                <w:color w:val="auto"/>
              </w:rPr>
            </w:pPr>
          </w:p>
        </w:tc>
        <w:tc>
          <w:tcPr>
            <w:tcW w:w="40" w:type="dxa"/>
            <w:vAlign w:val="bottom"/>
            <w:tcBorders>
              <w:top w:val="single" w:sz="8" w:color="3051F2"/>
            </w:tcBorders>
          </w:tcPr>
          <w:p>
            <w:pPr>
              <w:spacing w:after="0"/>
              <w:rPr>
                <w:sz w:val="19"/>
                <w:szCs w:val="19"/>
                <w:color w:val="auto"/>
              </w:rPr>
            </w:pPr>
          </w:p>
        </w:tc>
        <w:tc>
          <w:tcPr>
            <w:tcW w:w="220" w:type="dxa"/>
            <w:vAlign w:val="bottom"/>
            <w:tcBorders>
              <w:top w:val="single" w:sz="8" w:color="3051F2"/>
            </w:tcBorders>
          </w:tcPr>
          <w:p>
            <w:pPr>
              <w:spacing w:after="0"/>
              <w:rPr>
                <w:sz w:val="19"/>
                <w:szCs w:val="19"/>
                <w:color w:val="auto"/>
              </w:rPr>
            </w:pPr>
          </w:p>
        </w:tc>
        <w:tc>
          <w:tcPr>
            <w:tcW w:w="800" w:type="dxa"/>
            <w:vAlign w:val="bottom"/>
            <w:tcBorders>
              <w:top w:val="single" w:sz="8" w:color="3051F2"/>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80" w:type="dxa"/>
            <w:vAlign w:val="bottom"/>
            <w:tcBorders>
              <w:top w:val="single" w:sz="8" w:color="3051F2"/>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15.</w:t>
            </w:r>
          </w:p>
        </w:tc>
        <w:tc>
          <w:tcPr>
            <w:tcW w:w="8980" w:type="dxa"/>
            <w:vAlign w:val="bottom"/>
            <w:gridSpan w:val="20"/>
          </w:tcPr>
          <w:p>
            <w:pPr>
              <w:spacing w:after="0"/>
              <w:rPr>
                <w:sz w:val="20"/>
                <w:szCs w:val="20"/>
                <w:color w:val="auto"/>
              </w:rPr>
            </w:pPr>
            <w:r>
              <w:rPr>
                <w:rFonts w:ascii="Arial" w:cs="Arial" w:eastAsia="Arial" w:hAnsi="Arial"/>
                <w:sz w:val="17"/>
                <w:szCs w:val="17"/>
                <w:color w:val="3051F2"/>
              </w:rPr>
              <w:t>Exhibits, Financial Statement Schedules</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81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5"/>
            <w:shd w:val="clear" w:color="auto" w:fill="3051F2"/>
          </w:tcPr>
          <w:p>
            <w:pPr>
              <w:spacing w:after="0" w:line="20" w:lineRule="exact"/>
              <w:rPr>
                <w:sz w:val="1"/>
                <w:szCs w:val="1"/>
                <w:color w:val="auto"/>
              </w:rPr>
            </w:pPr>
          </w:p>
        </w:tc>
        <w:tc>
          <w:tcPr>
            <w:tcW w:w="1320" w:type="dxa"/>
            <w:vAlign w:val="bottom"/>
            <w:gridSpan w:val="6"/>
            <w:shd w:val="clear" w:color="auto" w:fill="3051F2"/>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Item 16.</w:t>
            </w:r>
          </w:p>
        </w:tc>
        <w:tc>
          <w:tcPr>
            <w:tcW w:w="8980" w:type="dxa"/>
            <w:vAlign w:val="bottom"/>
            <w:gridSpan w:val="20"/>
          </w:tcPr>
          <w:p>
            <w:pPr>
              <w:spacing w:after="0"/>
              <w:rPr>
                <w:sz w:val="20"/>
                <w:szCs w:val="20"/>
                <w:color w:val="auto"/>
              </w:rPr>
            </w:pPr>
            <w:r>
              <w:rPr>
                <w:rFonts w:ascii="Arial" w:cs="Arial" w:eastAsia="Arial" w:hAnsi="Arial"/>
                <w:sz w:val="17"/>
                <w:szCs w:val="17"/>
                <w:color w:val="3051F2"/>
              </w:rPr>
              <w:t>Form 10-K Summary</w:t>
            </w: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87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bottom w:val="single" w:sz="8" w:color="3051F2"/>
            </w:tcBorders>
            <w:shd w:val="clear" w:color="auto" w:fill="3051F2"/>
          </w:tcPr>
          <w:p>
            <w:pPr>
              <w:spacing w:after="0" w:line="20" w:lineRule="exact"/>
              <w:rPr>
                <w:sz w:val="1"/>
                <w:szCs w:val="1"/>
                <w:color w:val="auto"/>
              </w:rPr>
            </w:pPr>
          </w:p>
        </w:tc>
        <w:tc>
          <w:tcPr>
            <w:tcW w:w="100" w:type="dxa"/>
            <w:vAlign w:val="bottom"/>
            <w:tcBorders>
              <w:bottom w:val="single" w:sz="8" w:color="3051F2"/>
            </w:tcBorders>
            <w:shd w:val="clear" w:color="auto" w:fill="3051F2"/>
          </w:tcPr>
          <w:p>
            <w:pPr>
              <w:spacing w:after="0" w:line="20" w:lineRule="exact"/>
              <w:rPr>
                <w:sz w:val="1"/>
                <w:szCs w:val="1"/>
                <w:color w:val="auto"/>
              </w:rPr>
            </w:pPr>
          </w:p>
        </w:tc>
        <w:tc>
          <w:tcPr>
            <w:tcW w:w="400" w:type="dxa"/>
            <w:vAlign w:val="bottom"/>
            <w:tcBorders>
              <w:bottom w:val="single" w:sz="8" w:color="3051F2"/>
            </w:tcBorders>
            <w:shd w:val="clear" w:color="auto" w:fill="3051F2"/>
          </w:tcPr>
          <w:p>
            <w:pPr>
              <w:spacing w:after="0" w:line="20" w:lineRule="exact"/>
              <w:rPr>
                <w:sz w:val="1"/>
                <w:szCs w:val="1"/>
                <w:color w:val="auto"/>
              </w:rPr>
            </w:pPr>
          </w:p>
        </w:tc>
        <w:tc>
          <w:tcPr>
            <w:tcW w:w="20" w:type="dxa"/>
            <w:vAlign w:val="bottom"/>
            <w:tcBorders>
              <w:bottom w:val="single" w:sz="8" w:color="3051F2"/>
            </w:tcBorders>
            <w:shd w:val="clear" w:color="auto" w:fill="3051F2"/>
          </w:tcPr>
          <w:p>
            <w:pPr>
              <w:spacing w:after="0" w:line="20" w:lineRule="exact"/>
              <w:rPr>
                <w:sz w:val="1"/>
                <w:szCs w:val="1"/>
                <w:color w:val="auto"/>
              </w:rPr>
            </w:pPr>
          </w:p>
        </w:tc>
        <w:tc>
          <w:tcPr>
            <w:tcW w:w="200" w:type="dxa"/>
            <w:vAlign w:val="bottom"/>
            <w:tcBorders>
              <w:bottom w:val="single" w:sz="8" w:color="3051F2"/>
            </w:tcBorders>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17"/>
                <w:szCs w:val="17"/>
                <w:b w:val="1"/>
                <w:bCs w:val="1"/>
                <w:color w:val="3051F2"/>
              </w:rPr>
              <w:t>SIGNATURES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3051F2"/>
              </w:rPr>
              <w:t>88</w:t>
            </w:r>
          </w:p>
        </w:tc>
        <w:tc>
          <w:tcPr>
            <w:tcW w:w="20" w:type="dxa"/>
            <w:vAlign w:val="bottom"/>
          </w:tcPr>
          <w:p>
            <w:pPr>
              <w:spacing w:after="0"/>
              <w:rPr>
                <w:sz w:val="24"/>
                <w:szCs w:val="24"/>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400" w:type="dxa"/>
            <w:vAlign w:val="bottom"/>
            <w:tcBorders>
              <w:top w:val="single" w:sz="8" w:color="3051F2"/>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5" w:lineRule="exact"/>
        <w:rPr>
          <w:sz w:val="20"/>
          <w:szCs w:val="20"/>
          <w:color w:val="auto"/>
        </w:rPr>
      </w:pPr>
    </w:p>
    <w:p>
      <w:pPr>
        <w:ind w:firstLine="470"/>
        <w:spacing w:after="0" w:line="274" w:lineRule="auto"/>
        <w:rPr>
          <w:sz w:val="20"/>
          <w:szCs w:val="20"/>
          <w:color w:val="auto"/>
        </w:rPr>
      </w:pPr>
      <w:r>
        <w:rPr>
          <w:rFonts w:ascii="Arial" w:cs="Arial" w:eastAsia="Arial" w:hAnsi="Arial"/>
          <w:sz w:val="16"/>
          <w:szCs w:val="16"/>
          <w:color w:val="auto"/>
        </w:rPr>
        <w:t>This Annual Report on Form 10-K (this "Report") contains forward-looking statements within the meaning of Section 21 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ability to meet production, financial and operational guidance, our strategy to pursue low-carbon or "net-zero" carbon renewable fuels for sale into California and elsewhere, our ability to replace our fossil-based energy sources with renewable energy sources at our Net-Zero Projects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sales agreements we may enter into in the future, our ability to successfully operate our renewable natural gas ("RNG") project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development and production, the impact of the novel coronavirus ("COVID-19") pandemic on our business,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11"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Unless the context requires otherwise, in this Report the terms “Gevo,” “we,” “us,” “our” and “Company” refer to Gevo, Inc. and its wholly owned, direct and indirect subsidiaries.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255"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 xml:space="preserve">Our business is subject to a number of risks and uncertainties, many of which are beyond our control, including those described in </w:t>
      </w:r>
      <w:r>
        <w:rPr>
          <w:rFonts w:ascii="Arial" w:cs="Arial" w:eastAsia="Arial" w:hAnsi="Arial"/>
          <w:sz w:val="17"/>
          <w:szCs w:val="17"/>
          <w:u w:val="single" w:color="auto"/>
          <w:color w:val="auto"/>
        </w:rPr>
        <w:t>Part I, Item 1A. Risk</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Factors</w:t>
      </w:r>
      <w:r>
        <w:rPr>
          <w:rFonts w:ascii="Arial" w:cs="Arial" w:eastAsia="Arial" w:hAnsi="Arial"/>
          <w:sz w:val="17"/>
          <w:szCs w:val="17"/>
          <w:color w:val="auto"/>
        </w:rPr>
        <w:t xml:space="preserve"> of this annual report. These risks include, but are not limited to, the following:</w:t>
      </w:r>
    </w:p>
    <w:p>
      <w:pPr>
        <w:spacing w:after="0" w:line="184"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history of net losses, and we may not achieve or maintain profitability.</w:t>
      </w:r>
    </w:p>
    <w:p>
      <w:pPr>
        <w:spacing w:after="0" w:line="25" w:lineRule="exact"/>
        <w:rPr>
          <w:rFonts w:ascii="Arial" w:cs="Arial" w:eastAsia="Arial" w:hAnsi="Arial"/>
          <w:sz w:val="17"/>
          <w:szCs w:val="17"/>
          <w:color w:val="auto"/>
        </w:rPr>
      </w:pPr>
    </w:p>
    <w:p>
      <w:pPr>
        <w:ind w:left="320" w:right="16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require substantial additional financing to achieve our goals, and a failure to obtain this capital when needed or on acceptable terms could force us to delay, limit, reduce or terminate our development and commercialization efforts.</w:t>
      </w:r>
    </w:p>
    <w:p>
      <w:pPr>
        <w:spacing w:after="0" w:line="1" w:lineRule="exact"/>
        <w:rPr>
          <w:rFonts w:ascii="Arial" w:cs="Arial" w:eastAsia="Arial" w:hAnsi="Arial"/>
          <w:sz w:val="17"/>
          <w:szCs w:val="17"/>
          <w:color w:val="auto"/>
        </w:rPr>
      </w:pPr>
    </w:p>
    <w:p>
      <w:pPr>
        <w:ind w:left="320" w:right="120" w:hanging="315"/>
        <w:spacing w:after="0" w:line="272"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capital-intensive in nature, and we rely on external financing to fund our growth strategy, including the development and construction of our Net-Zero Projects and other similar growth projects. Limitations on access to external financing could adversely affect our operating results.</w:t>
      </w:r>
    </w:p>
    <w:p>
      <w:pPr>
        <w:spacing w:after="0" w:line="1" w:lineRule="exact"/>
        <w:rPr>
          <w:rFonts w:ascii="Arial" w:cs="Arial" w:eastAsia="Arial" w:hAnsi="Arial"/>
          <w:sz w:val="16"/>
          <w:szCs w:val="16"/>
          <w:color w:val="auto"/>
        </w:rPr>
      </w:pPr>
    </w:p>
    <w:p>
      <w:pPr>
        <w:ind w:left="320" w:right="18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proposed growth projects may not be completed or, if completed, may not perform as expected. Our project development activities may consume a significant portion of our management’s focus, and if not successful, reduce our profitability.</w:t>
      </w:r>
    </w:p>
    <w:p>
      <w:pPr>
        <w:spacing w:after="0" w:line="1" w:lineRule="exact"/>
        <w:rPr>
          <w:rFonts w:ascii="Arial" w:cs="Arial" w:eastAsia="Arial" w:hAnsi="Arial"/>
          <w:sz w:val="17"/>
          <w:szCs w:val="17"/>
          <w:color w:val="auto"/>
        </w:rPr>
      </w:pPr>
    </w:p>
    <w:p>
      <w:pPr>
        <w:ind w:left="320" w:right="80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successfully perform under current or future offtake and sales agreements to provide our products, which could harm our commercial prospects.</w:t>
      </w:r>
    </w:p>
    <w:p>
      <w:pPr>
        <w:spacing w:after="0" w:line="1" w:lineRule="exact"/>
        <w:rPr>
          <w:rFonts w:ascii="Arial" w:cs="Arial" w:eastAsia="Arial" w:hAnsi="Arial"/>
          <w:sz w:val="17"/>
          <w:szCs w:val="17"/>
          <w:color w:val="auto"/>
        </w:rPr>
      </w:pPr>
    </w:p>
    <w:p>
      <w:pPr>
        <w:ind w:left="320" w:right="50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offtake agreements, including our take-or-pay agreements, are subject to significant conditions precedent and, as a result, the revenues that we expect from such contracts may never be realized.</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the price of corn and other feedstocks may affect our cost structure.</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the price and availability of energy to power our facilities may harm our performance.</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petroleum prices and customer demand patterns may reduce demand for renewable fuels.</w:t>
      </w:r>
    </w:p>
    <w:p>
      <w:pPr>
        <w:spacing w:after="0" w:line="13" w:lineRule="exact"/>
        <w:rPr>
          <w:rFonts w:ascii="Arial" w:cs="Arial" w:eastAsia="Arial" w:hAnsi="Arial"/>
          <w:sz w:val="17"/>
          <w:szCs w:val="17"/>
          <w:color w:val="auto"/>
        </w:rPr>
      </w:pPr>
    </w:p>
    <w:p>
      <w:pPr>
        <w:ind w:left="320" w:right="26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decline in the value of carbon credits associated with our products could have a material adverse effect on our results of operations cash flow and financial condition.</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successful in the commercialization of alcohol-to-SAF projects utilizing Axens technology.</w:t>
      </w:r>
    </w:p>
    <w:p>
      <w:pPr>
        <w:spacing w:after="0" w:line="13" w:lineRule="exact"/>
        <w:rPr>
          <w:rFonts w:ascii="Arial" w:cs="Arial" w:eastAsia="Arial" w:hAnsi="Arial"/>
          <w:sz w:val="17"/>
          <w:szCs w:val="17"/>
          <w:color w:val="auto"/>
        </w:rPr>
      </w:pPr>
    </w:p>
    <w:p>
      <w:pPr>
        <w:ind w:left="320" w:right="10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technological and logistical challenges associated with producing, marketing, selling and distributing renewable hydrocarbon products are complex, and we may not be able to resolve such complexities in a timely or cost-effective manner, or at all.</w:t>
      </w:r>
    </w:p>
    <w:p>
      <w:pPr>
        <w:spacing w:after="0" w:line="1" w:lineRule="exact"/>
        <w:rPr>
          <w:rFonts w:ascii="Arial" w:cs="Arial" w:eastAsia="Arial" w:hAnsi="Arial"/>
          <w:sz w:val="17"/>
          <w:szCs w:val="17"/>
          <w:color w:val="auto"/>
        </w:rPr>
      </w:pPr>
    </w:p>
    <w:p>
      <w:pPr>
        <w:ind w:left="320" w:right="10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actual costs may be greater than expected in developing our growth projects, causing us to realize significantly lower profits or greater losses on our projects.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produce renewable hydrocarbon products in accordance with customer specifications.</w:t>
      </w:r>
    </w:p>
    <w:p>
      <w:pPr>
        <w:spacing w:after="0" w:line="13" w:lineRule="exact"/>
        <w:rPr>
          <w:rFonts w:ascii="Arial" w:cs="Arial" w:eastAsia="Arial" w:hAnsi="Arial"/>
          <w:sz w:val="17"/>
          <w:szCs w:val="17"/>
          <w:color w:val="auto"/>
        </w:rPr>
      </w:pPr>
    </w:p>
    <w:p>
      <w:pPr>
        <w:ind w:left="320" w:right="8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experience may not be sufficient to operate commercial-scale facilities and we may encounter substantial difficulties operating commercial plants or expanding our business.</w:t>
      </w:r>
    </w:p>
    <w:p>
      <w:pPr>
        <w:spacing w:after="0" w:line="1" w:lineRule="exact"/>
        <w:rPr>
          <w:rFonts w:ascii="Arial" w:cs="Arial" w:eastAsia="Arial" w:hAnsi="Arial"/>
          <w:sz w:val="17"/>
          <w:szCs w:val="17"/>
          <w:color w:val="auto"/>
        </w:rPr>
      </w:pPr>
    </w:p>
    <w:p>
      <w:pPr>
        <w:ind w:left="320" w:right="22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Even if we are successful in producing our products on a commercial scale, we may not be successful in negotiating additional fuel offtake agreements or pricing terms to support the growth of our business.</w:t>
      </w:r>
    </w:p>
    <w:p>
      <w:pPr>
        <w:spacing w:after="0" w:line="1" w:lineRule="exact"/>
        <w:rPr>
          <w:rFonts w:ascii="Arial" w:cs="Arial" w:eastAsia="Arial" w:hAnsi="Arial"/>
          <w:sz w:val="17"/>
          <w:szCs w:val="17"/>
          <w:color w:val="auto"/>
        </w:rPr>
      </w:pPr>
    </w:p>
    <w:p>
      <w:pPr>
        <w:ind w:left="320" w:right="58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engage in acquisitions, we will incur a variety of costs and may potentially face numerous risks that could adversely affect our business and operations.</w:t>
      </w:r>
    </w:p>
    <w:p>
      <w:pPr>
        <w:spacing w:after="0" w:line="1" w:lineRule="exact"/>
        <w:rPr>
          <w:rFonts w:ascii="Arial" w:cs="Arial" w:eastAsia="Arial" w:hAnsi="Arial"/>
          <w:sz w:val="17"/>
          <w:szCs w:val="17"/>
          <w:color w:val="auto"/>
        </w:rPr>
      </w:pPr>
    </w:p>
    <w:p>
      <w:pPr>
        <w:ind w:left="320" w:right="46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engage in joint ventures, we will incur a variety of costs and may potentially face numerous risks that could adversely affect our business and operations.</w:t>
      </w:r>
    </w:p>
    <w:p>
      <w:pPr>
        <w:spacing w:after="0" w:line="1" w:lineRule="exact"/>
        <w:rPr>
          <w:rFonts w:ascii="Arial" w:cs="Arial" w:eastAsia="Arial" w:hAnsi="Arial"/>
          <w:sz w:val="17"/>
          <w:szCs w:val="17"/>
          <w:color w:val="auto"/>
        </w:rPr>
      </w:pPr>
    </w:p>
    <w:p>
      <w:pPr>
        <w:ind w:left="320" w:right="36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 w:lineRule="exact"/>
        <w:rPr>
          <w:rFonts w:ascii="Arial" w:cs="Arial" w:eastAsia="Arial" w:hAnsi="Arial"/>
          <w:sz w:val="17"/>
          <w:szCs w:val="17"/>
          <w:color w:val="auto"/>
        </w:rPr>
      </w:pPr>
    </w:p>
    <w:p>
      <w:pPr>
        <w:ind w:left="320" w:right="260" w:hanging="315"/>
        <w:spacing w:after="0" w:line="256"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face substantial competition from companies with greater resources and financial strength, which could adversely affect our performance and growth.</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success will depend on our ability to maintain a competitive position with respect to technological advances.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may have an adverse impact on our business and our financial results.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IT system failures or a cyber-attack.</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engage in hedging transactions, which could adversely impact our business.</w:t>
      </w:r>
    </w:p>
    <w:p>
      <w:pPr>
        <w:spacing w:after="0" w:line="13" w:lineRule="exact"/>
        <w:rPr>
          <w:rFonts w:ascii="Arial" w:cs="Arial" w:eastAsia="Arial" w:hAnsi="Arial"/>
          <w:sz w:val="17"/>
          <w:szCs w:val="17"/>
          <w:color w:val="auto"/>
        </w:rPr>
      </w:pPr>
    </w:p>
    <w:p>
      <w:pPr>
        <w:ind w:left="320" w:right="180" w:hanging="315"/>
        <w:spacing w:after="0" w:line="272"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our products have not previously been used as a commercial fuel in significant amounts, their use exposes us to product liability risks.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use some or all of our net operating loss carry-forwards tax deductions to offset future taxable income.</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320" w:right="340" w:hanging="315"/>
        <w:spacing w:after="0" w:line="264"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Competitiveness of our products for fuel use (including RNG) depends in part on government economic incentives for renewable energy projects or other related policies that could change.</w:t>
      </w:r>
    </w:p>
    <w:p>
      <w:pPr>
        <w:ind w:left="320" w:right="8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compete may be adversely affected if we are unsuccessful in defending against any claims by competitors or others that we are infringing upon their intellectual property rights.</w:t>
      </w:r>
    </w:p>
    <w:p>
      <w:pPr>
        <w:spacing w:after="0" w:line="1" w:lineRule="exact"/>
        <w:rPr>
          <w:rFonts w:ascii="Arial" w:cs="Arial" w:eastAsia="Arial" w:hAnsi="Arial"/>
          <w:sz w:val="17"/>
          <w:szCs w:val="17"/>
          <w:color w:val="auto"/>
        </w:rPr>
      </w:pPr>
    </w:p>
    <w:p>
      <w:pPr>
        <w:ind w:left="320" w:right="38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compete may be adversely affected if we do not adequately protect our proprietary technologies or if we lose some of our intellectual property rights through costly litigation or proceedings.</w:t>
      </w:r>
    </w:p>
    <w:p>
      <w:pPr>
        <w:spacing w:after="0" w:line="1" w:lineRule="exact"/>
        <w:rPr>
          <w:rFonts w:ascii="Arial" w:cs="Arial" w:eastAsia="Arial" w:hAnsi="Arial"/>
          <w:sz w:val="17"/>
          <w:szCs w:val="17"/>
          <w:color w:val="auto"/>
        </w:rPr>
      </w:pPr>
    </w:p>
    <w:p>
      <w:pPr>
        <w:ind w:left="320" w:right="20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biocatalysts, or the genes that code for our biocatalysts, are stolen, misappropriated or reverse engineered, others could use these biocatalysts or genes to produce competing products.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able to enforce our intellectual property rights throughout the world.</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Confidentiality agreements with employees and others may not adequately prevent disclosures of trade secrets and other proprietary information.</w:t>
      </w:r>
    </w:p>
    <w:p>
      <w:pPr>
        <w:spacing w:after="0" w:line="25" w:lineRule="exact"/>
        <w:rPr>
          <w:rFonts w:ascii="Arial" w:cs="Arial" w:eastAsia="Arial" w:hAnsi="Arial"/>
          <w:sz w:val="16"/>
          <w:szCs w:val="16"/>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received funding from U.S. government agencies, which could negatively affect our IP rights.</w:t>
      </w:r>
    </w:p>
    <w:p>
      <w:pPr>
        <w:spacing w:after="0" w:line="13" w:lineRule="exact"/>
        <w:rPr>
          <w:rFonts w:ascii="Arial" w:cs="Arial" w:eastAsia="Arial" w:hAnsi="Arial"/>
          <w:sz w:val="17"/>
          <w:szCs w:val="17"/>
          <w:color w:val="auto"/>
        </w:rPr>
      </w:pPr>
    </w:p>
    <w:p>
      <w:pPr>
        <w:ind w:left="320" w:right="62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 w:lineRule="exact"/>
        <w:rPr>
          <w:rFonts w:ascii="Arial" w:cs="Arial" w:eastAsia="Arial" w:hAnsi="Arial"/>
          <w:sz w:val="17"/>
          <w:szCs w:val="17"/>
          <w:color w:val="auto"/>
        </w:rPr>
      </w:pPr>
    </w:p>
    <w:p>
      <w:pPr>
        <w:ind w:left="320" w:right="36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Reductions or changes to existing regulations and policies may present technical, regulatory and economic barriers, which may significantly reduce demand for renewable fuels or our ability to supply our products.</w:t>
      </w:r>
    </w:p>
    <w:p>
      <w:pPr>
        <w:spacing w:after="0" w:line="1" w:lineRule="exact"/>
        <w:rPr>
          <w:rFonts w:ascii="Arial" w:cs="Arial" w:eastAsia="Arial" w:hAnsi="Arial"/>
          <w:sz w:val="17"/>
          <w:szCs w:val="17"/>
          <w:color w:val="auto"/>
        </w:rPr>
      </w:pPr>
    </w:p>
    <w:p>
      <w:pPr>
        <w:ind w:left="320" w:right="4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Negative attitudes toward renewable energy projects from the U.S. government, other lawmakers and regulators, and activists could adversely affect our business, financial condition and results of operations.</w:t>
      </w:r>
    </w:p>
    <w:p>
      <w:pPr>
        <w:spacing w:after="0" w:line="1" w:lineRule="exact"/>
        <w:rPr>
          <w:rFonts w:ascii="Arial" w:cs="Arial" w:eastAsia="Arial" w:hAnsi="Arial"/>
          <w:sz w:val="17"/>
          <w:szCs w:val="17"/>
          <w:color w:val="auto"/>
        </w:rPr>
      </w:pPr>
    </w:p>
    <w:p>
      <w:pPr>
        <w:ind w:left="320" w:right="22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claims relating to improper handling, storage or disposal of hazardous materials or noncompliance with applicable laws and regulations could be time consuming and costly and could adversely affect our business and results of operations.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international activities may increase our exposure to potential liability under anti-corruption, trade protection, tax and other laws and regulations.</w:t>
      </w:r>
    </w:p>
    <w:p>
      <w:pPr>
        <w:spacing w:after="0" w:line="25" w:lineRule="exact"/>
        <w:rPr>
          <w:rFonts w:ascii="Arial" w:cs="Arial" w:eastAsia="Arial" w:hAnsi="Arial"/>
          <w:sz w:val="16"/>
          <w:szCs w:val="16"/>
          <w:color w:val="auto"/>
        </w:rPr>
      </w:pPr>
    </w:p>
    <w:p>
      <w:pPr>
        <w:ind w:left="320" w:right="26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price of our common stock may be adversely affected by the future issuance and sale of additional shares of our common stock or by our announcement that such issuances and sales may occur.</w:t>
      </w:r>
    </w:p>
    <w:p>
      <w:pPr>
        <w:spacing w:after="0" w:line="1" w:lineRule="exact"/>
        <w:rPr>
          <w:rFonts w:ascii="Arial" w:cs="Arial" w:eastAsia="Arial" w:hAnsi="Arial"/>
          <w:sz w:val="17"/>
          <w:szCs w:val="17"/>
          <w:color w:val="auto"/>
        </w:rPr>
      </w:pPr>
    </w:p>
    <w:p>
      <w:pPr>
        <w:ind w:left="320" w:right="4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issuances of our common stock or instruments convertible or exercisable into our common stock may materially and adversely affect the price of our common stock and cause dilution to our existing stockholders.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Raising capital at a subsidiary, or project, level would result in lower revenues attributable back to us.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stock price may be volatile, and your investment in our securities could suffer a decline in value.</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estimates and assumptions on which our financial projections are based may prove to be inaccurate.</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Raising additional capital may cause dilution to our existing stockholders, restrict our operations or require us to relinquish rights to our technologies.</w:t>
      </w:r>
    </w:p>
    <w:p>
      <w:pPr>
        <w:spacing w:after="0" w:line="25" w:lineRule="exact"/>
        <w:rPr>
          <w:rFonts w:ascii="Arial" w:cs="Arial" w:eastAsia="Arial" w:hAnsi="Arial"/>
          <w:sz w:val="16"/>
          <w:szCs w:val="16"/>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do not anticipate paying cash dividends, and accordingly, stockholders must rely on stock appreciation for any return on their investment.</w:t>
      </w:r>
    </w:p>
    <w:p>
      <w:pPr>
        <w:spacing w:after="0" w:line="13" w:lineRule="exact"/>
        <w:rPr>
          <w:rFonts w:ascii="Arial" w:cs="Arial" w:eastAsia="Arial" w:hAnsi="Arial"/>
          <w:sz w:val="17"/>
          <w:szCs w:val="17"/>
          <w:color w:val="auto"/>
        </w:rPr>
      </w:pPr>
    </w:p>
    <w:p>
      <w:pPr>
        <w:ind w:left="32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or publish negative reports about our business, our stock price and trading volume could decline. The trading market for our common stock may be influenced by the research and reports that securities or industry analysts publish about us or our business.</w:t>
      </w:r>
    </w:p>
    <w:p>
      <w:pPr>
        <w:spacing w:after="0" w:line="1" w:lineRule="exact"/>
        <w:rPr>
          <w:rFonts w:ascii="Arial" w:cs="Arial" w:eastAsia="Arial" w:hAnsi="Arial"/>
          <w:sz w:val="17"/>
          <w:szCs w:val="17"/>
          <w:color w:val="auto"/>
        </w:rPr>
      </w:pPr>
    </w:p>
    <w:p>
      <w:pPr>
        <w:ind w:left="320" w:right="640" w:hanging="315"/>
        <w:spacing w:after="0" w:line="256"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anti-takeover provisions in our certificate of incorporation, our bylaws and under Delaware law that could delay or prevent an acquisition of the Company, even if the acquisition would be beneficial to our stockholders.</w:t>
      </w:r>
    </w:p>
    <w:p>
      <w:pPr>
        <w:spacing w:after="0" w:line="1" w:lineRule="exact"/>
        <w:rPr>
          <w:rFonts w:ascii="Arial" w:cs="Arial" w:eastAsia="Arial" w:hAnsi="Arial"/>
          <w:sz w:val="17"/>
          <w:szCs w:val="17"/>
          <w:color w:val="auto"/>
        </w:rPr>
      </w:pPr>
    </w:p>
    <w:p>
      <w:pPr>
        <w:jc w:val="both"/>
        <w:ind w:left="320" w:right="20" w:hanging="315"/>
        <w:spacing w:after="0" w:line="265"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Items 1 and 2.</w:t>
      </w:r>
      <w:r>
        <w:rPr>
          <w:sz w:val="20"/>
          <w:szCs w:val="20"/>
          <w:color w:val="auto"/>
        </w:rPr>
        <w:tab/>
      </w:r>
      <w:r>
        <w:rPr>
          <w:rFonts w:ascii="Arial" w:cs="Arial" w:eastAsia="Arial" w:hAnsi="Arial"/>
          <w:sz w:val="15"/>
          <w:szCs w:val="15"/>
          <w:b w:val="1"/>
          <w:bCs w:val="1"/>
          <w:color w:val="auto"/>
        </w:rPr>
        <w:t>Business and Properties.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255"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Gevo, Inc. (Nasdaq: GEVO), a Delaware corporation founded in 2005, is a growth-oriented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 We also believe that we can achieve at least 1 billion gallons of hydrocarbon production and sales by 2030.</w:t>
      </w:r>
    </w:p>
    <w:p>
      <w:pPr>
        <w:spacing w:after="0" w:line="202"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GREET (Greenhouse gases, Regulated Emissions, and Energy use in Transportation) model (the "GREET Model") to measure, predict and verify GHG emissions across the life-cycle of our products. The “net-zero” concept means Gevo expects that by using sustainably grown feedstock (i.e.,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141605</wp:posOffset>
            </wp:positionV>
            <wp:extent cx="5394325" cy="277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4325" cy="277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primary market focus, given current demand and growing customer interest, is SAF. We believe that we also have commercial opportunities for other renewable hydrocarbon products, such as RNG; hydrocarbons for gasoline blendstocks and diesel fuel; ingredients for the chemical industry, such as ethylene and butenes; plastics and materials; and other chemicals. The global fuel consumption by commercial airlines was an all-time high of 95 billion gallons in 2019. However, due to the COVID-19 pandemic, fuel consumption dropped to 52 billion gallons in 2020 and then reached 57 billion gallons in 2021, and throughout 2022 continued to trend back to pre-COVID levels.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that there is a growing and significant market demand for SAF production based on a number of factors, including:</w:t>
      </w:r>
    </w:p>
    <w:p>
      <w:pPr>
        <w:spacing w:after="0" w:line="288" w:lineRule="exact"/>
        <w:rPr>
          <w:sz w:val="20"/>
          <w:szCs w:val="20"/>
          <w:color w:val="auto"/>
        </w:rPr>
      </w:pPr>
    </w:p>
    <w:p>
      <w:pPr>
        <w:jc w:val="both"/>
        <w:ind w:left="860" w:right="260" w:hanging="368"/>
        <w:spacing w:after="0" w:line="248"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Biden administration launched a new Sustainable Aviation Fuel Grand Challenge to meet the demand for sustainable aviation fuels by working with stakeholders to reduce costs, enhance sustainability, and expand production and use of sustainable aviation fuels that achieves a minimum of a 50% reduction in life cycle GHGs compared to conventional fuel. In addition, the challenge will adopt the goal of supplying at least 3 billion gallons of SAF per year by 2030 and, by 2050, sufficient SAF to meet 100% of aviation fuel demand, which is currently projected to be around 35 billion gallons per year.</w:t>
      </w:r>
    </w:p>
    <w:p>
      <w:pPr>
        <w:spacing w:after="0" w:line="15" w:lineRule="exact"/>
        <w:rPr>
          <w:rFonts w:ascii="Arial" w:cs="Arial" w:eastAsia="Arial" w:hAnsi="Arial"/>
          <w:sz w:val="17"/>
          <w:szCs w:val="17"/>
          <w:color w:val="auto"/>
        </w:rPr>
      </w:pPr>
    </w:p>
    <w:p>
      <w:pPr>
        <w:jc w:val="both"/>
        <w:ind w:left="860" w:right="260" w:hanging="368"/>
        <w:spacing w:after="0" w:line="231"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International Air Transport Association ("IATA") 77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Annual General Meeting approved a resolution for the global air transport industry to achieve net-zero carbon emissions by 2050. IATA has 302 airline members, including Alaska Airlines, American Airlines, Delta Air Lines, FedEx Express, United Airlines and UPS Airlines.</w:t>
      </w:r>
    </w:p>
    <w:p>
      <w:pPr>
        <w:spacing w:after="0" w:line="27" w:lineRule="exact"/>
        <w:rPr>
          <w:rFonts w:ascii="Arial" w:cs="Arial" w:eastAsia="Arial" w:hAnsi="Arial"/>
          <w:sz w:val="17"/>
          <w:szCs w:val="17"/>
          <w:color w:val="auto"/>
        </w:rPr>
      </w:pPr>
    </w:p>
    <w:p>
      <w:pPr>
        <w:jc w:val="both"/>
        <w:ind w:left="860" w:right="260" w:hanging="368"/>
        <w:spacing w:after="0" w:line="256"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March 2020, Delta Air Lines committed to spending $1 billion over the next 10 years on its objective to mitigate emissions from its global business going forward. Delta will invest in innovation, advancing clean air travel technologies, accelerating the reduction of carbon emissions and waste, and establishing new projects to mitigate the balance of emissions.</w:t>
      </w:r>
    </w:p>
    <w:p>
      <w:pPr>
        <w:spacing w:after="0" w:line="27" w:lineRule="exact"/>
        <w:rPr>
          <w:rFonts w:ascii="Arial" w:cs="Arial" w:eastAsia="Arial" w:hAnsi="Arial"/>
          <w:sz w:val="17"/>
          <w:szCs w:val="17"/>
          <w:color w:val="auto"/>
        </w:rPr>
      </w:pPr>
    </w:p>
    <w:p>
      <w:pPr>
        <w:ind w:left="860" w:hanging="36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one</w:t>
      </w:r>
      <w:r>
        <w:rPr>
          <w:rFonts w:ascii="Arial" w:cs="Arial" w:eastAsia="Arial" w:hAnsi="Arial"/>
          <w:sz w:val="16"/>
          <w:szCs w:val="16"/>
          <w:i w:val="1"/>
          <w:iCs w:val="1"/>
          <w:color w:val="auto"/>
        </w:rPr>
        <w:t>world®</w:t>
      </w:r>
      <w:r>
        <w:rPr>
          <w:rFonts w:ascii="Arial" w:cs="Arial" w:eastAsia="Arial" w:hAnsi="Arial"/>
          <w:sz w:val="16"/>
          <w:szCs w:val="16"/>
          <w:color w:val="auto"/>
        </w:rPr>
        <w:t xml:space="preserve"> alliance committed to a target of 10% SAF use across the alliance by 2030 and plans to reach net-zero emissions by 2050.</w:t>
      </w:r>
    </w:p>
    <w:p>
      <w:pPr>
        <w:spacing w:after="0" w:line="64" w:lineRule="exact"/>
        <w:rPr>
          <w:rFonts w:ascii="Arial" w:cs="Arial" w:eastAsia="Arial" w:hAnsi="Arial"/>
          <w:sz w:val="16"/>
          <w:szCs w:val="16"/>
          <w:color w:val="auto"/>
        </w:rPr>
      </w:pPr>
    </w:p>
    <w:p>
      <w:pPr>
        <w:jc w:val="both"/>
        <w:ind w:left="860" w:right="260" w:hanging="368"/>
        <w:spacing w:after="0" w:line="256"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World Economic Forum's Clean Skies for Tomorrow Coalition, a group of airlines, airports, fuel suppliers and other industry stakeholders working to advance the transition to net-zero flying, in September 2021 announced a joint goal to achieve a blend of 10% SAF in global jet fuel by 2050.</w:t>
      </w:r>
    </w:p>
    <w:p>
      <w:pPr>
        <w:spacing w:after="0" w:line="328"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We believe that we possess the ability to convert various carbohydrate feedstocks through a fermentation process into alcohols and then transform the alcohols into renewable fuels and materials, through a combination of licensing of technology and engineering from third parties, and our own technology, know-how, and engineering.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spacing w:after="0" w:line="206" w:lineRule="exact"/>
        <w:rPr>
          <w:sz w:val="20"/>
          <w:szCs w:val="20"/>
          <w:color w:val="auto"/>
        </w:rPr>
      </w:pPr>
    </w:p>
    <w:p>
      <w:pPr>
        <w:ind w:right="180" w:firstLine="470"/>
        <w:spacing w:after="0" w:line="313" w:lineRule="auto"/>
        <w:rPr>
          <w:sz w:val="20"/>
          <w:szCs w:val="20"/>
          <w:color w:val="auto"/>
        </w:rPr>
      </w:pPr>
      <w:r>
        <w:rPr>
          <w:rFonts w:ascii="Arial" w:cs="Arial" w:eastAsia="Arial" w:hAnsi="Arial"/>
          <w:sz w:val="15"/>
          <w:szCs w:val="15"/>
          <w:color w:val="auto"/>
        </w:rPr>
        <w:t>Our SAF production process uses carbohydrates as a feedstock. Carbohydrates are plant matter that result from photosynthesis. Photosynthesis is the natural process by which carbon dioxide is captured from the air by plants. The carbon in carbohydrates is therefore renewable because it is already in the atmosphere. The carbohydrates are fermented to produce alcohol intermediate products (</w:t>
      </w:r>
      <w:r>
        <w:rPr>
          <w:rFonts w:ascii="Arial" w:cs="Arial" w:eastAsia="Arial" w:hAnsi="Arial"/>
          <w:sz w:val="15"/>
          <w:szCs w:val="15"/>
          <w:i w:val="1"/>
          <w:iCs w:val="1"/>
          <w:color w:val="auto"/>
        </w:rPr>
        <w:t>e.g.</w:t>
      </w:r>
      <w:r>
        <w:rPr>
          <w:rFonts w:ascii="Arial" w:cs="Arial" w:eastAsia="Arial" w:hAnsi="Arial"/>
          <w:sz w:val="15"/>
          <w:szCs w:val="15"/>
          <w:color w:val="auto"/>
        </w:rPr>
        <w:t>, ethanol or isobutanol). The alcohol-based intermediates are then chemically processed to make renewable hydrocarbons. To achieve net-zero carbon intensity ("CI") across the whole life cycle of the products, we believe:</w:t>
      </w:r>
    </w:p>
    <w:p>
      <w:pPr>
        <w:spacing w:after="0" w:line="211" w:lineRule="exact"/>
        <w:rPr>
          <w:sz w:val="20"/>
          <w:szCs w:val="20"/>
          <w:color w:val="auto"/>
        </w:rPr>
      </w:pPr>
    </w:p>
    <w:p>
      <w:pPr>
        <w:ind w:left="840" w:hanging="348"/>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carbohydrates with a low CI score must be used in production;</w:t>
      </w:r>
    </w:p>
    <w:p>
      <w:pPr>
        <w:spacing w:after="0" w:line="52" w:lineRule="exact"/>
        <w:rPr>
          <w:rFonts w:ascii="Arial" w:cs="Arial" w:eastAsia="Arial" w:hAnsi="Arial"/>
          <w:sz w:val="17"/>
          <w:szCs w:val="17"/>
          <w:color w:val="auto"/>
        </w:rPr>
      </w:pPr>
    </w:p>
    <w:p>
      <w:pPr>
        <w:ind w:left="840" w:hanging="348"/>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energy (electricity and heat sources) used in production must be de-fossilized; and</w:t>
      </w:r>
    </w:p>
    <w:p>
      <w:pPr>
        <w:spacing w:after="0" w:line="52" w:lineRule="exact"/>
        <w:rPr>
          <w:rFonts w:ascii="Arial" w:cs="Arial" w:eastAsia="Arial" w:hAnsi="Arial"/>
          <w:sz w:val="17"/>
          <w:szCs w:val="17"/>
          <w:color w:val="auto"/>
        </w:rPr>
      </w:pPr>
    </w:p>
    <w:p>
      <w:pPr>
        <w:ind w:left="840" w:hanging="348"/>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products cannot contain fossil-based carbon.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We believe sustainably grown industrial field corn (</w:t>
      </w:r>
      <w:r>
        <w:rPr>
          <w:rFonts w:ascii="Arial" w:cs="Arial" w:eastAsia="Arial" w:hAnsi="Arial"/>
          <w:sz w:val="17"/>
          <w:szCs w:val="17"/>
          <w:i w:val="1"/>
          <w:iCs w:val="1"/>
          <w:color w:val="auto"/>
        </w:rPr>
        <w:t>i.e.</w:t>
      </w:r>
      <w:r>
        <w:rPr>
          <w:rFonts w:ascii="Arial" w:cs="Arial" w:eastAsia="Arial" w:hAnsi="Arial"/>
          <w:sz w:val="17"/>
          <w:szCs w:val="17"/>
          <w:color w:val="auto"/>
        </w:rPr>
        <w:t>, corn that is grown with precision agricultural techniques and low-till or no till cultivation to conserve nutrients, prevent water runoff and erosion) is the best feedstock to commercialize our SAF with initially because:</w:t>
      </w:r>
    </w:p>
    <w:p>
      <w:pPr>
        <w:spacing w:after="0" w:line="223" w:lineRule="exact"/>
        <w:rPr>
          <w:sz w:val="20"/>
          <w:szCs w:val="20"/>
          <w:color w:val="auto"/>
        </w:rPr>
      </w:pPr>
    </w:p>
    <w:p>
      <w:pPr>
        <w:ind w:left="840" w:right="520" w:hanging="348"/>
        <w:spacing w:after="0" w:line="272"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it produces a significant amount of protein and vegetable oil for nutritional products on a per acre basis while also producing an abundance of low CI carbohydrates that can be captured and used as a feedstock for fuels and chemicals;</w:t>
      </w:r>
    </w:p>
    <w:p>
      <w:pPr>
        <w:spacing w:after="0" w:line="1" w:lineRule="exact"/>
        <w:rPr>
          <w:rFonts w:ascii="Arial" w:cs="Arial" w:eastAsia="Arial" w:hAnsi="Arial"/>
          <w:sz w:val="17"/>
          <w:szCs w:val="17"/>
          <w:color w:val="auto"/>
        </w:rPr>
      </w:pPr>
    </w:p>
    <w:p>
      <w:pPr>
        <w:ind w:left="840" w:right="460" w:hanging="348"/>
        <w:spacing w:after="0" w:line="272"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protein and oil that are produced can be easily separated and sold as co-products into the food chain markets. The revenue from the protein and oil sales serve to offset the cost of the corn feedstock;</w:t>
      </w:r>
    </w:p>
    <w:p>
      <w:pPr>
        <w:spacing w:after="0" w:line="1" w:lineRule="exact"/>
        <w:rPr>
          <w:rFonts w:ascii="Arial" w:cs="Arial" w:eastAsia="Arial" w:hAnsi="Arial"/>
          <w:sz w:val="17"/>
          <w:szCs w:val="17"/>
          <w:color w:val="auto"/>
        </w:rPr>
      </w:pPr>
    </w:p>
    <w:p>
      <w:pPr>
        <w:ind w:left="840" w:right="440" w:hanging="348"/>
        <w:spacing w:after="0" w:line="272"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believe that the carbon footprint of growing corn can be negative, according to calculations completed with the GREET Model, when a full suite of climate-smart agricultural practices is employed on appropriate acres of cropland;</w:t>
      </w:r>
    </w:p>
    <w:p>
      <w:pPr>
        <w:spacing w:after="0" w:line="1" w:lineRule="exact"/>
        <w:rPr>
          <w:rFonts w:ascii="Arial" w:cs="Arial" w:eastAsia="Arial" w:hAnsi="Arial"/>
          <w:sz w:val="17"/>
          <w:szCs w:val="17"/>
          <w:color w:val="auto"/>
        </w:rPr>
      </w:pPr>
    </w:p>
    <w:p>
      <w:pPr>
        <w:ind w:left="840" w:hanging="34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believe that corn can achieve lower CI scores when grown with climate-smart agricultural techniques than waste raw materials or wood; and</w:t>
      </w:r>
    </w:p>
    <w:p>
      <w:pPr>
        <w:spacing w:after="0" w:line="64" w:lineRule="exact"/>
        <w:rPr>
          <w:rFonts w:ascii="Arial" w:cs="Arial" w:eastAsia="Arial" w:hAnsi="Arial"/>
          <w:sz w:val="16"/>
          <w:szCs w:val="16"/>
          <w:color w:val="auto"/>
        </w:rPr>
      </w:pPr>
    </w:p>
    <w:p>
      <w:pPr>
        <w:ind w:left="840" w:right="420" w:hanging="348"/>
        <w:spacing w:after="0" w:line="272"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believe that residual carbohydrates from corn are the lowest cost carbohydrates available as a renewable raw material, and the production is proven and scalable.</w:t>
      </w:r>
    </w:p>
    <w:p>
      <w:pPr>
        <w:spacing w:after="0" w:line="315"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We believe that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Building Out Production Capacity to Meet Demand</w:t>
      </w:r>
    </w:p>
    <w:p>
      <w:pPr>
        <w:spacing w:after="0" w:line="255"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We believe that we will be able to develop the marketplace, customers and production capacity to achieve at least 1 billion gallons of sales by 2030. Two approaches will be required to achieve this objective. The first approach, the development of greenfield sites (</w:t>
      </w:r>
      <w:r>
        <w:rPr>
          <w:rFonts w:ascii="Arial" w:cs="Arial" w:eastAsia="Arial" w:hAnsi="Arial"/>
          <w:sz w:val="17"/>
          <w:szCs w:val="17"/>
          <w:i w:val="1"/>
          <w:iCs w:val="1"/>
          <w:color w:val="auto"/>
        </w:rPr>
        <w:t>i.e.</w:t>
      </w:r>
      <w:r>
        <w:rPr>
          <w:rFonts w:ascii="Arial" w:cs="Arial" w:eastAsia="Arial" w:hAnsi="Arial"/>
          <w:sz w:val="17"/>
          <w:szCs w:val="17"/>
          <w:color w:val="auto"/>
        </w:rPr>
        <w:t>, the development of a project on an undeveloped site), allows us to optimize production and the integration of technology. The second approach, leveraging installed alcohol production capacity, has the advantage that the fermentation capacity already exists via existing ethanol plants. Those existing ethanol plants would need to be decarbonized and hydrocarbon production capacity would need to be installed.</w:t>
      </w:r>
    </w:p>
    <w:p>
      <w:pPr>
        <w:spacing w:after="0" w:line="206"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(such as, photosynthetic, wind, renewable natural gas, and biogas) from a variety of sources into energy dense liquid hydrocarbons that when burned in traditional engines, have the potential to achieve net-zero GHG emissions across the life-cycle of the liquid fuel based on the GREET Model, the pre-eminent science-based life-cycle analysis model. The GREET Model takes into account emissions and impacts cradle-to-cradle for renewable resource-based fuels including inputs and generation of raw materials, agriculture practices, chemicals used in production processes of both feedstocks and products, energy sources used in production and transportation and the end use of the products, which for fuel products is usually burning to release energy.</w:t>
      </w:r>
    </w:p>
    <w:p>
      <w:pPr>
        <w:spacing w:after="0" w:line="211"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Using sustainably grown corn or low CI corn as an input at a Net-Zero Project would comprise the following steps: (i) process the corn kernels to produce protein, oil and carbohydrate; (ii) ferment the carbohydrate into an alcohol; and (iii) convert the alcohol to SAF and other renewable hydrocarbon products. The combination of renewable carbon obtained from the carbohydrates, plus the reduction/elimination of fossil-based energy creates the advantage in driving the CI score to achieve net-zero. In addition to those practices, there is potential to sequester renewable carbon in the soil during corn production, and from capturing the CO2 from the production process, which should cause the CI scores to become negative across the whole life-cycle of the product as measured by the GREET Model.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Greenfield Projects</w:t>
      </w:r>
    </w:p>
    <w:p>
      <w:pPr>
        <w:spacing w:after="0" w:line="249"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In January 2021, we announced our initial greenfield Net-Zero Project, Net-Zero 1 ("NZ1"), that is currently planned to be constructed at Lake Preston, South Dakota. NZ1 is currently being designed to produce approximately 62 million gallons per year ("MGPY") of total hydrocarbon volumes, including 55 MGPY of SAF. The plant is expected to be powered by wind-based electricity. The products expected to be produced at the NZ1 include: animal feed protein products, corn oil, SAF, naptha (gasoline) and/or diesel fuel. The co-products produced at the NZ1 and destined for the food chain, on a tonnage basis, are greater than that for renewable fuels. We believe that NZ1 will be operational in 2025.</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00" w:firstLine="470"/>
        <w:spacing w:after="0" w:line="324" w:lineRule="auto"/>
        <w:rPr>
          <w:sz w:val="20"/>
          <w:szCs w:val="20"/>
          <w:color w:val="auto"/>
        </w:rPr>
      </w:pPr>
      <w:r>
        <w:rPr>
          <w:rFonts w:ascii="Arial" w:cs="Arial" w:eastAsia="Arial" w:hAnsi="Arial"/>
          <w:sz w:val="15"/>
          <w:szCs w:val="15"/>
          <w:color w:val="auto"/>
        </w:rPr>
        <w:t>In addition to the Lake Preston, South Dakota site, we have identified several other greenfield sites that are attractive from the standpoint of fundamental economics, access to sustainable feedstocks, deployment of renewable energy and transportation of finished product to market. We have signed agreements and letters of intent with multiple parties to secure access to several sites. We believe any of these sites could be utilized for a future greenfield Net-Zero Project.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Leveraging Existing Alcohol Production Capacity</w:t>
      </w:r>
    </w:p>
    <w:p>
      <w:pPr>
        <w:spacing w:after="0" w:line="249"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Based upon what we have learned as we develop and engineer our Net-Zero 1 Project, we believe that it should be possible, practical and financially attractive to convert existing ethanol plants to allow for the production of SAF and other renewable hydrocarbon products. In order to accomplish this conversion, two critical things are required: (i) the energy for the converted plant needs to be de-fossilized to achieve the CI scores required for the market; and (ii) a hydrocarbon production plant needs to be built.</w:t>
      </w:r>
    </w:p>
    <w:p>
      <w:pPr>
        <w:spacing w:after="0" w:line="202"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We believe that there are several existing ethanol plants that could be attractive for an alcohol-to-jet ("ATJ") plant that would be largely copied from our NZ1 Project.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Renewable Natural Gas</w:t>
      </w:r>
    </w:p>
    <w:p>
      <w:pPr>
        <w:spacing w:after="0" w:line="255"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We are developing RNG and biogas projects to generate incremental profit and to create a long-term option to potentially supply RNG to our Net-Zero Projects as part of our long-term strategy to decarbonize SAF and other hydrocarbon fuels.</w:t>
      </w:r>
    </w:p>
    <w:p>
      <w:pPr>
        <w:spacing w:after="0" w:line="184"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In 2019, we began developing RNG projects. Animal manure can be digested anaerobically to produce RNG. RNG has value in markets such as California as well as in our hydrocarbon production process by helping us achieve carbon negative GHG emissions on our renewable hydrocarbon products. The end products resulting from such a decarbonization process have lower CI scores and increased market value, in addition to having a more positive impact on the environment. We developed our initial RNG project, Gevo NW Iowa RNG, LLC ("Gevo RNG"), to generate RNG captured from dairy cow manure which is supplied by three dairies located in Northwest Iowa totaling over 20,000 milking cows. When fully operational, the Gevo RNG project is expected to generate approximately 355,000 MMBtu of RNG per year.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commenced construction in April 2021.</w:t>
      </w:r>
    </w:p>
    <w:p>
      <w:pPr>
        <w:spacing w:after="0" w:line="197"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In January 2022, Gevo RNG began start-up operations, and in the third quarter of 2022 we ramped up its production of biogas, raw biogas upgrading to RNG, and the injection of RNG into an interconnected natural gas pipeline. The majority of the revenue from the associated environmental attributes, however, is expected to commence in 2023 due to the timing of the approval and documentation process for the related credits under the federal Renewable Fuel Standard Program (“RFS Program”) and the Low Carbon Fuel Standard (“LCFS”) in California, including the verification of carbon intensity levels and other administrative requirements.</w:t>
      </w:r>
    </w:p>
    <w:p>
      <w:pPr>
        <w:spacing w:after="0" w:line="206"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We made incremental improvements and optimizations at the Gevo RNG project by investing in capital projects that are expected to improve its CI score and expand its capacity. Gevo’s estimated share of the capital cost for these improvements is approximately $1.9 million. The improvement and optimization work will continue through 2023 as one of the dairies expands. In June 2022, we amended our lease with the expanding dairy to provide the Gevo RNG project with additional manure, which is expected to increase our RNG production.</w:t>
      </w:r>
    </w:p>
    <w:p>
      <w:pPr>
        <w:spacing w:after="0" w:line="202" w:lineRule="exact"/>
        <w:rPr>
          <w:sz w:val="20"/>
          <w:szCs w:val="20"/>
          <w:color w:val="auto"/>
        </w:rPr>
      </w:pPr>
    </w:p>
    <w:p>
      <w:pPr>
        <w:ind w:right="420" w:firstLine="470"/>
        <w:spacing w:after="0" w:line="297" w:lineRule="auto"/>
        <w:rPr>
          <w:sz w:val="20"/>
          <w:szCs w:val="20"/>
          <w:color w:val="auto"/>
        </w:rPr>
      </w:pPr>
      <w:r>
        <w:rPr>
          <w:rFonts w:ascii="Arial" w:cs="Arial" w:eastAsia="Arial" w:hAnsi="Arial"/>
          <w:sz w:val="16"/>
          <w:szCs w:val="16"/>
          <w:color w:val="auto"/>
        </w:rPr>
        <w:t>We believe the trust and reputation we have attained in the RNG industry, in combination with our understanding of the various and complex environmental attributes, gives us a competitive advantage. We leverage our relationships to identify and execute new project opportunities. Typically, new development opportunities come from our existing relationships with dairy owners who value our reputation in the industry.</w:t>
      </w:r>
    </w:p>
    <w:p>
      <w:pPr>
        <w:spacing w:after="0" w:line="179" w:lineRule="exact"/>
        <w:rPr>
          <w:sz w:val="20"/>
          <w:szCs w:val="20"/>
          <w:color w:val="auto"/>
        </w:rPr>
      </w:pPr>
    </w:p>
    <w:p>
      <w:pPr>
        <w:jc w:val="both"/>
        <w:ind w:right="80" w:firstLine="470"/>
        <w:spacing w:after="0" w:line="272" w:lineRule="auto"/>
        <w:rPr>
          <w:sz w:val="20"/>
          <w:szCs w:val="20"/>
          <w:color w:val="auto"/>
        </w:rPr>
      </w:pPr>
      <w:r>
        <w:rPr>
          <w:rFonts w:ascii="Arial" w:cs="Arial" w:eastAsia="Arial" w:hAnsi="Arial"/>
          <w:sz w:val="17"/>
          <w:szCs w:val="17"/>
          <w:color w:val="auto"/>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our production by expanding operations when economically feasible.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Advantages</w:t>
      </w:r>
    </w:p>
    <w:p>
      <w:pPr>
        <w:spacing w:after="0" w:line="255" w:lineRule="exact"/>
        <w:rPr>
          <w:sz w:val="20"/>
          <w:szCs w:val="20"/>
          <w:color w:val="auto"/>
        </w:rPr>
      </w:pPr>
    </w:p>
    <w:p>
      <w:pPr>
        <w:ind w:firstLine="470"/>
        <w:spacing w:after="0" w:line="295" w:lineRule="auto"/>
        <w:rPr>
          <w:sz w:val="20"/>
          <w:szCs w:val="20"/>
          <w:color w:val="auto"/>
        </w:rPr>
      </w:pPr>
      <w:r>
        <w:rPr>
          <w:rFonts w:ascii="Arial" w:cs="Arial" w:eastAsia="Arial" w:hAnsi="Arial"/>
          <w:sz w:val="15"/>
          <w:szCs w:val="15"/>
          <w:color w:val="auto"/>
        </w:rPr>
        <w:t>We believe that our vertically integrated set of technologies and business systems (including our extensive portfolio of several hundred patents and patent applications, trade-secrets, and proprietary production technologies) creates competitive advantage through (i) access to multiple opportunities to drive the CI score of our products down, (ii) opportunities to address needs in the chemicals, food, feed, plastics and materials markets, (iii) to drive production costs very low to maximize margins, (iv) deploy production technology that is readily scalable and robust from an operating point of view, (v) through Verity Tracking, and</w:t>
      </w:r>
    </w:p>
    <w:p>
      <w:pPr>
        <w:ind w:right="320" w:firstLine="5"/>
        <w:spacing w:after="0" w:line="305" w:lineRule="auto"/>
        <w:tabs>
          <w:tab w:leader="none" w:pos="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modular design of production facilities which can help to facilitate rapid deployment of production assets. The vertical business systems enable Gevo to capture value from the selling protein, vegetable oil, capturing biogenic carbon, generating carbon value at state and federal levels.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Carbohydrates as Feedstocks</w:t>
      </w:r>
    </w:p>
    <w:p>
      <w:pPr>
        <w:spacing w:after="0" w:line="249" w:lineRule="exact"/>
        <w:rPr>
          <w:sz w:val="20"/>
          <w:szCs w:val="20"/>
          <w:color w:val="auto"/>
        </w:rPr>
      </w:pPr>
    </w:p>
    <w:p>
      <w:pPr>
        <w:ind w:right="40" w:firstLine="470"/>
        <w:spacing w:after="0" w:line="263" w:lineRule="auto"/>
        <w:rPr>
          <w:sz w:val="20"/>
          <w:szCs w:val="20"/>
          <w:color w:val="auto"/>
        </w:rPr>
      </w:pPr>
      <w:r>
        <w:rPr>
          <w:rFonts w:ascii="Arial" w:cs="Arial" w:eastAsia="Arial" w:hAnsi="Arial"/>
          <w:sz w:val="17"/>
          <w:szCs w:val="17"/>
          <w:color w:val="auto"/>
        </w:rPr>
        <w:t>Carbohydrate feedstocks exceed all other potential renewable carbon feedstock sources by several orders of magnitude on a worldwide basis. In the Midwest region of the U.S. corn is an ideal feedstock for multiple reasons. On a per acre basis, field corn (not food corn) is one of the most productive crops to produce protein and oil, as well as carbohydrates. The non-carbohydrate co-products from the field corn kernel represent the majority of the nutritional value of the kernel and could be delivered into the food chain. By selling the protein, oil and animal feed into the food chain markets, it would offset a portion of the cost of acquiring the corn. We believe about 50% of the cost of corn can be offset by manufacturing valuable products for the food chain. The remaining carbohydrates are used as a feedstock for fermentation.</w:t>
      </w:r>
    </w:p>
    <w:p>
      <w:pPr>
        <w:spacing w:after="0" w:line="205" w:lineRule="exact"/>
        <w:rPr>
          <w:sz w:val="20"/>
          <w:szCs w:val="20"/>
          <w:color w:val="auto"/>
        </w:rPr>
      </w:pPr>
    </w:p>
    <w:p>
      <w:pPr>
        <w:ind w:right="120" w:firstLine="470"/>
        <w:spacing w:after="0" w:line="263" w:lineRule="auto"/>
        <w:rPr>
          <w:sz w:val="20"/>
          <w:szCs w:val="20"/>
          <w:color w:val="auto"/>
        </w:rPr>
      </w:pPr>
      <w:r>
        <w:rPr>
          <w:rFonts w:ascii="Arial" w:cs="Arial" w:eastAsia="Arial" w:hAnsi="Arial"/>
          <w:sz w:val="17"/>
          <w:szCs w:val="17"/>
          <w:color w:val="auto"/>
        </w:rPr>
        <w:t>We believe that in the U.S., carbohydrates produced from corn are the most sustainable and lowest cost renewable carbon source that can be used as feedstock for alcohol to hydrocarbon processes to produce hydrocarbon fuels. In the future, we expect to evaluate the commercial use of carbohydrates from sources other than corn (</w:t>
      </w:r>
      <w:r>
        <w:rPr>
          <w:rFonts w:ascii="Arial" w:cs="Arial" w:eastAsia="Arial" w:hAnsi="Arial"/>
          <w:sz w:val="17"/>
          <w:szCs w:val="17"/>
          <w:i w:val="1"/>
          <w:iCs w:val="1"/>
          <w:color w:val="auto"/>
        </w:rPr>
        <w:t>e.g.</w:t>
      </w:r>
      <w:r>
        <w:rPr>
          <w:rFonts w:ascii="Arial" w:cs="Arial" w:eastAsia="Arial" w:hAnsi="Arial"/>
          <w:sz w:val="17"/>
          <w:szCs w:val="17"/>
          <w:color w:val="auto"/>
        </w:rPr>
        <w:t>, of sugar cane, molasses or other cellulosic sugars derived from wood, agricultural residues and waste) as the cost to acquire those carbohydrates becomes competitive, and the sustainability profile (and related CI scores) become acceptable. We expect our future feedstocks to be chosen on the collective basis of (i) cost, (ii) carbon and/or sustainability footprint with associated value, (iii) positive contribution to food chain where possible, and (iv) availability of the feedstock at a practical scale.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Proprietary Carbohydrate Conversion Technologies</w:t>
      </w:r>
    </w:p>
    <w:p>
      <w:pPr>
        <w:spacing w:after="0" w:line="249"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Three technologies are required to convert carbohydrates to SAF and other renewable hydrocarbons: (i) the fermentation process to convert carbohydrates to alcohols; (ii) the chemical processing technology to make the hydrocarbon fuel products; and (iii) the technology and know-how to mitigate the fossil based GHG emissions from the integrated fermentation and fuel production plants.</w:t>
      </w:r>
    </w:p>
    <w:p>
      <w:pPr>
        <w:spacing w:after="0" w:line="198"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We have two ways of producing alcohols via fermentation from carbohydrates: (i) ethanol, which has two carbons, and (ii) isobutanol, which has four carbons. Ethanol can be a building block for SAF, diesel fuel, naptha and chemical products. Isobutanol can be a building block for gasoline hydrocarbons, SAF and chemical products. Ethanol technology is well known and readily available. Isobutanol technology is relatively new and has yet to be scaled to the size of current ethanol production, but it offers long-term potential in enabling lower CI scores and allowing for the production of chemical products, and high value gasoline hydrocarbons.</w:t>
      </w:r>
    </w:p>
    <w:p>
      <w:pPr>
        <w:spacing w:after="0" w:line="206" w:lineRule="exact"/>
        <w:rPr>
          <w:sz w:val="20"/>
          <w:szCs w:val="20"/>
          <w:color w:val="auto"/>
        </w:rPr>
      </w:pPr>
    </w:p>
    <w:p>
      <w:pPr>
        <w:ind w:right="880" w:firstLine="470"/>
        <w:spacing w:after="0" w:line="288" w:lineRule="auto"/>
        <w:rPr>
          <w:sz w:val="20"/>
          <w:szCs w:val="20"/>
          <w:color w:val="auto"/>
        </w:rPr>
      </w:pPr>
      <w:r>
        <w:rPr>
          <w:rFonts w:ascii="Arial" w:cs="Arial" w:eastAsia="Arial" w:hAnsi="Arial"/>
          <w:sz w:val="17"/>
          <w:szCs w:val="17"/>
          <w:color w:val="auto"/>
        </w:rPr>
        <w:t>We believe that we possess proprietary know-how to integrate alcohol production and chemical processing to make SAF and other renewable hydrocarbons that should lower the CI score of our renewable hydrocarbon products.</w:t>
      </w:r>
    </w:p>
    <w:p>
      <w:pPr>
        <w:spacing w:after="0" w:line="184" w:lineRule="exact"/>
        <w:rPr>
          <w:sz w:val="20"/>
          <w:szCs w:val="20"/>
          <w:color w:val="auto"/>
        </w:rPr>
      </w:pPr>
    </w:p>
    <w:p>
      <w:pPr>
        <w:jc w:val="both"/>
        <w:ind w:right="80" w:firstLine="470"/>
        <w:spacing w:after="0" w:line="307" w:lineRule="auto"/>
        <w:rPr>
          <w:sz w:val="20"/>
          <w:szCs w:val="20"/>
          <w:color w:val="auto"/>
        </w:rPr>
      </w:pPr>
      <w:r>
        <w:rPr>
          <w:rFonts w:ascii="Arial" w:cs="Arial" w:eastAsia="Arial" w:hAnsi="Arial"/>
          <w:sz w:val="15"/>
          <w:szCs w:val="15"/>
          <w:color w:val="auto"/>
        </w:rPr>
        <w:t>Alcohols can be converted to hydrocarbon products with catalytic chemical processing techniques analogous to those used in the petrochemical industry. In September 2021, we signed an agreement with Axens North America, Inc. ("Axens") for their technology on this process since they have already scaled it up and they have licensed to many commercial production facilities. The agreement establishes a strategic alliance aimed at accelerating the commercialization of sustainable alcohol-to-SAF projects in the United States. As part of the alliance, Axens brings technologies with over 60 related patents, engineering packages, proprietary catalysts and certain proprietary equipment required to convert alcohols into SAF and they will provide certain process guarantees to 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firstLine="470"/>
        <w:spacing w:after="0" w:line="297" w:lineRule="auto"/>
        <w:rPr>
          <w:sz w:val="20"/>
          <w:szCs w:val="20"/>
          <w:color w:val="auto"/>
        </w:rPr>
      </w:pPr>
      <w:r>
        <w:rPr>
          <w:rFonts w:ascii="Arial" w:cs="Arial" w:eastAsia="Arial" w:hAnsi="Arial"/>
          <w:sz w:val="16"/>
          <w:szCs w:val="16"/>
          <w:color w:val="auto"/>
        </w:rPr>
        <w:t>Integration of the production systems with various renewable or de-fossilized energy sources will be essential. Our Net-Zero plant concept depends upon a variety of decarbonization methods to ensure the operability of the plant while also reducing and eliminating the need for fossil-based energy. We have partnered with companies such as Zero6 Energy, formerly Juhl Energy, to develop the technology suite for this decarbonization.</w:t>
      </w:r>
    </w:p>
    <w:p>
      <w:pPr>
        <w:spacing w:after="0" w:line="179"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To prove out technologies, we own and operate a development scale plant in Luverne, Minnesota (the "Luverne Facility"). This development scale plant enables us to solve the practical issues involved with scale up of new technologies and testing of new unit operations. Gevo may use the Luverne Facility in the future to prove out processes, process concepts, unit operations and for other purposes in order to optimize feedstocks and the processes used for producing hydrocarbons from alcohols. Currently, the activities at the Luverne Facility are minimized to care and maintenance, as the Company has shifted focus to the Net-Zero Projects.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Verity Carbon Solutions</w:t>
      </w:r>
    </w:p>
    <w:p>
      <w:pPr>
        <w:spacing w:after="0" w:line="249" w:lineRule="exact"/>
        <w:rPr>
          <w:sz w:val="20"/>
          <w:szCs w:val="20"/>
          <w:color w:val="auto"/>
        </w:rPr>
      </w:pPr>
    </w:p>
    <w:p>
      <w:pPr>
        <w:ind w:right="40" w:firstLine="470"/>
        <w:spacing w:after="0" w:line="277" w:lineRule="auto"/>
        <w:rPr>
          <w:sz w:val="20"/>
          <w:szCs w:val="20"/>
          <w:color w:val="auto"/>
        </w:rPr>
      </w:pPr>
      <w:r>
        <w:rPr>
          <w:rFonts w:ascii="Arial" w:cs="Arial" w:eastAsia="Arial" w:hAnsi="Arial"/>
          <w:sz w:val="16"/>
          <w:szCs w:val="16"/>
          <w:color w:val="auto"/>
        </w:rPr>
        <w:t>It is critical that we can prove the CI of our products, ensuring that these values are accurate and auditable. The mission of Verity Carbon Solutions, including Verity Tracking ("Verity Tracking"), is to document CI and other sustainability attributes, and then apply Distributed Ledger Technology ("DLT") (commonly referred to as the blockchain) to create an immutable record of the products throughout the entire business system. Verity Tracking would start from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sold and/or traded in voluntary or compliance carbon markets while preventing double-counting. We believe that in the future, agricultural practices have the potential to sequester large quantities of CO2 as soil organic carbon. Verity Tracking intends to document and account for that capture in conjunction with scientifically supported measurement techniques. The potential for Verity Tracking is broad and could be applicable to tracking the CI of various items, including, but not limited to, renewable fuels, food, feed and industrial products through the entire business system and value chain. We are working with Blocksize Capital on the development of Verity Tracking.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Facilities and Projects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Scale Facility</w:t>
      </w:r>
    </w:p>
    <w:p>
      <w:pPr>
        <w:spacing w:after="0" w:line="249"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As described above, we currently own a development scale plant, the Luverne Facility. The Luverne Facility was originally constructed in 1998 and is located on approximately 55 acres of land containing approximately 50,000 square feet of building space. During the third quarter of 2022, the activities at our Luverne Facility were transitioned to care and maintenance, as we have shifted focus to our Net-Zero Projects. The workforce adjustment resulted in us retaining key personnel and redeploying some resources to our Net-Zero 1 Project and RNG project to provide valuable knowledge and experience for the future strategic growth of the Company. As a potential development site, future operations, if any, will be tailored to support a focus on advancing our technology, process testing, optimizing alternative feedstocks and yeast strains, and unit operations as well as partnership development for integrated GHG reductions. The Luverne Facility is well equipped and positioned as a development site. The Luverne Facility also provides a unique opportunity to showcase our decarbonization and business systems and raise awareness for future partnerships, project offtakers, investors, and local communities, even though operations at the site have been minimized.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RNG Facilities</w:t>
      </w:r>
    </w:p>
    <w:p>
      <w:pPr>
        <w:spacing w:after="0" w:line="249" w:lineRule="exact"/>
        <w:rPr>
          <w:sz w:val="20"/>
          <w:szCs w:val="20"/>
          <w:color w:val="auto"/>
        </w:rPr>
      </w:pPr>
    </w:p>
    <w:p>
      <w:pPr>
        <w:ind w:right="160" w:firstLine="470"/>
        <w:spacing w:after="0" w:line="263" w:lineRule="auto"/>
        <w:rPr>
          <w:sz w:val="20"/>
          <w:szCs w:val="20"/>
          <w:color w:val="auto"/>
        </w:rPr>
      </w:pPr>
      <w:r>
        <w:rPr>
          <w:rFonts w:ascii="Arial" w:cs="Arial" w:eastAsia="Arial" w:hAnsi="Arial"/>
          <w:sz w:val="17"/>
          <w:szCs w:val="17"/>
          <w:color w:val="auto"/>
        </w:rPr>
        <w:t>We developed Gevo's initial RNG project, Gevo RNG, in Northwest Iowa to generate RNG captured from dairy cow manure which is supplied by three dairies located in Northwest Iowa totaling over 20,000 milking cows. When fully operational, the Gevo RNG project is expected to generate approximately 355,000 MMBtu of RNG per year. The RNG is sold into the California market under dispensing agreements BP Canada Energy Marketing Corp. and BP Products North America Inc. (collectively, "BP") has in place with Clean Energy Fuels Corp., the largest fueling infrastructure in the U.S. for RNG. We commenced construction of the Gevo RNG project in April 2021, and in the third quarter of 2022, the Gevo RNG project ramped up production of biogas, raw biogas upgrading to RNG and the injection of RNG into an interconnected natural gas pipeline.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color w:val="auto"/>
        </w:rPr>
        <w:t>We have four leases for land and three fuel supply agreements related to the Gevo RNG project. Under these contracts, we lease land from dairy farmers on which we have built a gas upgrading unit, three anaerobic digesters, related equipment and pipelines. These leases expire at various dates between 2031 and 2050.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Properties</w:t>
      </w:r>
    </w:p>
    <w:p>
      <w:pPr>
        <w:spacing w:after="0" w:line="236" w:lineRule="exact"/>
        <w:rPr>
          <w:sz w:val="20"/>
          <w:szCs w:val="20"/>
          <w:color w:val="auto"/>
        </w:rPr>
      </w:pPr>
    </w:p>
    <w:p>
      <w:pPr>
        <w:ind w:right="40" w:firstLine="470"/>
        <w:spacing w:after="0" w:line="306" w:lineRule="auto"/>
        <w:rPr>
          <w:sz w:val="20"/>
          <w:szCs w:val="20"/>
          <w:color w:val="auto"/>
        </w:rPr>
      </w:pPr>
      <w:r>
        <w:rPr>
          <w:rFonts w:ascii="Arial" w:cs="Arial" w:eastAsia="Arial" w:hAnsi="Arial"/>
          <w:sz w:val="15"/>
          <w:szCs w:val="15"/>
          <w:color w:val="auto"/>
        </w:rPr>
        <w:t>In July 2022, we purchased approximately 240 acres of land for NZ1 in Lake Preston, South Dakota, followed by a groundbreaking ceremony in Lake Preston in September 2022. We believe NZ1 is on schedule with initial volumes of SAF expected to be delivered in 2025. Water and wind energy development agreements were executed in the third quarter of 2022, and other key milestones are on track for completion in accordance with our comprehensive project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w:t>
      </w:r>
    </w:p>
    <w:p>
      <w:pPr>
        <w:spacing w:after="0" w:line="249"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color w:val="auto"/>
        </w:rPr>
        <w:t>Our corporate headquarters and research and development laboratories are located in Englewood, Colorado and are leased. Our lease terminates in January 2029 and the leased space is approximately 19,241 square feet.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55"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We face competitors in each market that we focus on,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which could make it difficult for us to compete.</w:t>
      </w:r>
    </w:p>
    <w:p>
      <w:pPr>
        <w:spacing w:after="0" w:line="202"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Our renewable hydrocarbons, including SAF, compete with the incumbent petroleum-based fuels industry, as well as renewable 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should provide an opportunity for renewable producers relying on biobased feedstocks like corn, which in recent years have had lower price volatility than oil, to compete.</w:t>
      </w:r>
    </w:p>
    <w:p>
      <w:pPr>
        <w:spacing w:after="0" w:line="206"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Renewable fuels companies may provide substantial competition in the hydrocarbon fuels markets. These renewable fuel competitors are numerous and include both large established companies and numerous startups. Government tax incentives for renewable fuel producers and regulations such as the Inflation Reduction Act Clean Fuel Production Credit, RFS Program, California LCFS program, and programs emerging in other states such as Illinois help provide opportunities for renewable fuels producers to compete. We believe that we have the advantage of being able to target conversion of alcohols into specific high-value molecules such as SAF, other renewable hydrocarbons and various chemical products.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Technologies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seek protection for our intellectual property under patent, copyright, trademark and trade secret laws.</w:t>
      </w:r>
    </w:p>
    <w:p>
      <w:pPr>
        <w:spacing w:after="0" w:line="249" w:lineRule="exact"/>
        <w:rPr>
          <w:sz w:val="20"/>
          <w:szCs w:val="20"/>
          <w:color w:val="auto"/>
        </w:rPr>
      </w:pPr>
    </w:p>
    <w:p>
      <w:pPr>
        <w:ind w:right="140" w:firstLine="470"/>
        <w:spacing w:after="0" w:line="267" w:lineRule="auto"/>
        <w:rPr>
          <w:sz w:val="20"/>
          <w:szCs w:val="20"/>
          <w:color w:val="auto"/>
        </w:rPr>
      </w:pPr>
      <w:r>
        <w:rPr>
          <w:rFonts w:ascii="Arial" w:cs="Arial" w:eastAsia="Arial" w:hAnsi="Arial"/>
          <w:sz w:val="17"/>
          <w:szCs w:val="17"/>
          <w:color w:val="auto"/>
        </w:rPr>
        <w:t>Since the Company was founded, we have submitted hundreds of patent applications in the U.S. and in various foreign jurisdictions. These patent applications are for our technologies and specific methods and products that support our business. We continue to file new patent applications, for which terms extend up to 20 years from the filing date in the U.S. and for various terms in international jurisdictions. We expect to continue to develop and build our intellectual property portfolio to address unmet technology and market needs going forward.</w:t>
      </w:r>
    </w:p>
    <w:p>
      <w:pPr>
        <w:spacing w:after="0" w:line="202" w:lineRule="exact"/>
        <w:rPr>
          <w:sz w:val="20"/>
          <w:szCs w:val="20"/>
          <w:color w:val="auto"/>
        </w:rPr>
      </w:pPr>
    </w:p>
    <w:p>
      <w:pPr>
        <w:ind w:right="580" w:firstLine="470"/>
        <w:spacing w:after="0" w:line="288" w:lineRule="auto"/>
        <w:rPr>
          <w:sz w:val="20"/>
          <w:szCs w:val="20"/>
          <w:color w:val="auto"/>
        </w:rPr>
      </w:pPr>
      <w:r>
        <w:rPr>
          <w:rFonts w:ascii="Arial" w:cs="Arial" w:eastAsia="Arial" w:hAnsi="Arial"/>
          <w:sz w:val="17"/>
          <w:szCs w:val="17"/>
          <w:color w:val="auto"/>
        </w:rPr>
        <w:t>We have filed and prosecuted, and intend to continue to file and prosecute, patent applications and maintain trade secrets, as is consistent with our business plan, in an ongoing effort to protect our intellectual property.</w:t>
      </w:r>
    </w:p>
    <w:p>
      <w:pPr>
        <w:spacing w:after="0" w:line="184" w:lineRule="exact"/>
        <w:rPr>
          <w:sz w:val="20"/>
          <w:szCs w:val="20"/>
          <w:color w:val="auto"/>
        </w:rPr>
      </w:pPr>
    </w:p>
    <w:p>
      <w:pPr>
        <w:ind w:right="40" w:firstLine="470"/>
        <w:spacing w:after="0" w:line="263" w:lineRule="auto"/>
        <w:rPr>
          <w:sz w:val="20"/>
          <w:szCs w:val="20"/>
          <w:color w:val="auto"/>
        </w:rPr>
      </w:pPr>
      <w:r>
        <w:rPr>
          <w:rFonts w:ascii="Arial" w:cs="Arial" w:eastAsia="Arial" w:hAnsi="Arial"/>
          <w:sz w:val="17"/>
          <w:szCs w:val="17"/>
          <w:color w:val="auto"/>
        </w:rPr>
        <w:t>We have a strong proprietary technology position. Our technology pathway converts carbohydrates to alcohols via a fermentation process. The alcohols are then converted to hydrocarbon fuels using a catalytic chemical process. By using renewable energy across the production process, in combination with sustainable feedstocks, like low carbon non-food corn, the GHG emissions can be substantially reduced or eliminated as measured across the whole of the life-cycle. The processes used to convert carbohydrates to drop in hydrocarbons using isobutanol as the intermediate alcohol is protected by a global patent portfolio with more than 300 patents, as well as proprietary processes and know-how. Certain production technology to convert ethanol to hydrocarbons has been exclusively licensed to Gevo in the U.S. by Axens, and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incorporates more than 60 patents, as well as proprietary production technology and know-how. Additionally, we have multiple patents and patent applications covering the ethanol to hydrocarbons routes.</w:t>
      </w:r>
    </w:p>
    <w:p>
      <w:pPr>
        <w:spacing w:after="0" w:line="184" w:lineRule="exact"/>
        <w:rPr>
          <w:sz w:val="20"/>
          <w:szCs w:val="20"/>
          <w:color w:val="auto"/>
        </w:rPr>
      </w:pPr>
    </w:p>
    <w:p>
      <w:pPr>
        <w:ind w:right="80" w:firstLine="470"/>
        <w:spacing w:after="0" w:line="280" w:lineRule="auto"/>
        <w:rPr>
          <w:sz w:val="20"/>
          <w:szCs w:val="20"/>
          <w:color w:val="auto"/>
        </w:rPr>
      </w:pPr>
      <w:r>
        <w:rPr>
          <w:rFonts w:ascii="Arial" w:cs="Arial" w:eastAsia="Arial" w:hAnsi="Arial"/>
          <w:sz w:val="16"/>
          <w:szCs w:val="16"/>
          <w:color w:val="auto"/>
        </w:rPr>
        <w:t>We have a proprietary fermentation yeast biocatalyst that has been designed to consume carbohydrates and produce isobutanol as a product. Our technology team developed our proprietary biocatalyst to efficiently convert fermentable sugars of all types into isobutanol by engineering isobutanol pathways into the biocatalyst. The advantage of this biocatalyst is that it (i) works in large scale fermentation systems, and (ii) can operate in complex biological mixtures such as corn mash or molasses and produce a suitable clean isobutanol product. The technology is designed to use carbohydrate feedstocks, similar to ethanol technology. For example, carbohydrates from non-food corn, sugar cane, molasses or cellulosic sugars each could be used depending upon cost and availability. While we believe that the majority of the development work on a commercially viable isobutanol producing yeast is complete, we expect to continue to make additional improvements targeted to improve its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 Environmental Compliance</w:t>
      </w:r>
    </w:p>
    <w:p>
      <w:pPr>
        <w:spacing w:after="0" w:line="255"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Regulation by governmental authorities in the U.S. and other countries is a significant factor in the development, manufacture and marketing of second-generation renewable fuels. In particular, renewable 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renewable fuels. The process of seeking required approvals and the continuing need for compliance with applicable statutes and regulations requires the expenditure of substantial resources.</w:t>
      </w:r>
    </w:p>
    <w:p>
      <w:pPr>
        <w:spacing w:after="0" w:line="206"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We are subject to various federal, state and local environmental laws and regulations, including those relating to the discharge of materials into the air, water and ground, the generation, storage, handling, use, transportation and 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 changes to limit actual or potential impacts to the environment. A violation of these laws, regulations or permit conditions can result in substantial fines, natural resource damage, criminal sanctions, permit revocations or facility shutdowns.</w:t>
      </w:r>
    </w:p>
    <w:p>
      <w:pPr>
        <w:spacing w:after="0" w:line="178"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There is a risk of liability for the investigation and cleanup of environmental contamination at each of the properties that we own or operate and at off-site locations where we arrange for the disposal of hazardous substances. If these substances are or have been disposed of or released at sites that undergo investigation or remediation by regulatory agencies, we may be responsible under the Comprehensive Environmental Response, Compensation and Liability Act or other environmental laws for all or part of the costs of investigation and remediation. We may also be subject to related claims by private parties alleging property damage and personal injury due to exposure to hazardous or other materials at or from the properties. Some of these matters may require us to expend significant amounts for investigation and cleanup or other costs. We are not aware of any material environmental liabilities relating to contamination at or from our facilities or at off-site locations where we have transported or arranged for the disposal of hazardous substances.</w:t>
      </w:r>
    </w:p>
    <w:p>
      <w:pPr>
        <w:spacing w:after="0" w:line="196"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In addition, new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in environmental controls at our facilities which cannot be estimated at this time. Present and future environmental laws and regulations applicable to our operations, more vigorous enforcement policies and discovery of currently unknown conditions could all require us to make substantial expenditures. For example, our air emissions are subject to the Clean Air Act, the Clean Air Act Amendments of 1990 and similar state and local laws and associated regulations. Under the Clean Air Act, the EPA has promulgated National Emissions Standards for Hazardous Air Pollutants ("NESHAP"), which could apply to facilities that we own or operate if the emissions of hazardous air pollutants exceed certain thresholds. If a facility we operate is authorized to emit hazardous air pollutants above the threshold level, then we might still be required to come into compliance with another NESHAP at some future time. New or expanded facilities might be required to comply with both standards upon startup if they exceed the hazardous air pollutant threshold. In addition to costs for achieving and maintaining compliance with these laws, more stringent standards may also limit our operating flexibility.</w:t>
      </w:r>
    </w:p>
    <w:p>
      <w:pPr>
        <w:spacing w:after="0" w:line="195"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As a condition to granting the permits necessary for operating our facilities, regulators could make demands that increase our construction and operations costs, which might force us to obtain additional financing. For example, unanticipated water discharge limits could sharply increase construction costs for our projects. Permit conditions could also restrict or limit the extent of our operations. We cannot guarantee that we will be able to obtain or comply with the terms of</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80"/>
        <w:spacing w:after="0" w:line="288" w:lineRule="auto"/>
        <w:rPr>
          <w:sz w:val="20"/>
          <w:szCs w:val="20"/>
          <w:color w:val="auto"/>
        </w:rPr>
      </w:pPr>
      <w:r>
        <w:rPr>
          <w:rFonts w:ascii="Arial" w:cs="Arial" w:eastAsia="Arial" w:hAnsi="Arial"/>
          <w:sz w:val="17"/>
          <w:szCs w:val="17"/>
          <w:color w:val="auto"/>
        </w:rPr>
        <w:t>all necessary permits to complete the retrofit of an ethanol plant. Failure to obtain and comply with all applicable permits and licenses could halt our construction and could subject us to future claims.</w:t>
      </w:r>
    </w:p>
    <w:p>
      <w:pPr>
        <w:spacing w:after="0" w:line="184"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Our products benefit from the RFS Program in that our RNG is currently eligible for Renewable Identification Numbers ("RINS") that have value based on the current RFS Program. The RFS Program could change, impacting our products, positively or negatively.</w:t>
      </w:r>
    </w:p>
    <w:p>
      <w:pPr>
        <w:spacing w:after="0" w:line="184" w:lineRule="exact"/>
        <w:rPr>
          <w:sz w:val="20"/>
          <w:szCs w:val="20"/>
          <w:color w:val="auto"/>
        </w:rPr>
      </w:pPr>
    </w:p>
    <w:p>
      <w:pPr>
        <w:ind w:right="200" w:firstLine="470"/>
        <w:spacing w:after="0" w:line="264" w:lineRule="auto"/>
        <w:rPr>
          <w:sz w:val="20"/>
          <w:szCs w:val="20"/>
          <w:color w:val="auto"/>
        </w:rPr>
      </w:pPr>
      <w:r>
        <w:rPr>
          <w:rFonts w:ascii="Arial" w:cs="Arial" w:eastAsia="Arial" w:hAnsi="Arial"/>
          <w:sz w:val="17"/>
          <w:szCs w:val="17"/>
          <w:color w:val="auto"/>
        </w:rPr>
        <w:t>Various systems are being put in place around the world to measure CI and the reduction of GHGs, with the intent of creating a system to monetize the value of the reduction of carbon. In order to benefit from such systems, companies need to have their products qualified through a regulatory process. There is no guarantee that any benefit could be gained. In 2019, we submitted a design pathway application to the California Air Resources Board to gain approval for low-carbon intensity ethanol utilizing beef manure biogas as a process input under the LCFS, and we may also seek approval under similar programs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People and Culture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Higher Purpose</w:t>
      </w:r>
    </w:p>
    <w:p>
      <w:pPr>
        <w:spacing w:after="0" w:line="249" w:lineRule="exact"/>
        <w:rPr>
          <w:sz w:val="20"/>
          <w:szCs w:val="20"/>
          <w:color w:val="auto"/>
        </w:rPr>
      </w:pPr>
    </w:p>
    <w:p>
      <w:pPr>
        <w:ind w:right="100" w:firstLine="470"/>
        <w:spacing w:after="0" w:line="297" w:lineRule="auto"/>
        <w:rPr>
          <w:sz w:val="20"/>
          <w:szCs w:val="20"/>
          <w:color w:val="auto"/>
        </w:rPr>
      </w:pPr>
      <w:r>
        <w:rPr>
          <w:rFonts w:ascii="Arial" w:cs="Arial" w:eastAsia="Arial" w:hAnsi="Arial"/>
          <w:sz w:val="16"/>
          <w:szCs w:val="16"/>
          <w:color w:val="auto"/>
        </w:rPr>
        <w:t>Our employees strive to make environmental and social impacts in the world. Our employees are also guided by our code of business conduct and ethics, which helps them to uphold and strengthen the standards of integrity and innovation while continuously improving our environment, health, safety and sustainability, which has defined us since our founding. Our world and business may change, but our core values are a constant in everything we do.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Employees</w:t>
      </w:r>
    </w:p>
    <w:p>
      <w:pPr>
        <w:spacing w:after="0" w:line="249"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As of December 31, 2022, we had 89 employees in North America. We also retain consultants, independent contractors, and temporary and part-time workers. None of our facilities in the U.S. are covered by collective bargaining agreements. The Gevo team is made up of scientists, research and development experts, operations, administrative and business development professionals, skilled trades and energy technicians.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8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i w:val="1"/>
                <w:iCs w:val="1"/>
                <w:color w:val="auto"/>
                <w:w w:val="90"/>
              </w:rPr>
              <w:t>Employment</w:t>
            </w:r>
          </w:p>
        </w:tc>
        <w:tc>
          <w:tcPr>
            <w:tcW w:w="88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9740" w:type="dxa"/>
            <w:vAlign w:val="bottom"/>
            <w:gridSpan w:val="4"/>
          </w:tcPr>
          <w:p>
            <w:pPr>
              <w:spacing w:after="0"/>
              <w:rPr>
                <w:sz w:val="20"/>
                <w:szCs w:val="20"/>
                <w:color w:val="auto"/>
              </w:rPr>
            </w:pPr>
            <w:r>
              <w:rPr>
                <w:rFonts w:ascii="Arial" w:cs="Arial" w:eastAsia="Arial" w:hAnsi="Arial"/>
                <w:sz w:val="17"/>
                <w:szCs w:val="17"/>
                <w:color w:val="auto"/>
              </w:rPr>
              <w:t>Full-time</w:t>
            </w:r>
          </w:p>
        </w:tc>
        <w:tc>
          <w:tcPr>
            <w:tcW w:w="14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48"/>
        </w:trPr>
        <w:tc>
          <w:tcPr>
            <w:tcW w:w="20" w:type="dxa"/>
            <w:vAlign w:val="bottom"/>
            <w:shd w:val="clear" w:color="auto" w:fill="CCEEFF"/>
          </w:tcPr>
          <w:p>
            <w:pPr>
              <w:spacing w:after="0"/>
              <w:rPr>
                <w:sz w:val="21"/>
                <w:szCs w:val="21"/>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Part-time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8"/>
        </w:trPr>
        <w:tc>
          <w:tcPr>
            <w:tcW w:w="20" w:type="dxa"/>
            <w:vAlign w:val="bottom"/>
          </w:tcPr>
          <w:p>
            <w:pPr>
              <w:spacing w:after="0"/>
              <w:rPr>
                <w:sz w:val="21"/>
                <w:szCs w:val="21"/>
                <w:color w:val="auto"/>
              </w:rPr>
            </w:pPr>
          </w:p>
        </w:tc>
        <w:tc>
          <w:tcPr>
            <w:tcW w:w="9740" w:type="dxa"/>
            <w:vAlign w:val="bottom"/>
            <w:gridSpan w:val="4"/>
          </w:tcPr>
          <w:p>
            <w:pPr>
              <w:ind w:left="10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9740" w:type="dxa"/>
            <w:vAlign w:val="bottom"/>
            <w:gridSpan w:val="4"/>
          </w:tcPr>
          <w:p>
            <w:pPr>
              <w:spacing w:after="0"/>
              <w:rPr>
                <w:sz w:val="20"/>
                <w:szCs w:val="20"/>
                <w:color w:val="auto"/>
              </w:rPr>
            </w:pPr>
            <w:r>
              <w:rPr>
                <w:rFonts w:ascii="Arial" w:cs="Arial" w:eastAsia="Arial" w:hAnsi="Arial"/>
                <w:sz w:val="17"/>
                <w:szCs w:val="17"/>
                <w:i w:val="1"/>
                <w:iCs w:val="1"/>
                <w:color w:val="auto"/>
              </w:rPr>
              <w:t>Department</w:t>
            </w:r>
          </w:p>
        </w:tc>
        <w:tc>
          <w:tcPr>
            <w:tcW w:w="1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8"/>
        </w:trPr>
        <w:tc>
          <w:tcPr>
            <w:tcW w:w="20" w:type="dxa"/>
            <w:vAlign w:val="bottom"/>
            <w:shd w:val="clear" w:color="auto" w:fill="CCEEFF"/>
          </w:tcPr>
          <w:p>
            <w:pPr>
              <w:spacing w:after="0"/>
              <w:rPr>
                <w:sz w:val="21"/>
                <w:szCs w:val="21"/>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Production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2"/>
        </w:trPr>
        <w:tc>
          <w:tcPr>
            <w:tcW w:w="20" w:type="dxa"/>
            <w:vAlign w:val="bottom"/>
          </w:tcPr>
          <w:p>
            <w:pPr>
              <w:spacing w:after="0"/>
              <w:rPr>
                <w:sz w:val="21"/>
                <w:szCs w:val="21"/>
                <w:color w:val="auto"/>
              </w:rPr>
            </w:pPr>
          </w:p>
        </w:tc>
        <w:tc>
          <w:tcPr>
            <w:tcW w:w="9740" w:type="dxa"/>
            <w:vAlign w:val="bottom"/>
            <w:gridSpan w:val="4"/>
          </w:tcPr>
          <w:p>
            <w:pPr>
              <w:spacing w:after="0"/>
              <w:rPr>
                <w:sz w:val="20"/>
                <w:szCs w:val="20"/>
                <w:color w:val="auto"/>
              </w:rPr>
            </w:pPr>
            <w:r>
              <w:rPr>
                <w:rFonts w:ascii="Arial" w:cs="Arial" w:eastAsia="Arial" w:hAnsi="Arial"/>
                <w:sz w:val="17"/>
                <w:szCs w:val="17"/>
                <w:color w:val="auto"/>
              </w:rPr>
              <w:t>Research and Development</w:t>
            </w:r>
          </w:p>
        </w:tc>
        <w:tc>
          <w:tcPr>
            <w:tcW w:w="14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48"/>
        </w:trPr>
        <w:tc>
          <w:tcPr>
            <w:tcW w:w="20" w:type="dxa"/>
            <w:vAlign w:val="bottom"/>
            <w:shd w:val="clear" w:color="auto" w:fill="CCEEFF"/>
          </w:tcPr>
          <w:p>
            <w:pPr>
              <w:spacing w:after="0"/>
              <w:rPr>
                <w:sz w:val="21"/>
                <w:szCs w:val="21"/>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General, administrative and business development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48"/>
        </w:trPr>
        <w:tc>
          <w:tcPr>
            <w:tcW w:w="20" w:type="dxa"/>
            <w:vAlign w:val="bottom"/>
          </w:tcPr>
          <w:p>
            <w:pPr>
              <w:spacing w:after="0"/>
              <w:rPr>
                <w:sz w:val="21"/>
                <w:szCs w:val="21"/>
                <w:color w:val="auto"/>
              </w:rPr>
            </w:pPr>
          </w:p>
        </w:tc>
        <w:tc>
          <w:tcPr>
            <w:tcW w:w="9740" w:type="dxa"/>
            <w:vAlign w:val="bottom"/>
            <w:gridSpan w:val="4"/>
          </w:tcPr>
          <w:p>
            <w:pPr>
              <w:ind w:left="10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9740" w:type="dxa"/>
            <w:vAlign w:val="bottom"/>
            <w:gridSpan w:val="4"/>
          </w:tcPr>
          <w:p>
            <w:pPr>
              <w:spacing w:after="0"/>
              <w:rPr>
                <w:sz w:val="20"/>
                <w:szCs w:val="20"/>
                <w:color w:val="auto"/>
              </w:rPr>
            </w:pPr>
            <w:r>
              <w:rPr>
                <w:rFonts w:ascii="Arial" w:cs="Arial" w:eastAsia="Arial" w:hAnsi="Arial"/>
                <w:sz w:val="17"/>
                <w:szCs w:val="17"/>
                <w:i w:val="1"/>
                <w:iCs w:val="1"/>
                <w:color w:val="auto"/>
              </w:rPr>
              <w:t>Location</w:t>
            </w:r>
          </w:p>
        </w:tc>
        <w:tc>
          <w:tcPr>
            <w:tcW w:w="1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8"/>
        </w:trPr>
        <w:tc>
          <w:tcPr>
            <w:tcW w:w="20" w:type="dxa"/>
            <w:vAlign w:val="bottom"/>
            <w:shd w:val="clear" w:color="auto" w:fill="CCEEFF"/>
          </w:tcPr>
          <w:p>
            <w:pPr>
              <w:spacing w:after="0"/>
              <w:rPr>
                <w:sz w:val="21"/>
                <w:szCs w:val="21"/>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Colorado</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42"/>
        </w:trPr>
        <w:tc>
          <w:tcPr>
            <w:tcW w:w="20" w:type="dxa"/>
            <w:vAlign w:val="bottom"/>
          </w:tcPr>
          <w:p>
            <w:pPr>
              <w:spacing w:after="0"/>
              <w:rPr>
                <w:sz w:val="21"/>
                <w:szCs w:val="21"/>
                <w:color w:val="auto"/>
              </w:rPr>
            </w:pPr>
          </w:p>
        </w:tc>
        <w:tc>
          <w:tcPr>
            <w:tcW w:w="9740" w:type="dxa"/>
            <w:vAlign w:val="bottom"/>
            <w:gridSpan w:val="4"/>
          </w:tcPr>
          <w:p>
            <w:pPr>
              <w:spacing w:after="0"/>
              <w:rPr>
                <w:sz w:val="20"/>
                <w:szCs w:val="20"/>
                <w:color w:val="auto"/>
              </w:rPr>
            </w:pPr>
            <w:r>
              <w:rPr>
                <w:rFonts w:ascii="Arial" w:cs="Arial" w:eastAsia="Arial" w:hAnsi="Arial"/>
                <w:sz w:val="17"/>
                <w:szCs w:val="17"/>
                <w:color w:val="auto"/>
              </w:rPr>
              <w:t>Minnesota</w:t>
            </w:r>
          </w:p>
        </w:tc>
        <w:tc>
          <w:tcPr>
            <w:tcW w:w="14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5"/>
        </w:trPr>
        <w:tc>
          <w:tcPr>
            <w:tcW w:w="20" w:type="dxa"/>
            <w:vAlign w:val="bottom"/>
            <w:shd w:val="clear" w:color="auto" w:fill="CCEEFF"/>
          </w:tcPr>
          <w:p>
            <w:pPr>
              <w:spacing w:after="0"/>
              <w:rPr>
                <w:sz w:val="22"/>
                <w:szCs w:val="22"/>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South Dakota</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42"/>
        </w:trPr>
        <w:tc>
          <w:tcPr>
            <w:tcW w:w="20" w:type="dxa"/>
            <w:vAlign w:val="bottom"/>
          </w:tcPr>
          <w:p>
            <w:pPr>
              <w:spacing w:after="0"/>
              <w:rPr>
                <w:sz w:val="21"/>
                <w:szCs w:val="21"/>
                <w:color w:val="auto"/>
              </w:rPr>
            </w:pPr>
          </w:p>
        </w:tc>
        <w:tc>
          <w:tcPr>
            <w:tcW w:w="9740" w:type="dxa"/>
            <w:vAlign w:val="bottom"/>
            <w:gridSpan w:val="4"/>
          </w:tcPr>
          <w:p>
            <w:pPr>
              <w:spacing w:after="0"/>
              <w:rPr>
                <w:sz w:val="20"/>
                <w:szCs w:val="20"/>
                <w:color w:val="auto"/>
              </w:rPr>
            </w:pPr>
            <w:r>
              <w:rPr>
                <w:rFonts w:ascii="Arial" w:cs="Arial" w:eastAsia="Arial" w:hAnsi="Arial"/>
                <w:sz w:val="17"/>
                <w:szCs w:val="17"/>
                <w:color w:val="auto"/>
              </w:rPr>
              <w:t>Texas</w:t>
            </w:r>
          </w:p>
        </w:tc>
        <w:tc>
          <w:tcPr>
            <w:tcW w:w="14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5"/>
        </w:trPr>
        <w:tc>
          <w:tcPr>
            <w:tcW w:w="20" w:type="dxa"/>
            <w:vAlign w:val="bottom"/>
            <w:shd w:val="clear" w:color="auto" w:fill="CCEEFF"/>
          </w:tcPr>
          <w:p>
            <w:pPr>
              <w:spacing w:after="0"/>
              <w:rPr>
                <w:sz w:val="22"/>
                <w:szCs w:val="22"/>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New Mexico</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42"/>
        </w:trPr>
        <w:tc>
          <w:tcPr>
            <w:tcW w:w="20" w:type="dxa"/>
            <w:vAlign w:val="bottom"/>
          </w:tcPr>
          <w:p>
            <w:pPr>
              <w:spacing w:after="0"/>
              <w:rPr>
                <w:sz w:val="21"/>
                <w:szCs w:val="21"/>
                <w:color w:val="auto"/>
              </w:rPr>
            </w:pPr>
          </w:p>
        </w:tc>
        <w:tc>
          <w:tcPr>
            <w:tcW w:w="9740" w:type="dxa"/>
            <w:vAlign w:val="bottom"/>
            <w:gridSpan w:val="4"/>
          </w:tcPr>
          <w:p>
            <w:pPr>
              <w:spacing w:after="0"/>
              <w:rPr>
                <w:sz w:val="20"/>
                <w:szCs w:val="20"/>
                <w:color w:val="auto"/>
              </w:rPr>
            </w:pPr>
            <w:r>
              <w:rPr>
                <w:rFonts w:ascii="Arial" w:cs="Arial" w:eastAsia="Arial" w:hAnsi="Arial"/>
                <w:sz w:val="17"/>
                <w:szCs w:val="17"/>
                <w:color w:val="auto"/>
              </w:rPr>
              <w:t>Iowa</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5"/>
        </w:trPr>
        <w:tc>
          <w:tcPr>
            <w:tcW w:w="20" w:type="dxa"/>
            <w:vAlign w:val="bottom"/>
            <w:shd w:val="clear" w:color="auto" w:fill="CCEEFF"/>
          </w:tcPr>
          <w:p>
            <w:pPr>
              <w:spacing w:after="0"/>
              <w:rPr>
                <w:sz w:val="22"/>
                <w:szCs w:val="22"/>
                <w:color w:val="auto"/>
              </w:rPr>
            </w:pPr>
          </w:p>
        </w:tc>
        <w:tc>
          <w:tcPr>
            <w:tcW w:w="9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States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42"/>
        </w:trPr>
        <w:tc>
          <w:tcPr>
            <w:tcW w:w="20" w:type="dxa"/>
            <w:vAlign w:val="bottom"/>
            <w:tcBorders>
              <w:bottom w:val="single" w:sz="8" w:color="CCEEFF"/>
            </w:tcBorders>
          </w:tcPr>
          <w:p>
            <w:pPr>
              <w:spacing w:after="0"/>
              <w:rPr>
                <w:sz w:val="21"/>
                <w:szCs w:val="21"/>
                <w:color w:val="auto"/>
              </w:rPr>
            </w:pPr>
          </w:p>
        </w:tc>
        <w:tc>
          <w:tcPr>
            <w:tcW w:w="974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Foreign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974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Code of Business Conduct and Ethics</w:t>
      </w:r>
    </w:p>
    <w:p>
      <w:pPr>
        <w:spacing w:after="0" w:line="249"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We are committed to conducting business in accordance with the highest ethical standards. This means how we conduct ourselves is more than just a matter of policy and law, it is a reflection of our core values. Our code of business conduct and ethics provides specific guidance to all of our employees, outlining how they can and must uphold and strengthen the integrity that defines us. We maintain a global compliance hotline to allow for concerns to be brought forward.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Safety</w:t>
      </w:r>
    </w:p>
    <w:p>
      <w:pPr>
        <w:spacing w:after="0" w:line="249" w:lineRule="exact"/>
        <w:rPr>
          <w:sz w:val="20"/>
          <w:szCs w:val="20"/>
          <w:color w:val="auto"/>
        </w:rPr>
      </w:pPr>
    </w:p>
    <w:p>
      <w:pPr>
        <w:ind w:right="120" w:firstLine="470"/>
        <w:spacing w:after="0" w:line="284" w:lineRule="auto"/>
        <w:rPr>
          <w:sz w:val="20"/>
          <w:szCs w:val="20"/>
          <w:color w:val="auto"/>
        </w:rPr>
      </w:pPr>
      <w:r>
        <w:rPr>
          <w:rFonts w:ascii="Arial" w:cs="Arial" w:eastAsia="Arial" w:hAnsi="Arial"/>
          <w:sz w:val="16"/>
          <w:szCs w:val="16"/>
          <w:color w:val="auto"/>
        </w:rPr>
        <w:t>We strive to achieve safety excellence through increased focus on leading indicators, risk reduction, health and safety management systems, and prevention to protect the public health and environmental quality in our communities, as well as the health and safety of our employees, customers and neighbors. We strive to comply with all health and safety laws and regulations that apply to our business. We provide site safety orientation for all employees and guests as well as periodic refresher training for employees at the level appropriate for their role. We have received no violations and are proud that we have never had a fatality at a Gevo facility. During 2022, we had two reportable injuries, no lost time incidents, and a total recordable injury rate of 2.09.</w:t>
      </w:r>
    </w:p>
    <w:p>
      <w:pPr>
        <w:spacing w:after="0" w:line="192" w:lineRule="exact"/>
        <w:rPr>
          <w:sz w:val="20"/>
          <w:szCs w:val="20"/>
          <w:color w:val="auto"/>
        </w:rPr>
      </w:pPr>
    </w:p>
    <w:p>
      <w:pPr>
        <w:ind w:right="120" w:firstLine="470"/>
        <w:spacing w:after="0" w:line="307" w:lineRule="auto"/>
        <w:rPr>
          <w:sz w:val="20"/>
          <w:szCs w:val="20"/>
          <w:color w:val="auto"/>
        </w:rPr>
      </w:pPr>
      <w:r>
        <w:rPr>
          <w:rFonts w:ascii="Arial" w:cs="Arial" w:eastAsia="Arial" w:hAnsi="Arial"/>
          <w:sz w:val="15"/>
          <w:szCs w:val="15"/>
          <w:color w:val="auto"/>
        </w:rPr>
        <w:t>Throughout the COVID-19 pandemic, we have remained focused on protecting the health, safety and well-being of our employees and managing the business to preserve our workforce. We provide time off for vaccinations and illness related to COVID-19. For all positions for which remote work is possible, employees have the choice to work from their home location to minimize potential exposure and ensure business continuity. We have implemented safety plans and protocols following guidance from the Centers for Disease Control, World Health Organization, and other federal, state, local and international regulations, and we continue to evolve our corporate and site-specific crisis management teams to actively manage and ensure compliance with these plans and protocols.</w:t>
      </w:r>
    </w:p>
    <w:p>
      <w:pPr>
        <w:spacing w:after="0" w:line="178" w:lineRule="exact"/>
        <w:rPr>
          <w:sz w:val="20"/>
          <w:szCs w:val="20"/>
          <w:color w:val="auto"/>
        </w:rPr>
      </w:pPr>
    </w:p>
    <w:p>
      <w:pPr>
        <w:ind w:firstLine="470"/>
        <w:spacing w:after="0" w:line="297" w:lineRule="auto"/>
        <w:rPr>
          <w:sz w:val="20"/>
          <w:szCs w:val="20"/>
          <w:color w:val="auto"/>
        </w:rPr>
      </w:pPr>
      <w:r>
        <w:rPr>
          <w:rFonts w:ascii="Arial" w:cs="Arial" w:eastAsia="Arial" w:hAnsi="Arial"/>
          <w:sz w:val="16"/>
          <w:szCs w:val="16"/>
          <w:color w:val="auto"/>
        </w:rPr>
        <w:t>We are serious about maintaining the well-being of our employees and families, paying 100% of the premiums for health, dental and vision insurance for whole families. We also pay the premiums for disability and life insurance to assist in maintaining living standards when issues arise. We continue to endeavor to be agile in addressing employee needs in the quickly evolving environment while also being transparent across the workforce.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and Inclusion</w:t>
      </w:r>
    </w:p>
    <w:p>
      <w:pPr>
        <w:spacing w:after="0" w:line="249"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In order to ensure that each of our employees can bring their full selves to work, we strive to foster a diverse, equitable, and inclusive workplace where all voices are heard and included. We continue to champion policies, practices and behaviors that amplify innovation on behalf of people, community and the planet. Diversity, equity and inclusion ("DEI") are critical to our success as an organization. Incorporating DEI into our business practices enhances innovation and enables our best talent to thrive in an environment where diverse perspectives are celebrated. This requires deliberate intention and action on the part of every employee and leader. We will continue to push forward on the path to a more diverse, equitable and inclusive culture and have committed to interview and consider at least one qualified woman and person of color for every open role, vice president and higher, including at the senior executive level and the Board of Directors.</w:t>
      </w:r>
    </w:p>
    <w:p>
      <w:pPr>
        <w:spacing w:after="0" w:line="211"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In 2021, we launched our first women’s affinity group, led by one of our Board members, Ruth Dreessen, to provide our women with the opportunity for mentorship from leaders throughout the organization.</w:t>
      </w:r>
    </w:p>
    <w:p>
      <w:pPr>
        <w:spacing w:after="0" w:line="184"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We are working to improve gender and diversity at all levels of the business. As of December 31, 2022, women make up approximately 28% of our employee population and approximately 22% of our leadership roles, defined as manager and above. Further, employees identifying as diverse make up approximately 19% of our employee population and approximately 17% of our leadership roles, defined as manager and above. In 2022, we saw an increase of approximately 4% in diverse leaders within the organization. Lastly, we increased the gender diversity of the Gevo Board to 29% and are looking to expand the Board further to increase diversity and/or gender parity.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Attraction, Retention and Engagement</w:t>
      </w:r>
    </w:p>
    <w:p>
      <w:pPr>
        <w:spacing w:after="0" w:line="249"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We are currently operating in an extremely challenging talent market. Market hiring surges, increased attrition and shifting work expectations have significantly impacted the attraction and retention of talent, creating a hyper-competitive marketplace. We understand that our long-term success will require a differentiated, targeted approach to talent attraction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and retention. In response to these challenges, we took a number of actions in 2022 in an effort to enhance our ability to attract and retain diverse talent:</w:t>
      </w:r>
    </w:p>
    <w:p>
      <w:pPr>
        <w:spacing w:after="0" w:line="260" w:lineRule="exact"/>
        <w:rPr>
          <w:sz w:val="20"/>
          <w:szCs w:val="20"/>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continued the annual talent review process to advance our internal talent placements, as well as plan for succession and growth.</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launched our flexible work approach that balances the benefits of working remotely with the experience of working on-site.</w:t>
      </w:r>
    </w:p>
    <w:p>
      <w:pPr>
        <w:spacing w:after="0" w:line="13" w:lineRule="exact"/>
        <w:rPr>
          <w:rFonts w:ascii="Arial" w:cs="Arial" w:eastAsia="Arial" w:hAnsi="Arial"/>
          <w:sz w:val="17"/>
          <w:szCs w:val="17"/>
          <w:color w:val="auto"/>
        </w:rPr>
      </w:pPr>
    </w:p>
    <w:p>
      <w:pPr>
        <w:ind w:left="640" w:right="480" w:hanging="322"/>
        <w:spacing w:after="0" w:line="273"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employees are enthusiastic about enriching their communities. We implemented a program to recognize their dedication and began matching community service efforts with up to 16 hours of paid time off.</w:t>
      </w:r>
    </w:p>
    <w:p>
      <w:pPr>
        <w:spacing w:after="0" w:line="197"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are committed to providing employment opportunities for people in our local communities. In 2022, we began partnering with local technical colleges and universities to offer scholarships, tuition reimbursement and internships to students in the Energy programs and partner with them in showcasing non-traditional careers to achieve gender equity.</w:t>
      </w:r>
    </w:p>
    <w:p>
      <w:pPr>
        <w:spacing w:after="0" w:line="198"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Our employees are highly engaged with our mission. We promote discussion and alignment through monthly town hall sessions with all employees, led by our CEO, Patrick Gruber, as well as fostering open door conversations with all members of management.</w:t>
      </w:r>
    </w:p>
    <w:p>
      <w:pPr>
        <w:spacing w:after="0" w:line="184"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Further, we found that our employees could be effective while working outside the Gevo offices. Gevo’s management philosophy is to lead with trust in our employees and support a culture which enables employees to do their best work. And, as a company focused on reducing the world's carbon footprint, we hold that value for our employees as well and encourage them to reduce their personal carbon footprint and work from their homes, as their respective positions allow. This policy has allowed us to attract talent we might not otherwise have if we had restricted hiring to certain geographies.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Rights</w:t>
      </w:r>
    </w:p>
    <w:p>
      <w:pPr>
        <w:spacing w:after="0" w:line="249"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Gevo honors human rights and respects the individual dignity of all persons globally. Our commitment to human rights requires that we understand and carry out our responsibilities consistent with our values and practices. We strive to ensure that human rights are upheld for our employees and all workers in our supply chain. Our commitment to human rights is defined in the code of business conduct and ethics, our supplier code of conduct, our dealer code of conduct and related policies and practices, which establish clear guidelines for our employees, suppliers and dealers while helping to inform our business decisions. We do not tolerate human rights abuses, such as forced labor, unlawful child labor or human trafficking. We are proud to contribute to the places where we work and support the residents of these places.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55" w:lineRule="exact"/>
        <w:rPr>
          <w:sz w:val="20"/>
          <w:szCs w:val="20"/>
          <w:color w:val="auto"/>
        </w:rPr>
      </w:pPr>
    </w:p>
    <w:p>
      <w:pPr>
        <w:ind w:right="40" w:firstLine="470"/>
        <w:spacing w:after="0" w:line="212" w:lineRule="exact"/>
        <w:rPr>
          <w:sz w:val="20"/>
          <w:szCs w:val="20"/>
          <w:color w:val="auto"/>
        </w:rPr>
      </w:pPr>
      <w:r>
        <w:rPr>
          <w:rFonts w:ascii="Arial" w:cs="Arial" w:eastAsia="Arial" w:hAnsi="Arial"/>
          <w:sz w:val="16"/>
          <w:szCs w:val="16"/>
          <w:color w:val="auto"/>
        </w:rPr>
        <w:t>Our Annual Reports on Form 10-K,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8-K and any amendments to those reports (including related exhibits and supplemental schedules) filed or furnished pursuant to Section 13(a) or 15(d) of the Securities Exchange Act of 1934, as amended, are made available, free of charge, through our website, as soon as reasonably practicable after such reports have been filed with, or furnished to, the SEC. Our website address is www.gevo.com. Information on our website is not incorporated by reference into, and does not constitute a part of, this report.</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5" w:lineRule="exact"/>
        <w:rPr>
          <w:sz w:val="20"/>
          <w:szCs w:val="20"/>
          <w:color w:val="auto"/>
        </w:rPr>
      </w:pPr>
    </w:p>
    <w:p>
      <w:pPr>
        <w:ind w:right="260" w:firstLine="470"/>
        <w:spacing w:after="0" w:line="263" w:lineRule="auto"/>
        <w:rPr>
          <w:sz w:val="20"/>
          <w:szCs w:val="20"/>
          <w:color w:val="auto"/>
        </w:rPr>
      </w:pPr>
      <w:r>
        <w:rPr>
          <w:rFonts w:ascii="Arial" w:cs="Arial" w:eastAsia="Arial" w:hAnsi="Arial"/>
          <w:sz w:val="17"/>
          <w:szCs w:val="17"/>
          <w:i w:val="1"/>
          <w:iCs w:val="1"/>
          <w:color w:val="auto"/>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Related to our Business and Strategy</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or maintain profitability.</w:t>
      </w:r>
    </w:p>
    <w:p>
      <w:pPr>
        <w:spacing w:after="0" w:line="249" w:lineRule="exact"/>
        <w:rPr>
          <w:sz w:val="20"/>
          <w:szCs w:val="20"/>
          <w:color w:val="auto"/>
        </w:rPr>
      </w:pPr>
    </w:p>
    <w:p>
      <w:pPr>
        <w:ind w:right="180" w:firstLine="470"/>
        <w:spacing w:after="0" w:line="297" w:lineRule="auto"/>
        <w:rPr>
          <w:sz w:val="20"/>
          <w:szCs w:val="20"/>
          <w:color w:val="auto"/>
        </w:rPr>
      </w:pPr>
      <w:r>
        <w:rPr>
          <w:rFonts w:ascii="Arial" w:cs="Arial" w:eastAsia="Arial" w:hAnsi="Arial"/>
          <w:sz w:val="16"/>
          <w:szCs w:val="16"/>
          <w:color w:val="auto"/>
        </w:rPr>
        <w:t>We incurred net losses of $98.0 million and $59.2 million during the years ended December 31, 2022 and 2021, respectively. As of December 31, 2022, we had an accumulated deficit of $655.4 million. We expect to incur losses and negative cash flows from operating activities for the foreseeable future. We currently derive revenue primarily from the sale of RNG and related environmental attributes produced at Gevo RNG.</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Furthermore, we expect to spend significant amounts on the further development and commercial implementation of strategic plans and technology.</w:t>
      </w:r>
    </w:p>
    <w:p>
      <w:pPr>
        <w:spacing w:after="0" w:line="260" w:lineRule="exact"/>
        <w:rPr>
          <w:sz w:val="20"/>
          <w:szCs w:val="20"/>
          <w:color w:val="auto"/>
        </w:rPr>
      </w:pPr>
    </w:p>
    <w:p>
      <w:pPr>
        <w:ind w:right="200" w:firstLine="470"/>
        <w:spacing w:after="0" w:line="284" w:lineRule="auto"/>
        <w:rPr>
          <w:sz w:val="20"/>
          <w:szCs w:val="20"/>
          <w:color w:val="auto"/>
        </w:rPr>
      </w:pPr>
      <w:r>
        <w:rPr>
          <w:rFonts w:ascii="Arial" w:cs="Arial" w:eastAsia="Arial" w:hAnsi="Arial"/>
          <w:sz w:val="16"/>
          <w:szCs w:val="16"/>
          <w:color w:val="auto"/>
        </w:rPr>
        <w:t>We also expect to spend significant amounts on (i) developing and financing our Net-Zero 1 Project and other similar growth projects, (ii) marketing, general and administrative expenses associated with our planned growth, and (iii) management of operations as a public company. As a result, we expect to continue to incur new losses for the foreseeable future. We do not expect to achieve profitability during the foreseeable future and may never achieve it. If we fail to achieve profitability, or if the time required to achieve profitability is longer than we anticipate, we may not be able to continue our business operations. Even if we do achieve profitability, we may not be able to sustain or increase profitability on a quarterly or annual basis.</w:t>
      </w:r>
    </w:p>
    <w:p>
      <w:pPr>
        <w:spacing w:after="0" w:line="192"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b w:val="1"/>
          <w:bCs w:val="1"/>
          <w:i w:val="1"/>
          <w:iCs w:val="1"/>
          <w:color w:val="auto"/>
        </w:rPr>
        <w:t>We will require substantial additional financings to achieve our goals, and a failure to obtain this capital when needed or on acceptable terms could force us to delay, limit, reduce or terminate our development and commercialization efforts.</w:t>
      </w:r>
    </w:p>
    <w:p>
      <w:pPr>
        <w:spacing w:after="0" w:line="18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We operate in a capital-intensive industry and will need substantial amounts of capital to execute on our business plans. We believe that we will continue to expend substantial resources for the foreseeable future on further growth of our business, including developing, constructing, financing and acquiring facilities necessary for the production of our products on a commercial scale. These expenditures may include costs associated with our Net-Zero Projects, research and development, developing biogas processing projects and wind projects, obtaining government and regulatory approvals, and negotiating offtake agreements for our products. In addition, other unanticipated costs may arise.</w:t>
      </w:r>
    </w:p>
    <w:p>
      <w:pPr>
        <w:spacing w:after="0" w:line="206" w:lineRule="exact"/>
        <w:rPr>
          <w:sz w:val="20"/>
          <w:szCs w:val="20"/>
          <w:color w:val="auto"/>
        </w:rPr>
      </w:pPr>
    </w:p>
    <w:p>
      <w:pPr>
        <w:ind w:right="80" w:firstLine="470"/>
        <w:spacing w:after="0" w:line="284" w:lineRule="auto"/>
        <w:rPr>
          <w:sz w:val="20"/>
          <w:szCs w:val="20"/>
          <w:color w:val="auto"/>
        </w:rPr>
      </w:pPr>
      <w:r>
        <w:rPr>
          <w:rFonts w:ascii="Arial" w:cs="Arial" w:eastAsia="Arial" w:hAnsi="Arial"/>
          <w:sz w:val="16"/>
          <w:szCs w:val="16"/>
          <w:color w:val="auto"/>
        </w:rPr>
        <w:t>To date, we have funded our operations primarily through equity offerings and issuances of debt. Based on our current plans and expectations, we will require additional funding at the corporate and/or project level to achieve our goals. We currently expect to finance the construction of NZ1 and any other Net Zero Projects at the subsidiary level using third party capital. In addition, our plans and expectations may change as a result of factors currently unknown to us, and we may need additional funds sooner than expected and may seek to raise additional funds through public or private debt or equity financings. We may also choose to seek additional capital sooner than required due to favorable market conditions or strategic considerations.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249" w:lineRule="exact"/>
        <w:rPr>
          <w:sz w:val="20"/>
          <w:szCs w:val="20"/>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and costs involved in financing and constructing our Net-Zero Projects, including NZ1;</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and costs involved in obtaining permits;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for us to deploy strains of yeast with improved performance that help to lower capital cost;</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costs associated with any future RNG projects or expansion of the Gevo RNG project;</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involved in maintaining the Luverne Facility;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gain market acceptance for our products;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640" w:right="500" w:hanging="322"/>
        <w:spacing w:after="0" w:line="264"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negotiate additional offtake agreements for the products we produce, and the timing and terms of those agreements, including terms related to sales price;</w:t>
      </w: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negotiate sales of our products and the timing and terms of those sales, including terms related to sales price;</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timing and terms of those arrangements; and</w:t>
      </w:r>
    </w:p>
    <w:p>
      <w:pPr>
        <w:spacing w:after="0" w:line="25" w:lineRule="exact"/>
        <w:rPr>
          <w:rFonts w:ascii="Arial" w:cs="Arial" w:eastAsia="Arial" w:hAnsi="Arial"/>
          <w:sz w:val="16"/>
          <w:szCs w:val="16"/>
          <w:color w:val="auto"/>
        </w:rPr>
      </w:pPr>
    </w:p>
    <w:p>
      <w:pPr>
        <w:ind w:left="640" w:right="460" w:hanging="322"/>
        <w:spacing w:after="0" w:line="273"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 of preparing, filing, prosecuting, maintaining, defending and enforcing patent, trademark and other intellectual property claims, including litigation costs and the outcome of such litigation.</w:t>
      </w:r>
    </w:p>
    <w:p>
      <w:pPr>
        <w:spacing w:after="0" w:line="197"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needed funds are not available to us on a timely basis, we may be required to delay, limit, reduce or terminate:</w:t>
      </w:r>
    </w:p>
    <w:p>
      <w:pPr>
        <w:spacing w:after="0" w:line="184" w:lineRule="exact"/>
        <w:rPr>
          <w:sz w:val="20"/>
          <w:szCs w:val="20"/>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Net-Zero Projects, including NZ1;</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plans to enter into agreements with strategic partners;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development of future RNG facilities or expansion of the Gevo RNG project;</w:t>
      </w:r>
    </w:p>
    <w:p>
      <w:pPr>
        <w:spacing w:after="0" w:line="13" w:lineRule="exact"/>
        <w:rPr>
          <w:rFonts w:ascii="Arial" w:cs="Arial" w:eastAsia="Arial" w:hAnsi="Arial"/>
          <w:sz w:val="17"/>
          <w:szCs w:val="17"/>
          <w:color w:val="auto"/>
        </w:rPr>
      </w:pPr>
    </w:p>
    <w:p>
      <w:pPr>
        <w:ind w:left="640" w:right="600" w:hanging="322"/>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efforts to prepare, file, prosecute, maintain and enforce patent, trademark and other intellectual property rights and defend against claims by others that we may be violating their intellectual property rights; and/or</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activities in negotiating and performing under offtake agreements that may be necessary for the commercialization of our products.</w:t>
      </w:r>
    </w:p>
    <w:p>
      <w:pPr>
        <w:spacing w:after="0" w:line="237" w:lineRule="exact"/>
        <w:rPr>
          <w:sz w:val="20"/>
          <w:szCs w:val="20"/>
          <w:color w:val="auto"/>
        </w:rPr>
      </w:pPr>
    </w:p>
    <w:p>
      <w:pPr>
        <w:spacing w:after="0" w:line="358" w:lineRule="auto"/>
        <w:rPr>
          <w:sz w:val="20"/>
          <w:szCs w:val="20"/>
          <w:color w:val="auto"/>
        </w:rPr>
      </w:pPr>
      <w:r>
        <w:rPr>
          <w:rFonts w:ascii="Arial" w:cs="Arial" w:eastAsia="Arial" w:hAnsi="Arial"/>
          <w:sz w:val="15"/>
          <w:szCs w:val="15"/>
          <w:b w:val="1"/>
          <w:bCs w:val="1"/>
          <w:i w:val="1"/>
          <w:iCs w:val="1"/>
          <w:color w:val="auto"/>
        </w:rPr>
        <w:t>Our business is capital-intensive in nature and we rely on external financing to fund our growth strategy, including the development and construction of our Net-Zero Projects and other similar growth projects. Limitations on access to external financing could adversely affect our operating results.</w:t>
      </w:r>
    </w:p>
    <w:p>
      <w:pPr>
        <w:spacing w:after="0" w:line="139"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We are in a capital-intensive business and we rely heavily on external financing for the costs of development and construction of our growth projects, such as NZ1, and other projected capital expenditures. Completion of our growth projects will require significant capital expenditures and construction costs. The recovery of the capital investment in our growth projects will generally occur over a long period of time. As a result, we must obtain funds from external sources to help develop and construct our existing project pipeline, to help finance the acquisition of system components, to help identify and develop new projects, to help fund research and development expenses and to help pay the general and administrative costs of operating our business. We may not be able to obtain the needed funds on terms acceptable to us, or at all. If we are unable to raise additional funds when needed, we could be required to delay development and construction of projects, reduce the scope of, abandon or sell some or all of our growth projects or default on our contractual commitments in the future, any of which would have a material adverse effect on our business, financial condition and operating results.</w:t>
      </w:r>
    </w:p>
    <w:p>
      <w:pPr>
        <w:spacing w:after="0" w:line="197" w:lineRule="exact"/>
        <w:rPr>
          <w:sz w:val="20"/>
          <w:szCs w:val="20"/>
          <w:color w:val="auto"/>
        </w:rPr>
      </w:pPr>
    </w:p>
    <w:p>
      <w:pPr>
        <w:ind w:right="520"/>
        <w:spacing w:after="0" w:line="288" w:lineRule="auto"/>
        <w:rPr>
          <w:sz w:val="20"/>
          <w:szCs w:val="20"/>
          <w:color w:val="auto"/>
        </w:rPr>
      </w:pPr>
      <w:r>
        <w:rPr>
          <w:rFonts w:ascii="Arial" w:cs="Arial" w:eastAsia="Arial" w:hAnsi="Arial"/>
          <w:sz w:val="17"/>
          <w:szCs w:val="17"/>
          <w:b w:val="1"/>
          <w:bCs w:val="1"/>
          <w:i w:val="1"/>
          <w:iCs w:val="1"/>
          <w:color w:val="auto"/>
        </w:rPr>
        <w:t>Our proposed growth projects may not be completed or, if completed, may not perform as expected. Our project development activities may consume a significant portion of our management’s focus, and if not successful, reduce our profitability.</w:t>
      </w:r>
    </w:p>
    <w:p>
      <w:pPr>
        <w:spacing w:after="0" w:line="184"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We plan to grow our business by building multiple production facilities, including greenfield and brownfield projects. Development projects may require us to spend significant sums for engineering, permitting, legal, financial advisory and other expenses before we determine whether a development project is feasible, economically attractive or capable of being financed.</w:t>
      </w:r>
    </w:p>
    <w:p>
      <w:pPr>
        <w:spacing w:after="0" w:line="198"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Our development projects are typically planned to be large and complex, and we may not be able to complete them. There can be no assurance that we will be able to negotiate the required agreements, overcome any local opposition, or obtain the necessary licenses, permits and financing. Failure to achieve any of these elements may prevent the development and construction of a project. If that were to occur, we could lose all of our investment in development expenditures and may be required to write-off project development assets.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successfully perform under current or future offtake agreements to provide our products, which could harm our commercial prospects.</w:t>
      </w:r>
    </w:p>
    <w:p>
      <w:pPr>
        <w:spacing w:after="0" w:line="272"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We have entered into several offtake agreements pursuant to which we agreed to sell our products. Under certain of these offtake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construction of a new or expanded production facility (the “Facility”). In order to commence construction of and complete the Facility, we must secure third-party financing. While we believe that we can secure adequate financing in order to commence construction of and complete the Facility and, in turn, perform under these agreements, we cannot assure you that we will be able to obtain adequate financing on favorable terms, or at all. Furthermore, we have not demonstrated that we can meet the production levels and specifications contemplated in certain of our current offtake agreements, or future offtake agreements. If our production is slower than we expect, if demand decreases or if we encounter difficulties in successfully completing the Facility, our counterparties may terminate our existing offtake agreements and potential customers may be less willing to negotiate definitive offtake agreements with us, and therefore cause our performance to suffer.</w:t>
      </w:r>
    </w:p>
    <w:p>
      <w:pPr>
        <w:spacing w:after="0" w:line="211" w:lineRule="exact"/>
        <w:rPr>
          <w:sz w:val="20"/>
          <w:szCs w:val="20"/>
          <w:color w:val="auto"/>
        </w:rPr>
      </w:pPr>
    </w:p>
    <w:p>
      <w:pPr>
        <w:ind w:right="460" w:firstLine="470"/>
        <w:spacing w:after="0" w:line="297" w:lineRule="auto"/>
        <w:rPr>
          <w:sz w:val="20"/>
          <w:szCs w:val="20"/>
          <w:color w:val="auto"/>
        </w:rPr>
      </w:pPr>
      <w:r>
        <w:rPr>
          <w:rFonts w:ascii="Arial" w:cs="Arial" w:eastAsia="Arial" w:hAnsi="Arial"/>
          <w:sz w:val="16"/>
          <w:szCs w:val="16"/>
          <w:color w:val="auto"/>
        </w:rPr>
        <w:t>In addition, from time to time, we may enter into letters of intent, memoranda of understanding and other largely non-binding agreements or understandings with potential customers or partners in order to develop our business and the markets that we serve. We can make no assurance that legally binding, definitive agreements reflecting the terms of such non-binding agreements will be completed with such customers or partners, or at all.</w:t>
      </w:r>
    </w:p>
    <w:p>
      <w:pPr>
        <w:spacing w:after="0" w:line="179"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b w:val="1"/>
          <w:bCs w:val="1"/>
          <w:i w:val="1"/>
          <w:iCs w:val="1"/>
          <w:color w:val="auto"/>
        </w:rPr>
        <w:t>Our offtake agreements, including our take-or-pay purchase agreements, are subject to significant conditions precedent and, as a result, the revenues that we expect from such contracts may never be realized.</w:t>
      </w:r>
    </w:p>
    <w:p>
      <w:pPr>
        <w:spacing w:after="0" w:line="184" w:lineRule="exact"/>
        <w:rPr>
          <w:sz w:val="20"/>
          <w:szCs w:val="20"/>
          <w:color w:val="auto"/>
        </w:rPr>
      </w:pPr>
    </w:p>
    <w:p>
      <w:pPr>
        <w:ind w:right="40" w:firstLine="470"/>
        <w:spacing w:after="0" w:line="260" w:lineRule="auto"/>
        <w:rPr>
          <w:sz w:val="20"/>
          <w:szCs w:val="20"/>
          <w:color w:val="auto"/>
        </w:rPr>
      </w:pPr>
      <w:r>
        <w:rPr>
          <w:rFonts w:ascii="Arial" w:cs="Arial" w:eastAsia="Arial" w:hAnsi="Arial"/>
          <w:sz w:val="17"/>
          <w:szCs w:val="17"/>
          <w:color w:val="auto"/>
        </w:rPr>
        <w:t>Our ability to realize revenue under our offtake agreements, including our take-or-pay purchase agreements, is not guaranteed and is subject to significant conditions precedent. In order to actually realize revenue under such contracts, we are required to, among other things, complete the Facility or acquire, construct or retrofit a facility at another suitable location, which is, in turn, dependent on our ability to secure adequate financing. If we are unable to raise sufficient capital on acceptable terms, or at all, the revenues under such contracts may never be achieved. Our ability to obtain adequate financing will depend on, among other things, the status of our product development, our financial condition and general conditions in the capital, financial and debt markets at the time such financing is sought. In addition, any further equity or debt financings could result in the dilution of ownership interests of our then-current stockholders. Furthermore, even if we are able to satisfy all conditions precedent to our take-or-pay contracts, including completion of the Facility or acquiring, constructing or retrofitting a facility at another suitable location and securing adequate funding, we still may never realize the full amount of revenue that we expect or project to earn from such contracts. In any event, failure to realize the expected revenue thereunder would have a material adverse effect on our business, financial condition, results of operation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the price of corn and other feedstocks may affect our cost structure.</w:t>
      </w:r>
    </w:p>
    <w:p>
      <w:pPr>
        <w:spacing w:after="0" w:line="249"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Our approach to the renewable fuels and chemicals markets will be dependent on the price of corn and other feedstocks that will be used to produce our products. A decrease in the availability of plant feedstocks or an increase in the price may have a material adverse effect on our financial condition and operating results. At certain levels, prices may make these products uneconomical to use and produce as we may be unable to pass the full amount of feedstock cost increases on to our customers.</w:t>
      </w:r>
    </w:p>
    <w:p>
      <w:pPr>
        <w:spacing w:after="0" w:line="202" w:lineRule="exact"/>
        <w:rPr>
          <w:sz w:val="20"/>
          <w:szCs w:val="20"/>
          <w:color w:val="auto"/>
        </w:rPr>
      </w:pPr>
    </w:p>
    <w:p>
      <w:pPr>
        <w:ind w:right="20" w:firstLine="470"/>
        <w:spacing w:after="0" w:line="307" w:lineRule="auto"/>
        <w:rPr>
          <w:sz w:val="20"/>
          <w:szCs w:val="20"/>
          <w:color w:val="auto"/>
        </w:rPr>
      </w:pPr>
      <w:r>
        <w:rPr>
          <w:rFonts w:ascii="Arial" w:cs="Arial" w:eastAsia="Arial" w:hAnsi="Arial"/>
          <w:sz w:val="15"/>
          <w:szCs w:val="15"/>
          <w:color w:val="auto"/>
        </w:rPr>
        <w:t>The price and availability of corn and other plant feedstocks may be influenced by general economic, market and regulatory factors. These factors include weather conditions, farming decisions, government policies and subsidies with respect to agriculture and international trade and global 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 especially without knowing what types of plant feedstock materials we may need to use.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the price and availability of energy to power our facilities may harm our performance.</w:t>
      </w:r>
    </w:p>
    <w:p>
      <w:pPr>
        <w:spacing w:after="0" w:line="249"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Our production facilities use significant amounts of energy to produce our products. Accordingly, our business is dependent upon electricity and natural gas produced by us or supplied by third parties. The prices and availability of energy resources are subject to volatile market conditions. These market conditions are affected by factors beyond our control, such as weather conditions, overall economic conditions and governmental regulations. Should the price of energy increase or be unavailable, our business could suffer and have a material adverse impact on our results of operations. In addition, a lack of availability of sufficient amounts of renewable energy to effectively decarbonize our facilities could have a material impact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petroleum prices and customer demand patterns may reduce demand for renewable fuels.</w:t>
      </w:r>
    </w:p>
    <w:p>
      <w:pPr>
        <w:spacing w:after="0" w:line="249"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Our renewable fuels may be considered an alternative to petroleum-based fuels. Therefore, if the price of oil falls, any revenues that we generate from renewable fuel products could decline and we may be unable to produce products that are a commercially viable alternative to petroleum-based fuels. Additionally, demand for liquid transportation fuels, including renewable fuels, may decrease due to economic conditions or other factors outside of our control, which could have a material adverse impact on our business and results of operations.</w:t>
      </w:r>
    </w:p>
    <w:p>
      <w:pPr>
        <w:spacing w:after="0" w:line="202" w:lineRule="exact"/>
        <w:rPr>
          <w:sz w:val="20"/>
          <w:szCs w:val="20"/>
          <w:color w:val="auto"/>
        </w:rPr>
      </w:pPr>
    </w:p>
    <w:p>
      <w:pPr>
        <w:ind w:right="400"/>
        <w:spacing w:after="0" w:line="288" w:lineRule="auto"/>
        <w:rPr>
          <w:sz w:val="20"/>
          <w:szCs w:val="20"/>
          <w:color w:val="auto"/>
        </w:rPr>
      </w:pPr>
      <w:r>
        <w:rPr>
          <w:rFonts w:ascii="Arial" w:cs="Arial" w:eastAsia="Arial" w:hAnsi="Arial"/>
          <w:sz w:val="17"/>
          <w:szCs w:val="17"/>
          <w:b w:val="1"/>
          <w:bCs w:val="1"/>
          <w:i w:val="1"/>
          <w:iCs w:val="1"/>
          <w:color w:val="auto"/>
        </w:rPr>
        <w:t>Any decline in the value of carbon credits associated with our products could have a material adverse effect on our results of operations, cash flow and financial condition.</w:t>
      </w:r>
    </w:p>
    <w:p>
      <w:pPr>
        <w:spacing w:after="0" w:line="184"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The sale of our products is often dependent on the value of carbon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decline in the value of carbon credits associated with our products could have a material adverse effect on our results of operations, cash flow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the commercialization of alcohol-to-SAF projects utilizing Axens technology.</w:t>
      </w:r>
    </w:p>
    <w:p>
      <w:pPr>
        <w:spacing w:after="0" w:line="249" w:lineRule="exact"/>
        <w:rPr>
          <w:sz w:val="20"/>
          <w:szCs w:val="20"/>
          <w:color w:val="auto"/>
        </w:rPr>
      </w:pPr>
    </w:p>
    <w:p>
      <w:pPr>
        <w:ind w:right="20" w:firstLine="470"/>
        <w:spacing w:after="0" w:line="313" w:lineRule="auto"/>
        <w:rPr>
          <w:sz w:val="20"/>
          <w:szCs w:val="20"/>
          <w:color w:val="auto"/>
        </w:rPr>
      </w:pPr>
      <w:r>
        <w:rPr>
          <w:rFonts w:ascii="Arial" w:cs="Arial" w:eastAsia="Arial" w:hAnsi="Arial"/>
          <w:sz w:val="15"/>
          <w:szCs w:val="15"/>
          <w:color w:val="auto"/>
        </w:rPr>
        <w:t>Our future success on alcohol-to-SAF projects depends on our ability to produce commercial quantities of SAF from ethanol using Axens technology. We may encounter challenges in scaling up the Axens technology and/or the technology may not work as expected, or at all on a commercial scale. In addition, the cost to construct commercial alcohol-to-SAF facilities or the production costs associated with the operation of such facilities may be higher than we project. If we encounter such difficulties, this could significantly affect our profitability and have a material adverse impact on our business and results of operations.</w:t>
      </w:r>
    </w:p>
    <w:p>
      <w:pPr>
        <w:spacing w:after="0" w:line="172"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The technological and logistical challenges associated with producing, marketing, selling and distributing renewable hydrocarbon products are complex, and we may not be able to resolve any difficulties that arise in a timely or cost-effective manner, or at all.</w:t>
      </w:r>
    </w:p>
    <w:p>
      <w:pPr>
        <w:spacing w:after="0" w:line="184"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We have limited experience operating, and have never built, a commercial renewable hydrocarbon facility. We believe that we understand the engineering and process characteristics necessary to successfully build the additional facilities that we are contemplating and to scale up to larger facilities. We expect to incur additional capital expenditures to produce renewable hydrocarbon products at our Net-Zero Projects. Our assumptions, however, may prove to be incorrect. Accordingly, we cannot be certain that we can consistently produce renewable hydrocarbon products in an economical manner in commercial quantities. If we fail to consistently produce renewable hydrocarbon products economically on a commercial scale or in commercial volumes, our commercialization of renewable hydrocarbon products and our business, financial condition and results of operations will be materially adversely affected.</w:t>
      </w:r>
    </w:p>
    <w:p>
      <w:pPr>
        <w:spacing w:after="0" w:line="193"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b w:val="1"/>
          <w:bCs w:val="1"/>
          <w:i w:val="1"/>
          <w:iCs w:val="1"/>
          <w:color w:val="auto"/>
        </w:rPr>
        <w:t>Our actual costs may be greater than expected in developing our growth projects, causing us to realize significantly lower profits or greater losses on our projects.</w:t>
      </w:r>
    </w:p>
    <w:p>
      <w:pPr>
        <w:spacing w:after="0" w:line="184"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generally must estimate the costs of completing a specific project to prior to the construction of the project. The actual cost of labor and materials may vary from the costs we originally estimated. These variations may cause gross profit for a project to differ from those we originally estimated. Cost overruns on our growth projects could occur due to changes in a variety of factors such as:</w:t>
      </w:r>
    </w:p>
    <w:p>
      <w:pPr>
        <w:spacing w:after="0" w:line="198" w:lineRule="exact"/>
        <w:rPr>
          <w:sz w:val="20"/>
          <w:szCs w:val="20"/>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properly estimate costs of engineering, materials, equipment, labor or financing;</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unanticipated technical problems with the structures, materials or services;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unanticipated project modifications;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costs of equipment, materials, labor or contractors;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suppliers' or contractors' failure to perform;</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laws and regulations; and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caused by weather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260" w:firstLine="470"/>
        <w:spacing w:after="0" w:line="272" w:lineRule="auto"/>
        <w:rPr>
          <w:sz w:val="20"/>
          <w:szCs w:val="20"/>
          <w:color w:val="auto"/>
        </w:rPr>
      </w:pPr>
      <w:r>
        <w:rPr>
          <w:rFonts w:ascii="Arial" w:cs="Arial" w:eastAsia="Arial" w:hAnsi="Arial"/>
          <w:sz w:val="17"/>
          <w:szCs w:val="17"/>
          <w:color w:val="auto"/>
        </w:rPr>
        <w:t>As projects grow in size and complexity, multiple factors may contribute to reduced profit or greater losses, and depending on the size of the particular project, variations from the estimated project costs could have a material adverse effect on our business. For example, if project costs exceed our estimates, it could cause us to realize significantly lower profits or greater losses on our projects.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produce renewable hydrocarbon products in accordance with customer specifications.</w:t>
      </w:r>
    </w:p>
    <w:p>
      <w:pPr>
        <w:spacing w:after="0" w:line="249"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We may be unable to produce renewable hydrocarbon products to meet customer specifications, including those defined in ASTM D7862 "Standard Specification for Butanol for Blending with Gasoline for Use as Automotive Spark-Ignition Engine Fuel," ASTM D7566 "Standard Specifications for Aviation Turbine Fuel Containing Synthesized Hydrocarbons" or specifications to carbon intensity standards. We may need to add additional processing steps or incur capital expenditures in order to meet customer specifications which could add significant costs to our production process. If we fail to meet specific product or volume specifications contained in an offtake agreement, the customer may have the right to seek an alternate supply of renewable hydrocarbon products and/or terminate the agreement completely, and we could be required to pay shortfall fees or otherwise be subject to damages. A failure to successfully meet the specifications of our potential customers could decrease demand and significantly hinder market adoption of our products, thus having a material adverse impact on our business and results of operations.</w:t>
      </w:r>
    </w:p>
    <w:p>
      <w:pPr>
        <w:spacing w:after="0" w:line="207"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b w:val="1"/>
          <w:bCs w:val="1"/>
          <w:i w:val="1"/>
          <w:iCs w:val="1"/>
          <w:color w:val="auto"/>
        </w:rPr>
        <w:t>Our experience may not be sufficient to operate commercial-scale facilities and we may encounter substantial difficulties operating commercial plants or expanding our business.</w:t>
      </w:r>
    </w:p>
    <w:p>
      <w:pPr>
        <w:spacing w:after="0" w:line="184"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We have limited experience operating commercial-scale RNG and renewable hydrocarbon facilities concurrently. Accordingly, we may encounter significant difficulties operating at a commercial scale once we expand our production capabilities, including at our Gevo RNG and Net-Zero Projects. The skills and knowledge gained in operating our current facilities may prove insufficient for successful operation of a large-scale facility or the Facility, and we may be required to expend significant time and money to develop our capabilities in large-scale facility operation. We may also need to hire new employees or contract with third parties to help manage our operations, and our performance will suffer if we are unable to hire qualified parties or if they perform poorly.</w:t>
      </w:r>
    </w:p>
    <w:p>
      <w:pPr>
        <w:spacing w:after="0" w:line="192"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We may face additional operational difficulties as we further expand our production capacity, including our RNG facilities and the Facility. Integrating new facilities with our existing operations may prove difficult. Rapid growth, resulting from our operation of, or other involvement with,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or failure to otherwise manage our growth, may have a material adverse effect on our business, financial condition and results of operations.</w:t>
      </w:r>
    </w:p>
    <w:p>
      <w:pPr>
        <w:spacing w:after="0" w:line="193"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Even if we are successful in producing our products on a commercial scale, we may not be successful in negotiating additional fuel offtake agreements or pricing terms to support the growth of our business.</w:t>
      </w:r>
    </w:p>
    <w:p>
      <w:pPr>
        <w:spacing w:after="0" w:line="184" w:lineRule="exact"/>
        <w:rPr>
          <w:sz w:val="20"/>
          <w:szCs w:val="20"/>
          <w:color w:val="auto"/>
        </w:rPr>
      </w:pPr>
    </w:p>
    <w:p>
      <w:pPr>
        <w:ind w:right="60" w:firstLine="470"/>
        <w:spacing w:after="0" w:line="278" w:lineRule="auto"/>
        <w:rPr>
          <w:sz w:val="20"/>
          <w:szCs w:val="20"/>
          <w:color w:val="auto"/>
        </w:rPr>
      </w:pPr>
      <w:r>
        <w:rPr>
          <w:rFonts w:ascii="Arial" w:cs="Arial" w:eastAsia="Arial" w:hAnsi="Arial"/>
          <w:sz w:val="16"/>
          <w:szCs w:val="16"/>
          <w:color w:val="auto"/>
        </w:rPr>
        <w:t>We expect that many of our customers will be large companies with extensive experience operating in the fuels or chemicals markets. We lack significant commercial operating experience and may face difficulties in developing marketing expertise in these fields. Our business model relies upon our ability to successfully negotiate, structure and fulfill long-term offtake agreements for our products. Certain agreements with existing and potential customers may initially only provide for the purchase of limited quantities from us. Our ability to increase our sales will depend in large part upon our ability to expand these existing customer relationships into long-term offtake agreements. Maintaining and expanding our existing relationships and establishing new ones can require substantial investment without any assurance from customers that they will place significant orders. In addition, many of our potential customers may be more experienced in these matters than we are, and we may fail to successfully negotiate these agreements in a timely manner or on favorable terms which, in turn, may force us to slow our production, dedicate additional resources to increasing our storage capacity and/or dedicate resources to sales in spot markets. Furthermore, should we become more dependent on spot market sales, our profitability will become increasingly vulnerable to short-term fluctuations in the price and demand for petroleum-based fuels and competing substitutes.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20"/>
        <w:spacing w:after="0" w:line="288" w:lineRule="auto"/>
        <w:rPr>
          <w:sz w:val="20"/>
          <w:szCs w:val="20"/>
          <w:color w:val="auto"/>
        </w:rPr>
      </w:pPr>
      <w:r>
        <w:rPr>
          <w:rFonts w:ascii="Arial" w:cs="Arial" w:eastAsia="Arial" w:hAnsi="Arial"/>
          <w:sz w:val="17"/>
          <w:szCs w:val="17"/>
          <w:b w:val="1"/>
          <w:bCs w:val="1"/>
          <w:i w:val="1"/>
          <w:iCs w:val="1"/>
          <w:color w:val="auto"/>
        </w:rPr>
        <w:t>If we engage in acquisitions, we will incur a variety of costs and may potentially face numerous risks that could adversely affect our business and operations.</w:t>
      </w:r>
    </w:p>
    <w:p>
      <w:pPr>
        <w:spacing w:after="0" w:line="184" w:lineRule="exact"/>
        <w:rPr>
          <w:sz w:val="20"/>
          <w:szCs w:val="20"/>
          <w:color w:val="auto"/>
        </w:rPr>
      </w:pPr>
    </w:p>
    <w:p>
      <w:pPr>
        <w:ind w:right="480" w:firstLine="470"/>
        <w:spacing w:after="0" w:line="321" w:lineRule="auto"/>
        <w:rPr>
          <w:sz w:val="20"/>
          <w:szCs w:val="20"/>
          <w:color w:val="auto"/>
        </w:rPr>
      </w:pPr>
      <w:r>
        <w:rPr>
          <w:rFonts w:ascii="Arial" w:cs="Arial" w:eastAsia="Arial" w:hAnsi="Arial"/>
          <w:sz w:val="16"/>
          <w:szCs w:val="16"/>
          <w:color w:val="auto"/>
        </w:rPr>
        <w:t>If appropriate opportunities become available, we may acquire businesses, assets, technologies or products to enhance our business in the future. In connection with any future acquisitions, we could, subject to certain limitations in the agreements governing our indebtedness at such time:</w:t>
      </w:r>
    </w:p>
    <w:p>
      <w:pPr>
        <w:spacing w:after="0" w:line="161" w:lineRule="exact"/>
        <w:rPr>
          <w:sz w:val="20"/>
          <w:szCs w:val="20"/>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issue additional equity securities which would dilute our current stockholders;</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incur substantial debt to fund the acquisitions; or</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assume significant known or unknown liabilities.</w:t>
      </w:r>
    </w:p>
    <w:p>
      <w:pPr>
        <w:spacing w:after="0" w:line="237"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Acquisitions involve numerous risks, including problems integrating the purchased operations, technologies or products, unanticipated costs and other liabilities, diversion of management’s attention from our core business, adverse effects on existing business relationships with current and/or prospective partners, customers and/or suppliers, risks associated with entering markets in which we have no or limited prior experience and potential loss of key employees. Other than our acquisition of the Luverne Facility, we have not engaged in acquisitions in the past, and do not have experience in managing the integration process. Therefore, we may not be able to successfully integrate any businesses, assets, products, technologies or personnel that we might acquire in the future without a significant expenditure of operating, financial and management resources, if at all. The integration process could divert management time from focusing on operating our business, result in a decline in employee morale and cause retention issues to arise from changes in compensation, reporting relationships, future prospects or the direction of the business. In addition, we may acquire companies that have insufficient internal financial controls, which could impair our ability to integrate the acquired company and adversely impact our financial reporting. If we fail in our integration efforts with respect to acquisitions and are unable to efficiently operate as a combined organization, our business, financial condition and results of operations may be materially adversely affected.</w:t>
      </w:r>
    </w:p>
    <w:p>
      <w:pPr>
        <w:spacing w:after="0" w:line="215" w:lineRule="exact"/>
        <w:rPr>
          <w:sz w:val="20"/>
          <w:szCs w:val="20"/>
          <w:color w:val="auto"/>
        </w:rPr>
      </w:pPr>
    </w:p>
    <w:p>
      <w:pPr>
        <w:ind w:right="700"/>
        <w:spacing w:after="0" w:line="288" w:lineRule="auto"/>
        <w:rPr>
          <w:sz w:val="20"/>
          <w:szCs w:val="20"/>
          <w:color w:val="auto"/>
        </w:rPr>
      </w:pPr>
      <w:r>
        <w:rPr>
          <w:rFonts w:ascii="Arial" w:cs="Arial" w:eastAsia="Arial" w:hAnsi="Arial"/>
          <w:sz w:val="17"/>
          <w:szCs w:val="17"/>
          <w:b w:val="1"/>
          <w:bCs w:val="1"/>
          <w:i w:val="1"/>
          <w:iCs w:val="1"/>
          <w:color w:val="auto"/>
        </w:rPr>
        <w:t>If we engage in joint ventures, we will incur a variety of costs and may potentially face numerous risks that could adversely affect our business and operations.</w:t>
      </w:r>
    </w:p>
    <w:p>
      <w:pPr>
        <w:spacing w:after="0" w:line="184" w:lineRule="exact"/>
        <w:rPr>
          <w:sz w:val="20"/>
          <w:szCs w:val="20"/>
          <w:color w:val="auto"/>
        </w:rPr>
      </w:pPr>
    </w:p>
    <w:p>
      <w:pPr>
        <w:ind w:right="220" w:firstLine="470"/>
        <w:spacing w:after="0" w:line="324" w:lineRule="auto"/>
        <w:rPr>
          <w:sz w:val="20"/>
          <w:szCs w:val="20"/>
          <w:color w:val="auto"/>
        </w:rPr>
      </w:pPr>
      <w:r>
        <w:rPr>
          <w:rFonts w:ascii="Arial" w:cs="Arial" w:eastAsia="Arial" w:hAnsi="Arial"/>
          <w:sz w:val="15"/>
          <w:szCs w:val="15"/>
          <w:color w:val="auto"/>
        </w:rPr>
        <w:t>If appropriate opportunities become available, we may enter into joint ventures with various parties. Realizing the anticipated benefits of joint ventures involves a number of potential challenges. The failure to meet these challenges could seriously harm our financial condition and results of operations. Joint ventures are complex and time consuming and we may encounter unexpected difficulties or incur unexpected costs related to such arrangements, including:</w:t>
      </w:r>
    </w:p>
    <w:p>
      <w:pPr>
        <w:spacing w:after="0" w:line="164" w:lineRule="exact"/>
        <w:rPr>
          <w:sz w:val="20"/>
          <w:szCs w:val="20"/>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negotiating joint venture agreements with favorable terms and establishing relevant performance metrics;</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inability to meet applicable performance targets;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obtaining the permits and approvals required to produce and sell products in different geographic areas;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complexities associated with managing the potential geographic separation of facilities;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diversion of management attention from ongoing business concerns to matters related to the joint ventures;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maintaining effective relationships with personnel from different corporate cultures; and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inability to generate sufficient revenue to offset retrofit costs.</w:t>
      </w:r>
    </w:p>
    <w:p>
      <w:pPr>
        <w:spacing w:after="0" w:line="237" w:lineRule="exact"/>
        <w:rPr>
          <w:sz w:val="20"/>
          <w:szCs w:val="20"/>
          <w:color w:val="auto"/>
        </w:rPr>
      </w:pPr>
    </w:p>
    <w:p>
      <w:pPr>
        <w:ind w:right="540"/>
        <w:spacing w:after="0" w:line="272" w:lineRule="auto"/>
        <w:rPr>
          <w:sz w:val="20"/>
          <w:szCs w:val="20"/>
          <w:color w:val="auto"/>
        </w:rPr>
      </w:pPr>
      <w:r>
        <w:rPr>
          <w:rFonts w:ascii="Arial" w:cs="Arial" w:eastAsia="Arial" w:hAnsi="Arial"/>
          <w:sz w:val="17"/>
          <w:szCs w:val="17"/>
          <w:b w:val="1"/>
          <w:bCs w:val="1"/>
          <w:i w:val="1"/>
          <w:iCs w:val="1"/>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98"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retain other key employees who possess the requisite expertise for the conduct of our business, could prevent us from developing and commercializing our products for our target markets and entering into partnerships or licensing arrangements to execute our business strategy. In addition, the loss of any key scientific staff, or the failure to attract or retain other key scientific employees, could prevent us from developing and commercializing our products for our target markets and entering into partnerships or licensing arrangements to execute our business strategy. We may not be able to attract or retain qualified employees in the future due to the intense competition for qualified personnel among biotechnology and other technology-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based businesses, particularly in the advanced renewable fuels area, or due to the limited availability of personnel with the qualifications or experience necessary for our renewable chemicals and advanced renewable 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spacing w:after="0" w:line="211" w:lineRule="exact"/>
        <w:rPr>
          <w:sz w:val="20"/>
          <w:szCs w:val="20"/>
          <w:color w:val="auto"/>
        </w:rPr>
      </w:pPr>
    </w:p>
    <w:p>
      <w:pPr>
        <w:ind w:right="140" w:firstLine="470"/>
        <w:spacing w:after="0" w:line="267" w:lineRule="auto"/>
        <w:rPr>
          <w:sz w:val="20"/>
          <w:szCs w:val="20"/>
          <w:color w:val="auto"/>
        </w:rPr>
      </w:pPr>
      <w:r>
        <w:rPr>
          <w:rFonts w:ascii="Arial" w:cs="Arial" w:eastAsia="Arial" w:hAnsi="Arial"/>
          <w:sz w:val="17"/>
          <w:szCs w:val="17"/>
          <w:color w:val="auto"/>
        </w:rPr>
        <w:t>Our planned activities will require additional expertise in specific industries and areas applicable to the products and processes developed through our technology platform or acquired through strategic or other transactions, especially in the end markets that we seek to penetrate. These activities will require the addition of new personnel, and the development of additional expertise by existing personnel. The inability to attract personnel with appropriate skills or to develop the necessary expertise could impair our ability to grow our business.</w:t>
      </w:r>
    </w:p>
    <w:p>
      <w:pPr>
        <w:spacing w:after="0" w:line="202"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We may face substantial competition from companies with greater resources and financial strength, which could adversely affect our performance and growth.</w:t>
      </w:r>
    </w:p>
    <w:p>
      <w:pPr>
        <w:spacing w:after="0" w:line="184" w:lineRule="exact"/>
        <w:rPr>
          <w:sz w:val="20"/>
          <w:szCs w:val="20"/>
          <w:color w:val="auto"/>
        </w:rPr>
      </w:pPr>
    </w:p>
    <w:p>
      <w:pPr>
        <w:ind w:firstLine="470"/>
        <w:spacing w:after="0" w:line="313" w:lineRule="auto"/>
        <w:rPr>
          <w:sz w:val="20"/>
          <w:szCs w:val="20"/>
          <w:color w:val="auto"/>
        </w:rPr>
      </w:pPr>
      <w:r>
        <w:rPr>
          <w:rFonts w:ascii="Arial" w:cs="Arial" w:eastAsia="Arial" w:hAnsi="Arial"/>
          <w:sz w:val="15"/>
          <w:szCs w:val="15"/>
          <w:color w:val="auto"/>
        </w:rPr>
        <w:t>We may face substantial competition in the markets for renewable hydrocarbon products. Our competitors include companies in the incumbent petroleum-based industry as well as those in the nascent renewable fuels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w:t>
      </w:r>
    </w:p>
    <w:p>
      <w:pPr>
        <w:spacing w:after="0" w:line="17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 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spacing w:after="0" w:line="195" w:lineRule="exact"/>
        <w:rPr>
          <w:sz w:val="20"/>
          <w:szCs w:val="20"/>
          <w:color w:val="auto"/>
        </w:rPr>
      </w:pPr>
    </w:p>
    <w:p>
      <w:pPr>
        <w:jc w:val="both"/>
        <w:ind w:right="160" w:firstLine="470"/>
        <w:spacing w:after="0" w:line="272" w:lineRule="auto"/>
        <w:rPr>
          <w:sz w:val="20"/>
          <w:szCs w:val="20"/>
          <w:color w:val="auto"/>
        </w:rPr>
      </w:pPr>
      <w:r>
        <w:rPr>
          <w:rFonts w:ascii="Arial" w:cs="Arial" w:eastAsia="Arial" w:hAnsi="Arial"/>
          <w:sz w:val="17"/>
          <w:szCs w:val="17"/>
          <w:color w:val="auto"/>
        </w:rPr>
        <w:t>In addition, various governments have recently announced a number of spending programs focused on the development of clean technologies, including alternatives to petroleum-based fuels and the reduction of carbon emissions. Such spending programs could lead to increased funding for our competitors or a rapid increase in the number of competitors within those markets.</w:t>
      </w:r>
    </w:p>
    <w:p>
      <w:pPr>
        <w:spacing w:after="0" w:line="198" w:lineRule="exact"/>
        <w:rPr>
          <w:sz w:val="20"/>
          <w:szCs w:val="20"/>
          <w:color w:val="auto"/>
        </w:rPr>
      </w:pPr>
    </w:p>
    <w:p>
      <w:pPr>
        <w:ind w:right="440" w:firstLine="470"/>
        <w:spacing w:after="0" w:line="272" w:lineRule="auto"/>
        <w:rPr>
          <w:sz w:val="20"/>
          <w:szCs w:val="20"/>
          <w:color w:val="auto"/>
        </w:rPr>
      </w:pPr>
      <w:r>
        <w:rPr>
          <w:rFonts w:ascii="Arial" w:cs="Arial" w:eastAsia="Arial" w:hAnsi="Arial"/>
          <w:sz w:val="17"/>
          <w:szCs w:val="17"/>
          <w:color w:val="auto"/>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will depend on our ability to maintain a competitive position with respect to technological advances.</w:t>
      </w:r>
    </w:p>
    <w:p>
      <w:pPr>
        <w:spacing w:after="0" w:line="249"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The renewable fuels industry is characterized by rapid technological change. Our future success will depend on our ability to maintain a competitive position with respect to technological advances. Technological development by others may impact the competitiveness of our products in the marketplace. Competitors and potential competitors who have greater resources and experience than we do may develop products and technologies that make ours obsolete or may use their greater resources to gain market share at our expense.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interruptions may have an adverse impact on our business and our financial results.</w:t>
      </w:r>
    </w:p>
    <w:p>
      <w:pPr>
        <w:spacing w:after="0" w:line="249"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color w:val="auto"/>
        </w:rPr>
        <w:t>We are vulnerable to natural disasters and other events that could disrupt our operations, such as riots, civil disturbances, war, terrorist acts, pandemics, such as COVID-19, floods, infections in our laboratory or production facilities or those of our contract manufacturers and other events beyond our control. We do not have a detailed disaster recovery plan. In addition, we may not carry sufficient business interruption insurance to compensate us for losses that may occur. Any losses or damages we incur could have a material adverse effect on our cash flows and success as an overall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IT system failures or a cyber-attack.</w:t>
      </w:r>
    </w:p>
    <w:p>
      <w:pPr>
        <w:spacing w:after="0" w:line="249" w:lineRule="exact"/>
        <w:rPr>
          <w:sz w:val="20"/>
          <w:szCs w:val="20"/>
          <w:color w:val="auto"/>
        </w:rPr>
      </w:pPr>
    </w:p>
    <w:p>
      <w:pPr>
        <w:ind w:right="40" w:firstLine="470"/>
        <w:spacing w:after="0" w:line="280" w:lineRule="auto"/>
        <w:rPr>
          <w:sz w:val="20"/>
          <w:szCs w:val="20"/>
          <w:color w:val="auto"/>
        </w:rPr>
      </w:pPr>
      <w:r>
        <w:rPr>
          <w:rFonts w:ascii="Arial" w:cs="Arial" w:eastAsia="Arial" w:hAnsi="Arial"/>
          <w:sz w:val="16"/>
          <w:szCs w:val="16"/>
          <w:color w:val="auto"/>
        </w:rPr>
        <w:t>Our business is dependent on proprietary technologies, processes and information that we have developed, much of which is stored on our computer systems. We also have entered into agreements with third parties for hardware, software, telecommunications and other information technology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a material disruption of our business or increases in capital expenses. Our operations also depend on the timely maintenance, upgrade and replacement of networks, equipment and IT systems and software, as well as preemptive expenses to mitigate the risks of failures.</w:t>
      </w:r>
    </w:p>
    <w:p>
      <w:pPr>
        <w:spacing w:after="0" w:line="196"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Furthermore, the importance of such information technology systems and networks and systems has increased due to many of our employees working remotely. Additionally, if one of our service providers were to fail and we were unable to find a suitable replacement in a timely manner, we could be unable to properly administer our outsourced functions.</w:t>
      </w:r>
    </w:p>
    <w:p>
      <w:pPr>
        <w:spacing w:after="0" w:line="198"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IT system or breaches of data security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engage in hedging transactions, which could adversely impact our business.</w:t>
      </w:r>
    </w:p>
    <w:p>
      <w:pPr>
        <w:spacing w:after="0" w:line="249"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In the future, 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our products. Future losses from hedging activities and changes in hedging strategy could have a material adverse effect on our operations.</w:t>
      </w:r>
    </w:p>
    <w:p>
      <w:pPr>
        <w:spacing w:after="0" w:line="196"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b w:val="1"/>
          <w:bCs w:val="1"/>
          <w:i w:val="1"/>
          <w:iCs w:val="1"/>
          <w:color w:val="auto"/>
        </w:rPr>
        <w:t>Ethical, legal and social concerns about genetically engineered products and processes, and similar concerns about feedstocks grown on land that could be used for food production, could limit or prevent the use of our products, processes and technologies and limit our revenues.</w:t>
      </w:r>
    </w:p>
    <w:p>
      <w:pPr>
        <w:spacing w:after="0" w:line="161"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Some of our processes involve the use of genetically engineered organisms or genetic engineering technologies. Additionally, our feedstocks may be grown on land that could be used for food production, which subjects our feedstock sources to “food versus fuel” concerns. If we are not able to overcome the ethical, legal and social concerns relating to genetic engineering or food versus fuel, our products and processes may not be accepted. Any of the risks discussed below could result in increased expenses, delays or other impediments to our programs or the public acceptance and commercialization of products and processes dependent on our technologies or inventions.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ability to develop and commercialize one or more of our technologies, products or processes could be limited by the following factors:</w:t>
      </w:r>
    </w:p>
    <w:p>
      <w:pPr>
        <w:spacing w:after="0" w:line="249" w:lineRule="exact"/>
        <w:rPr>
          <w:sz w:val="20"/>
          <w:szCs w:val="20"/>
          <w:color w:val="auto"/>
        </w:rPr>
      </w:pPr>
    </w:p>
    <w:p>
      <w:pPr>
        <w:ind w:left="640" w:right="360" w:hanging="322"/>
        <w:spacing w:after="0" w:line="264"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 attitudes about the safety and environmental hazards of, and ethical concerns over, genetic research and genetically engineered products and processes, which could influence public acceptance of our technologies, products and processes;</w:t>
      </w:r>
    </w:p>
    <w:p>
      <w:pPr>
        <w:ind w:left="640" w:right="340" w:hanging="322"/>
        <w:spacing w:after="0" w:line="256"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 attitudes regarding and potential changes to laws governing ownership of genetic material, which could harm our intellectual property rights with respect to our genetic material and discourage others from supporting, developing or commercializing our products, processes and technologies;</w:t>
      </w:r>
    </w:p>
    <w:p>
      <w:pPr>
        <w:spacing w:after="0" w:line="1" w:lineRule="exact"/>
        <w:rPr>
          <w:rFonts w:ascii="Arial" w:cs="Arial" w:eastAsia="Arial" w:hAnsi="Arial"/>
          <w:sz w:val="17"/>
          <w:szCs w:val="17"/>
          <w:color w:val="auto"/>
        </w:rPr>
      </w:pPr>
    </w:p>
    <w:p>
      <w:pPr>
        <w:ind w:left="640" w:right="320" w:hanging="322"/>
        <w:spacing w:after="0" w:line="256"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 attitudes and ethical concerns surrounding production of feedstocks on land which could be used to grow food, which could influence public acceptance of our technologies, products and processes;</w:t>
      </w:r>
    </w:p>
    <w:p>
      <w:pPr>
        <w:spacing w:after="0" w:line="1" w:lineRule="exact"/>
        <w:rPr>
          <w:rFonts w:ascii="Arial" w:cs="Arial" w:eastAsia="Arial" w:hAnsi="Arial"/>
          <w:sz w:val="17"/>
          <w:szCs w:val="17"/>
          <w:color w:val="auto"/>
        </w:rPr>
      </w:pPr>
    </w:p>
    <w:p>
      <w:pPr>
        <w:ind w:left="640" w:right="480" w:hanging="322"/>
        <w:spacing w:after="0" w:line="256"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governmental reaction to negative publicity concerning genetically engineered organisms, which could result in greater government regulation of genetic research and derivative products; and</w:t>
      </w:r>
    </w:p>
    <w:p>
      <w:pPr>
        <w:spacing w:after="0" w:line="1" w:lineRule="exact"/>
        <w:rPr>
          <w:rFonts w:ascii="Arial" w:cs="Arial" w:eastAsia="Arial" w:hAnsi="Arial"/>
          <w:sz w:val="17"/>
          <w:szCs w:val="17"/>
          <w:color w:val="auto"/>
        </w:rPr>
      </w:pPr>
    </w:p>
    <w:p>
      <w:pPr>
        <w:ind w:left="640" w:right="740" w:hanging="322"/>
        <w:spacing w:after="0" w:line="273"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governmental reaction to negative publicity concerning feedstocks produced on land which could be used to grow food, which could result in greater government regulation of feedstock sources.</w:t>
      </w:r>
    </w:p>
    <w:p>
      <w:pPr>
        <w:spacing w:after="0" w:line="197"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The subjects of genetically engineered organisms and food versus fuel have received negative publicity, which has aroused public debate. This adverse publicity could lead to greater regulation and trade restrictions on imports of genetically engineered products or feedstocks grown on land suitable for food production.</w:t>
      </w:r>
    </w:p>
    <w:p>
      <w:pPr>
        <w:spacing w:after="0" w:line="198"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The biocatalysts that we develop have significantly enhanced characteristics compared to those found in naturally occurring enzymes or microbes. While we produce our biocatalysts only for use in a controlled industrial environment, the release of such biocatalysts into uncontrolled environments could have unintended consequences. Any adverse effect resulting from such a release could have a material adverse effect on our business and financial condition, and we may be exposed to liability for any resulting harm.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our products have not previously been used as a commercial fuel in significant amounts, their use subjects us to product liability risks.</w:t>
      </w:r>
    </w:p>
    <w:p>
      <w:pPr>
        <w:spacing w:after="0" w:line="249"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SAF has not been used as a commercial fuel in large quantities or for a long period of time. Research regarding SAF and its distribution infrastructure is ongoing. Although SAF has been tested on some engines, there is a risk that they may damage engines or otherwise fail to perform as expected. If these products degrade the performance or reduce the life-cycle of engines, or cause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use some or all of our net operating loss carry-forwards to offset future income.</w:t>
      </w:r>
    </w:p>
    <w:p>
      <w:pPr>
        <w:spacing w:after="0" w:line="249"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We have net operating loss carryforwards due to prior period losses generated before January 1, 2022, which if not utilized will begin to expire at various times over the next 20 years. If we are unable to generate sufficient taxable income to utilize our net operating loss carryforwards, these carryforwards could expire unused and be unavailable to offset future income tax liabilities.</w:t>
      </w:r>
    </w:p>
    <w:p>
      <w:pPr>
        <w:spacing w:after="0" w:line="198"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In addition, under Section 382 of the Internal Revenue Code of 1986, as amended (the “Code”), a corporation that undergoes an “ownership change” (generally defined as a greater than 50% change (by value) in its equity ownership over a three-year period) is subject to limitation on its ability to utilize its pre-change net operating loss carry-forwards, or net operating losses, to offset future taxable income. We undertook a detailed study of our net operating loss carryforwards through December 31, 2022 to determine whether such amounts are likely to be limited by Section 382 of the Code. As a result of this analysis, we currently believe any Section 382 of the Code limitations will significantly impact our ability to offset income with available net operating loss carryforwards. We have experienced more than one ownership change in prior years, and the issuance of shares in connection with our initial public offering itself triggered an ownership change. In addition, future changes in our stock ownership, which may be outside of our control, may trigger an ownership change, as may future equity offerings or acquisitions that have equity as a component of the purchase price.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Competitiveness of our products for fuel use (including RNG) depends in part on government economic incentives for renewable energy projects or other related policies that could change.</w:t>
      </w:r>
    </w:p>
    <w:p>
      <w:pPr>
        <w:spacing w:after="0" w:line="184" w:lineRule="exact"/>
        <w:rPr>
          <w:sz w:val="20"/>
          <w:szCs w:val="20"/>
          <w:color w:val="auto"/>
        </w:rPr>
      </w:pPr>
    </w:p>
    <w:p>
      <w:pPr>
        <w:ind w:right="80" w:firstLine="470"/>
        <w:spacing w:after="0" w:line="277" w:lineRule="auto"/>
        <w:rPr>
          <w:sz w:val="20"/>
          <w:szCs w:val="20"/>
          <w:color w:val="auto"/>
        </w:rPr>
      </w:pPr>
      <w:r>
        <w:rPr>
          <w:rFonts w:ascii="Arial" w:cs="Arial" w:eastAsia="Arial" w:hAnsi="Arial"/>
          <w:sz w:val="16"/>
          <w:szCs w:val="16"/>
          <w:color w:val="auto"/>
        </w:rPr>
        <w:t>We depend, in part, on international, federal, state and local government incentives, including but not limited to RINs, LCFS credits in California, Clean Fuel Program credits in Oregon, Renewable Energy Credits (“RECs”), rebates, tax credits and other incentives to end users, distributors, system integrators and manufacturers of renewable energy projects, that promote the use of renewable energy. These government economic incentives could be reduced or eliminated altogether, or the categories of renewable energy qualifying for such government economic incentives could be changed. These renewable energy program incentives are subject to regulatory oversight and could be administratively or legislatively changed in a manner that could have a material adverse effect on our operations. Reductions in, changes to, or eliminations or expirations of governmental incentives could result in decreased demand for, and lower revenues from, our projects and products. Further, our ability to generate revenue from the various government economic incentives depends on our strict compliance with the applicable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revenue from the economic incentives could be temporarily restricted pending completion of reviews or as a penalty, permanently limited or lost entirely, and we could also be subject to fines or other sanctions.</w:t>
      </w:r>
    </w:p>
    <w:p>
      <w:pPr>
        <w:spacing w:after="0" w:line="199"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In addition, we may be required to register our projects or qualify our products with the federal government, various states or other countries. Delays in obtaining registration or qualification of our projects or products could delay future revenues and could adversely affect our cash flows. Further, we typically make a large investment in our projects prior to receiving registration and/or qualification. Failure of our projects or products to qualify for government economic incentives could have a material adverse effect on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Our ability to compete may be adversely affected if we are unsuccessful in defending against any claims by competitors or others that we are infringing upon their intellectual property rights.</w:t>
      </w:r>
    </w:p>
    <w:p>
      <w:pPr>
        <w:spacing w:after="0" w:line="184"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The various bioindustrial markets in which we operate or plan to operate are subject to frequent and extensive litigation regarding patents and other intellectual property rights. In addition, many companies in intellectual property-dependent industries, including the renewable energy industry, have employed intellectual property litigation as a means to gain an advantage over their competitors. As a result, we may be required to defend against claims of intellectual property infringement that may be asserted by our competitors against us and, if the outcome of any such litigation is adverse to us, it may affect our ability to compete effectively.</w:t>
      </w:r>
    </w:p>
    <w:p>
      <w:pPr>
        <w:spacing w:after="0" w:line="206" w:lineRule="exact"/>
        <w:rPr>
          <w:sz w:val="20"/>
          <w:szCs w:val="20"/>
          <w:color w:val="auto"/>
        </w:rPr>
      </w:pPr>
    </w:p>
    <w:p>
      <w:pPr>
        <w:ind w:right="280" w:firstLine="470"/>
        <w:spacing w:after="0" w:line="272" w:lineRule="auto"/>
        <w:rPr>
          <w:sz w:val="20"/>
          <w:szCs w:val="20"/>
          <w:color w:val="auto"/>
        </w:rPr>
      </w:pPr>
      <w:r>
        <w:rPr>
          <w:rFonts w:ascii="Arial" w:cs="Arial" w:eastAsia="Arial" w:hAnsi="Arial"/>
          <w:sz w:val="17"/>
          <w:szCs w:val="17"/>
          <w:color w:val="auto"/>
        </w:rPr>
        <w:t>Litigation, interferences, opposition proceedings or other intellectual property proceedings inside and outside of the U.S. may divert management time from focusing on business operations, could cause us to spend significant amounts of money and may have no guarantee of success. Any future intellectual property litigation could also force us to do one or more of the following:</w:t>
      </w:r>
    </w:p>
    <w:p>
      <w:pPr>
        <w:spacing w:after="0" w:line="198" w:lineRule="exact"/>
        <w:rPr>
          <w:sz w:val="20"/>
          <w:szCs w:val="20"/>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stop selling, incorporating, manufacturing or using our products that use the subject intellectual property;</w:t>
      </w:r>
    </w:p>
    <w:p>
      <w:pPr>
        <w:spacing w:after="0" w:line="25" w:lineRule="exact"/>
        <w:rPr>
          <w:rFonts w:ascii="Arial" w:cs="Arial" w:eastAsia="Arial" w:hAnsi="Arial"/>
          <w:sz w:val="17"/>
          <w:szCs w:val="17"/>
          <w:color w:val="auto"/>
        </w:rPr>
      </w:pPr>
    </w:p>
    <w:p>
      <w:pPr>
        <w:ind w:left="640" w:right="320" w:hanging="322"/>
        <w:spacing w:after="0" w:line="256"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from a third party asserting its intellectual property rights, a license to sell or use the relevant technology, which license may not be available on reasonable terms, or at all;</w:t>
      </w:r>
    </w:p>
    <w:p>
      <w:pPr>
        <w:spacing w:after="0" w:line="1" w:lineRule="exact"/>
        <w:rPr>
          <w:rFonts w:ascii="Arial" w:cs="Arial" w:eastAsia="Arial" w:hAnsi="Arial"/>
          <w:sz w:val="17"/>
          <w:szCs w:val="17"/>
          <w:color w:val="auto"/>
        </w:rPr>
      </w:pPr>
    </w:p>
    <w:p>
      <w:pPr>
        <w:ind w:left="640" w:right="420" w:hanging="322"/>
        <w:spacing w:after="0" w:line="256"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redesign those products or processes that use any allegedly infringing or misappropriated technology, which may result in significant cost or delay to us, or which redesign could be technically infeasible;</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 attorneys’ fees and expenses; or</w:t>
      </w:r>
    </w:p>
    <w:p>
      <w:pPr>
        <w:spacing w:after="0" w:line="13" w:lineRule="exact"/>
        <w:rPr>
          <w:rFonts w:ascii="Arial" w:cs="Arial" w:eastAsia="Arial" w:hAnsi="Arial"/>
          <w:sz w:val="17"/>
          <w:szCs w:val="17"/>
          <w:color w:val="auto"/>
        </w:rPr>
      </w:pPr>
    </w:p>
    <w:p>
      <w:pPr>
        <w:ind w:left="640" w:right="440" w:hanging="322"/>
        <w:spacing w:after="0" w:line="273"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 damages, including the possibility of treble damages in a patent case if a court finds us to have willfully infringed certain intellectual property rights.</w:t>
      </w:r>
    </w:p>
    <w:p>
      <w:pPr>
        <w:spacing w:after="0" w:line="197"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We are aware of a significant number of patents and patent applications relating to aspects of our technologies filed by, and issued to, third parties. We cannot assure you that we will ultimately prevail if any of this third-party intellectual property is asserted against us.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b w:val="1"/>
          <w:bCs w:val="1"/>
          <w:i w:val="1"/>
          <w:iCs w:val="1"/>
          <w:color w:val="auto"/>
        </w:rPr>
        <w:t>Our ability to compete may be adversely affected if we do not adequately protect our proprietary technologies or if we lose some of our intellectual property rights through costly litigation or proceedings.</w:t>
      </w:r>
    </w:p>
    <w:p>
      <w:pPr>
        <w:spacing w:after="0" w:line="184"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 patent applications are directed to our enabling technologies and to our methods and products which support our business in the advanced renewable fuels and renewable chemicals markets. We intend to continue to apply for patents relating to our technologies, methods and products as we deem appropriate.</w:t>
      </w:r>
    </w:p>
    <w:p>
      <w:pPr>
        <w:spacing w:after="0" w:line="211" w:lineRule="exact"/>
        <w:rPr>
          <w:sz w:val="20"/>
          <w:szCs w:val="20"/>
          <w:color w:val="auto"/>
        </w:rPr>
      </w:pPr>
    </w:p>
    <w:p>
      <w:pPr>
        <w:ind w:firstLine="470"/>
        <w:spacing w:after="0" w:line="275" w:lineRule="auto"/>
        <w:rPr>
          <w:sz w:val="20"/>
          <w:szCs w:val="20"/>
          <w:color w:val="auto"/>
        </w:rPr>
      </w:pPr>
      <w:r>
        <w:rPr>
          <w:rFonts w:ascii="Arial" w:cs="Arial" w:eastAsia="Arial" w:hAnsi="Arial"/>
          <w:sz w:val="16"/>
          <w:szCs w:val="16"/>
          <w:color w:val="auto"/>
        </w:rPr>
        <w:t>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spacing w:after="0" w:line="201" w:lineRule="exact"/>
        <w:rPr>
          <w:sz w:val="20"/>
          <w:szCs w:val="20"/>
          <w:color w:val="auto"/>
        </w:rPr>
      </w:pPr>
    </w:p>
    <w:p>
      <w:pPr>
        <w:ind w:right="80" w:firstLine="470"/>
        <w:spacing w:after="0" w:line="263" w:lineRule="auto"/>
        <w:rPr>
          <w:sz w:val="20"/>
          <w:szCs w:val="20"/>
          <w:color w:val="auto"/>
        </w:rPr>
      </w:pPr>
      <w:r>
        <w:rPr>
          <w:rFonts w:ascii="Arial" w:cs="Arial" w:eastAsia="Arial" w:hAnsi="Arial"/>
          <w:sz w:val="17"/>
          <w:szCs w:val="17"/>
          <w:color w:val="auto"/>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spacing w:after="0" w:line="205"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spacing w:after="0" w:line="198" w:lineRule="exact"/>
        <w:rPr>
          <w:sz w:val="20"/>
          <w:szCs w:val="20"/>
          <w:color w:val="auto"/>
        </w:rPr>
      </w:pPr>
    </w:p>
    <w:p>
      <w:pPr>
        <w:ind w:right="40" w:firstLine="470"/>
        <w:spacing w:after="0" w:line="263" w:lineRule="auto"/>
        <w:rPr>
          <w:sz w:val="20"/>
          <w:szCs w:val="20"/>
          <w:color w:val="auto"/>
        </w:rPr>
      </w:pPr>
      <w:r>
        <w:rPr>
          <w:rFonts w:ascii="Arial" w:cs="Arial" w:eastAsia="Arial" w:hAnsi="Arial"/>
          <w:sz w:val="17"/>
          <w:szCs w:val="17"/>
          <w:color w:val="auto"/>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spacing w:after="0" w:line="205" w:lineRule="exact"/>
        <w:rPr>
          <w:sz w:val="20"/>
          <w:szCs w:val="20"/>
          <w:color w:val="auto"/>
        </w:rPr>
      </w:pPr>
    </w:p>
    <w:p>
      <w:pPr>
        <w:ind w:right="200" w:firstLine="470"/>
        <w:spacing w:after="0" w:line="282" w:lineRule="auto"/>
        <w:rPr>
          <w:sz w:val="20"/>
          <w:szCs w:val="20"/>
          <w:color w:val="auto"/>
        </w:rPr>
      </w:pPr>
      <w:r>
        <w:rPr>
          <w:rFonts w:ascii="Arial" w:cs="Arial" w:eastAsia="Arial" w:hAnsi="Arial"/>
          <w:sz w:val="16"/>
          <w:szCs w:val="16"/>
          <w:color w:val="auto"/>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spacing w:after="0" w:line="193"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Under some of our research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spacing w:after="0" w:line="198"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If any other party has filed patent applications or obtained patents that claim inventions also claimed by us, we may have to participate in interference, derivation or other proceedings declared by the USPTO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i w:val="1"/>
          <w:iCs w:val="1"/>
          <w:color w:val="auto"/>
        </w:rPr>
        <w:t>If our biocatalysts, or the genes that code for our biocatalysts, are stolen, misappropriated or reverse engineered, others could use these biocatalysts or genes to produce competing products.</w:t>
      </w:r>
    </w:p>
    <w:p>
      <w:pPr>
        <w:spacing w:after="0" w:line="184"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Third parties, including our contract manufacturers, customers and those involved in shipping our biocatalysts, may have custody or control of our biocatalysts. If our biocatalysts, or the genes that code for our biocatalysts, were stolen, misappropriated or reverse engineered, they could be used by other parties who may be able to reproduce these biocatalysts for their own commercial gain. If this were to occur, it would be difficult for us to discover or challenge this type of use, especially in countries with limited intellectual property protection.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enforce our intellectual property rights throughout the world.</w:t>
      </w:r>
    </w:p>
    <w:p>
      <w:pPr>
        <w:spacing w:after="0" w:line="249"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with any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 efforts and attention from other aspects of our business. Accordingly, our efforts to enforce our intellectual property rights in such countries may be inadequate to obtain a significant commercial advantage from the intellectual property that we develop.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disclosures of trade secrets and other proprietary information.</w:t>
      </w:r>
    </w:p>
    <w:p>
      <w:pPr>
        <w:spacing w:after="0" w:line="260" w:lineRule="exact"/>
        <w:rPr>
          <w:sz w:val="20"/>
          <w:szCs w:val="20"/>
          <w:color w:val="auto"/>
        </w:rPr>
      </w:pPr>
    </w:p>
    <w:p>
      <w:pPr>
        <w:ind w:right="60" w:firstLine="470"/>
        <w:spacing w:after="0" w:line="298" w:lineRule="auto"/>
        <w:rPr>
          <w:sz w:val="20"/>
          <w:szCs w:val="20"/>
          <w:color w:val="auto"/>
        </w:rPr>
      </w:pPr>
      <w:r>
        <w:rPr>
          <w:rFonts w:ascii="Arial" w:cs="Arial" w:eastAsia="Arial" w:hAnsi="Arial"/>
          <w:sz w:val="15"/>
          <w:szCs w:val="15"/>
          <w:color w:val="auto"/>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 course of rendering services to us shall be our exclusive property. Nevertheless, these agreements may not be enforceable, our proprietary information may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received funding from U.S. government agencies, which could negatively affect our intellectual property rights.</w:t>
      </w:r>
    </w:p>
    <w:p>
      <w:pPr>
        <w:spacing w:after="0" w:line="249" w:lineRule="exact"/>
        <w:rPr>
          <w:sz w:val="20"/>
          <w:szCs w:val="20"/>
          <w:color w:val="auto"/>
        </w:rPr>
      </w:pPr>
    </w:p>
    <w:p>
      <w:pPr>
        <w:ind w:right="60" w:firstLine="470"/>
        <w:spacing w:after="0" w:line="260" w:lineRule="auto"/>
        <w:rPr>
          <w:sz w:val="20"/>
          <w:szCs w:val="20"/>
          <w:color w:val="auto"/>
        </w:rPr>
      </w:pPr>
      <w:r>
        <w:rPr>
          <w:rFonts w:ascii="Arial" w:cs="Arial" w:eastAsia="Arial" w:hAnsi="Arial"/>
          <w:sz w:val="17"/>
          <w:szCs w:val="17"/>
          <w:color w:val="auto"/>
        </w:rPr>
        <w:t>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Regulatory</w:t>
      </w: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84" w:lineRule="exact"/>
        <w:rPr>
          <w:sz w:val="20"/>
          <w:szCs w:val="20"/>
          <w:color w:val="auto"/>
        </w:rPr>
      </w:pPr>
    </w:p>
    <w:p>
      <w:pPr>
        <w:ind w:right="160" w:firstLine="470"/>
        <w:spacing w:after="0" w:line="279" w:lineRule="auto"/>
        <w:rPr>
          <w:sz w:val="20"/>
          <w:szCs w:val="20"/>
          <w:color w:val="auto"/>
        </w:rPr>
      </w:pPr>
      <w:r>
        <w:rPr>
          <w:rFonts w:ascii="Arial" w:cs="Arial" w:eastAsia="Arial" w:hAnsi="Arial"/>
          <w:sz w:val="16"/>
          <w:szCs w:val="16"/>
          <w:color w:val="auto"/>
        </w:rPr>
        <w:t>The EPA has implemented the RFS Program pursuant to the Energy Policy Act of 2005 (the “Energy Policy Act”)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 minimum requirements may have an adverse impact on renewable fuel prices. Any change in government policies regarding the RFS Program could have a material adverse effect on our business and the results of our operations.</w:t>
      </w:r>
    </w:p>
    <w:p>
      <w:pPr>
        <w:spacing w:after="0" w:line="197"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Waivers of the RFS minimum levels of renewable fuels included in motor fuels or of the requirements by obligated parties to comply with the regulations could have a material adverse effect on our results of operations. Under the Energy Policy Act, the U.S. Department of Energy, in consultation with the Secretary of Agriculture and the Secretary of Energy, may waive the renewable fuels mandate with respect to one or more states if the Administrator of the EPA determines that implementing the requirements would severely harm the economy or the environment of a state, a region or the nation, or that there is inadequate supply to meet the requirement. Additionally, the EPA has exercised the authority to waive the requirements of the RFS minimum levels for certain small refiners. Any waiver of the RFS minimum levels with respect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one or more states would reduce demand for renewable fuels and could cause our results of operations to decline and our financial condition to suffer. Further activity by the EPA to waive the requirements for small refiners could cause softening of pricing in the industry and cause our results of operations to similarly decline.</w:t>
      </w:r>
    </w:p>
    <w:p>
      <w:pPr>
        <w:spacing w:after="0" w:line="198"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A critical state program is California's LCFS program, which is designed to reduce GHG emissions associated with transportation fuels used in California by ensuring that the fuel sold in California meets declining targets for such emissions. The regulation quantifies life-cycle GHG emissions by assigning a CI score to each transportation fuel based on that fuel’s life-cycle assessment. Each petroleum fuel provider, generally the fuel’s producer or importer (the “Regulated Party”), is required to ensure that the overall CI score for its fuel pool meets the annual CI target for a given year. A Regulated Party’s fuel pool can include gasoline, diesel and their blend stocks and substitutes. This obligation is tracked through credits and deficits. Fuels with a CI score lower than the annual standard earn a credit, and fuels that are higher than the standard result in a deficit. Several other states also have or are considering adopting this model. Oregon’s Clean Fuels Program, enacted in 2009 and implemented in 2016, operates using a credit system similar to the California LCFS program. Any changes to California’s LCFS program or failure of other states to implement similar programs could have a material adverse effect on our business and the results of our operations.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Reductions or changes to existing regulations and policies may present technical, regulatory and economic barriers, which may significantly reduce demand for renewable fuels or our ability to supply our products.</w:t>
      </w:r>
    </w:p>
    <w:p>
      <w:pPr>
        <w:spacing w:after="0" w:line="184"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market for renewable fuels is heavily influenced by foreign, federal, state and local government laws, regulations and policies. Changes in these laws, regulations and policies or how these laws, regulations and policies are implemented and enforced could cause the demand for renewable fuels to decline and deter investment in the research and development of renewable fuels.</w:t>
      </w:r>
    </w:p>
    <w:p>
      <w:pPr>
        <w:spacing w:after="0" w:line="198"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Concerns associated with renewable 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regulatory or policy changes could have a material adverse effect on our business, financial condition and results of operations.</w:t>
      </w:r>
    </w:p>
    <w:p>
      <w:pPr>
        <w:spacing w:after="0" w:line="202"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Additionally, our renewable hydrocarbon plants may emit GHG. Any changes in state or federal emissions regulations, including the passage of cap-and-trade legislation or a carbon tax, could limit our production of renewable hydrocarbon products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spacing w:after="0" w:line="188"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b w:val="1"/>
          <w:bCs w:val="1"/>
          <w:i w:val="1"/>
          <w:iCs w:val="1"/>
          <w:color w:val="auto"/>
        </w:rPr>
        <w:t>Negative attitudes toward renewable energy projects from the U.S. government, other lawmakers and regulators, and activists could adversely affect our business, financial condition and results of operations.</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Parties with an interest in other energy sources, including lawmakers, regulators, policymakers, environmental and advocacy organizations or other activists may invest significant time and money in efforts to delay, repeal or otherwise negatively influence regulations and programs that promote renewable energy. Many of these parties have substantially greater resources and influence than we have. Further, changes in U.S.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energy sources over renewable energy, could adversely affect our business, financial condition and results of operations.</w:t>
      </w:r>
    </w:p>
    <w:p>
      <w:pPr>
        <w:spacing w:after="0" w:line="19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Any claims relating to improper handling, storage or disposal of hazardous materials or noncompliance with applicable laws and regulations could be time consuming and costly and could adversely affect our business and results of operations.</w:t>
      </w:r>
    </w:p>
    <w:p>
      <w:pPr>
        <w:spacing w:after="0" w:line="184"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exceed our total assets. Although we believe that our activities conform in all material respects with 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activities may increase our exposure to potential liability under anti-corruption, trade protection, tax and other laws and regulations.</w:t>
      </w:r>
    </w:p>
    <w:p>
      <w:pPr>
        <w:spacing w:after="0" w:line="272" w:lineRule="exact"/>
        <w:rPr>
          <w:sz w:val="20"/>
          <w:szCs w:val="20"/>
          <w:color w:val="auto"/>
        </w:rPr>
      </w:pPr>
    </w:p>
    <w:p>
      <w:pPr>
        <w:ind w:right="240" w:firstLine="470"/>
        <w:spacing w:after="0" w:line="267" w:lineRule="auto"/>
        <w:rPr>
          <w:sz w:val="20"/>
          <w:szCs w:val="20"/>
          <w:color w:val="auto"/>
        </w:rPr>
      </w:pPr>
      <w:r>
        <w:rPr>
          <w:rFonts w:ascii="Arial" w:cs="Arial" w:eastAsia="Arial" w:hAnsi="Arial"/>
          <w:sz w:val="17"/>
          <w:szCs w:val="17"/>
          <w:color w:val="auto"/>
        </w:rPr>
        <w:t>In the course of our relationships with international partners, we may become subject to certain foreign tax, environmental and health and safety regulations that did not previously apply to us or our products. Such regulations may be unclear, not consistently applied and subject to sudden change. Implementation of compliance policies could result in additional operating costs, and our failure to comply with such laws, even inadvertently, could result in significant fines and/or penalties.</w:t>
      </w:r>
    </w:p>
    <w:p>
      <w:pPr>
        <w:spacing w:after="0" w:line="202"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Additionally, the Foreign Corrupt Practices Act and other anti-corruption laws and regulations (“Anti-Corruption Laws”) prohibit corrupt payments by our employees, vendors or agents. Even with implementation of policies, training and internal controls designed to reduce the risk of corrupt payments, our employees, vendors or agents may violate our policies. Our international partnerships may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Securities</w:t>
      </w:r>
    </w:p>
    <w:p>
      <w:pPr>
        <w:spacing w:after="0" w:line="255"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b w:val="1"/>
          <w:bCs w:val="1"/>
          <w:i w:val="1"/>
          <w:iCs w:val="1"/>
          <w:color w:val="auto"/>
        </w:rPr>
        <w:t>The market price of our common stock may be adversely affected by the future issuance and sale of additional shares of our common stock or by our announcement that such issuances and sales may occur.</w:t>
      </w:r>
    </w:p>
    <w:p>
      <w:pPr>
        <w:spacing w:after="0" w:line="184" w:lineRule="exact"/>
        <w:rPr>
          <w:sz w:val="20"/>
          <w:szCs w:val="20"/>
          <w:color w:val="auto"/>
        </w:rPr>
      </w:pPr>
    </w:p>
    <w:p>
      <w:pPr>
        <w:ind w:firstLine="470"/>
        <w:spacing w:after="0" w:line="297" w:lineRule="auto"/>
        <w:rPr>
          <w:sz w:val="20"/>
          <w:szCs w:val="20"/>
          <w:color w:val="auto"/>
        </w:rPr>
      </w:pPr>
      <w:r>
        <w:rPr>
          <w:rFonts w:ascii="Arial" w:cs="Arial" w:eastAsia="Arial" w:hAnsi="Arial"/>
          <w:sz w:val="16"/>
          <w:szCs w:val="16"/>
          <w:color w:val="auto"/>
        </w:rPr>
        <w:t>We cannot predict the size of future issuances or sales of shares of our common stock in connection with future acquisitions or capital raising activities, or the effect, if any, that such issuances or sales may have on the market price of our common stock. The issuance and sale of substantial amounts of shares of our common stock, or the announcement that such issuances and sales may occur, could adversely affect the market price of our common stock.</w:t>
      </w:r>
    </w:p>
    <w:p>
      <w:pPr>
        <w:spacing w:after="0" w:line="179"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184" w:lineRule="exact"/>
        <w:rPr>
          <w:sz w:val="20"/>
          <w:szCs w:val="20"/>
          <w:color w:val="auto"/>
        </w:rPr>
      </w:pPr>
    </w:p>
    <w:p>
      <w:pPr>
        <w:ind w:right="80" w:firstLine="470"/>
        <w:spacing w:after="0" w:line="324" w:lineRule="auto"/>
        <w:rPr>
          <w:sz w:val="20"/>
          <w:szCs w:val="20"/>
          <w:color w:val="auto"/>
        </w:rPr>
      </w:pPr>
      <w:r>
        <w:rPr>
          <w:rFonts w:ascii="Arial" w:cs="Arial" w:eastAsia="Arial" w:hAnsi="Arial"/>
          <w:sz w:val="15"/>
          <w:szCs w:val="15"/>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may need to raise capital through these public offerings of common stock, warrants and convertible debt in the future.</w:t>
      </w:r>
    </w:p>
    <w:p>
      <w:pPr>
        <w:spacing w:after="0" w:line="249"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We may obtain additional funds through public or private debt or equity financings, subject to certain limitations in the agreements governing our indebtedness. If we issue additional shares of common stock or instruments convertible into common stock, it may materially and adversely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capital at a subsidiary, or project, level would result in lower revenues attributable back to us.</w:t>
      </w:r>
    </w:p>
    <w:p>
      <w:pPr>
        <w:spacing w:after="0" w:line="249"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We operate in a capital-intensive business and in order to construct our facilities, we need to raise large amounts of capital. In order to finance the construction of NZ1 and any other Net-Zero Projects, we currently expect to raise capital at the subsidiary level using third party capital. By raising capital at a project level, any equity in that project that is sold to a third party would result in lower ownership of that project by us. Thus, we would only be entitled to the revenues and expenses that are proportionate to our level of ownership in the project. If we are required to sell a large portion of the equity in our projects to third parties, it may have a material adverse effect on our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your investment in our securities could suffer a decline in value.</w:t>
      </w:r>
    </w:p>
    <w:p>
      <w:pPr>
        <w:spacing w:after="0" w:line="249"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184" w:lineRule="exact"/>
        <w:rPr>
          <w:sz w:val="20"/>
          <w:szCs w:val="20"/>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actual or anticipated fluctuations in our liquidity, financial condition and operating results;</w:t>
      </w:r>
    </w:p>
    <w:p>
      <w:pPr>
        <w:spacing w:after="0" w:line="25"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position of our cash and cash equivalents;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capital costs required to construct our Net-Zero Projects;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obtain certain regulatory permits or approvals for our production facilities, including our Net-Zero Projects;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actual or anticipated fluctuations in our competitors’ operating results or changes in their growth rate;</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of technological innovations by us, our partners or our competitors;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our partners or our competitors of significant acquisitions, strategic partnerships, joint ventures or capital commitments;</w:t>
      </w:r>
    </w:p>
    <w:p>
      <w:pPr>
        <w:spacing w:after="0" w:line="25" w:lineRule="exact"/>
        <w:rPr>
          <w:rFonts w:ascii="Arial" w:cs="Arial" w:eastAsia="Arial" w:hAnsi="Arial"/>
          <w:sz w:val="16"/>
          <w:szCs w:val="16"/>
          <w:color w:val="auto"/>
        </w:rPr>
      </w:pPr>
    </w:p>
    <w:p>
      <w:pPr>
        <w:ind w:left="640" w:right="340" w:hanging="322"/>
        <w:spacing w:after="0" w:line="256"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entry into, modification or termination of licensing arrangements, marketing arrangements, and/or research, development, commercialization, supply, off-take or distribution arrangements;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consistently produce commercial quantities of our products;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additions or losses of customers or partners;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obtain certain regulatory approvals for the use of our products in various fuels and chemicals markets;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commodity prices, including oil, ethanol and corn prices;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additions or departures of key management or scientific personnel;</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issuance of new or updated research reports by securities or industry analysts;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litigation involving us, our general industry or both;</w:t>
      </w:r>
    </w:p>
    <w:p>
      <w:pPr>
        <w:spacing w:after="0" w:line="13" w:lineRule="exact"/>
        <w:rPr>
          <w:rFonts w:ascii="Arial" w:cs="Arial" w:eastAsia="Arial" w:hAnsi="Arial"/>
          <w:sz w:val="17"/>
          <w:szCs w:val="17"/>
          <w:color w:val="auto"/>
        </w:rPr>
      </w:pPr>
    </w:p>
    <w:p>
      <w:pPr>
        <w:ind w:left="640" w:right="340" w:hanging="322"/>
        <w:spacing w:after="0" w:line="256"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and our ability to obtain patent protection for our technologies;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or expectations of additional financing efforts or the pursuit of strategic alternatives;</w:t>
      </w:r>
    </w:p>
    <w:p>
      <w:pPr>
        <w:spacing w:after="0" w:line="13" w:lineRule="exact"/>
        <w:rPr>
          <w:rFonts w:ascii="Arial" w:cs="Arial" w:eastAsia="Arial" w:hAnsi="Arial"/>
          <w:sz w:val="17"/>
          <w:szCs w:val="17"/>
          <w:color w:val="auto"/>
        </w:rPr>
      </w:pPr>
    </w:p>
    <w:p>
      <w:pPr>
        <w:ind w:left="640" w:right="260" w:hanging="322"/>
        <w:spacing w:after="0" w:line="256"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existing laws, regulations and policies applicable to our business and products, and the adoption of or failure to adopt carbon emissions regulation;</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of our common stock or equity-linked securities, such as warrants, by us or our stockholders;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market conditions in our industry; and</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economic and market conditions, including as a result of the COVID-19 pandemic.</w:t>
      </w:r>
    </w:p>
    <w:p>
      <w:pPr>
        <w:spacing w:after="0" w:line="237"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firstLine="470"/>
        <w:spacing w:after="0" w:line="297" w:lineRule="auto"/>
        <w:rPr>
          <w:sz w:val="20"/>
          <w:szCs w:val="20"/>
          <w:color w:val="auto"/>
        </w:rPr>
      </w:pPr>
      <w:r>
        <w:rPr>
          <w:rFonts w:ascii="Arial" w:cs="Arial" w:eastAsia="Arial" w:hAnsi="Arial"/>
          <w:sz w:val="16"/>
          <w:szCs w:val="16"/>
          <w:color w:val="auto"/>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179" w:lineRule="exact"/>
        <w:rPr>
          <w:sz w:val="20"/>
          <w:szCs w:val="20"/>
          <w:color w:val="auto"/>
        </w:rPr>
      </w:pPr>
    </w:p>
    <w:p>
      <w:pPr>
        <w:ind w:right="120" w:firstLine="470"/>
        <w:spacing w:after="0" w:line="324" w:lineRule="auto"/>
        <w:rPr>
          <w:sz w:val="20"/>
          <w:szCs w:val="20"/>
          <w:color w:val="auto"/>
        </w:rPr>
      </w:pPr>
      <w:r>
        <w:rPr>
          <w:rFonts w:ascii="Arial" w:cs="Arial" w:eastAsia="Arial" w:hAnsi="Arial"/>
          <w:sz w:val="15"/>
          <w:szCs w:val="15"/>
          <w:color w:val="auto"/>
        </w:rPr>
        <w:t>The price of our common stock could also be affected by possible sales of common stock by investors who view our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spacing w:after="0" w:line="164"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spacing w:after="0" w:line="198"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In addition, certain holders of our outstanding common stock have rights, subject to certain conditions, to require us to file registration statements covering their shares and to include their shares in registration statements that we may file for ourselves or other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estimates and assumptions on which our financial projections are based may prove to be inaccurate.</w:t>
      </w:r>
    </w:p>
    <w:p>
      <w:pPr>
        <w:spacing w:after="0" w:line="249"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Our financial projections, including any projected investment returns on projects, sales or earnings guidance or outlook that we may provide from time to time, are dependent on estimates and assumptions related to, among other things, industry growth, product and plant development, estimated capital expenses for growth development projects, market share projections, product pricing and sale, customer interest in our products, availability of government incentives, tax rates, accruals for estimated liabilities, and our ability to raise sufficient funds or generate sufficient cash flow to continue operations and/or expand our production capabilities. Our financial projections are based on historical experience and on various other estimates and assumptions that we believe to be reasonable under the circumstances and at the time they are made, and our actual results may differ materially from our financial projections.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existing stockholders, restrict our operations or require us to relinquish rights to our technologies.</w:t>
      </w:r>
    </w:p>
    <w:p>
      <w:pPr>
        <w:spacing w:after="0" w:line="272" w:lineRule="exact"/>
        <w:rPr>
          <w:sz w:val="20"/>
          <w:szCs w:val="20"/>
          <w:color w:val="auto"/>
        </w:rPr>
      </w:pPr>
    </w:p>
    <w:p>
      <w:pPr>
        <w:ind w:right="100" w:firstLine="470"/>
        <w:spacing w:after="0" w:line="302" w:lineRule="auto"/>
        <w:rPr>
          <w:sz w:val="20"/>
          <w:szCs w:val="20"/>
          <w:color w:val="auto"/>
        </w:rPr>
      </w:pPr>
      <w:r>
        <w:rPr>
          <w:rFonts w:ascii="Arial" w:cs="Arial" w:eastAsia="Arial" w:hAnsi="Arial"/>
          <w:sz w:val="15"/>
          <w:szCs w:val="15"/>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stock appreciation for any return on their investment.</w:t>
      </w:r>
    </w:p>
    <w:p>
      <w:pPr>
        <w:spacing w:after="0" w:line="260"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98"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If one or more of these analysts cease coverage of us or fail to regularly publish reports on us, we could lose visibility in the financial markets, which could cause our common stock price and the price of our warrants to decline or the trading volume of our common stock to decline.</w:t>
      </w:r>
    </w:p>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We are subject to anti-takeover provisions in our certificate of incorporation, our bylaws and under Delaware law that could delay or prevent an acquisition of the Company, even if the acquisition would be beneficial to our stockholders.</w:t>
      </w:r>
    </w:p>
    <w:p>
      <w:pPr>
        <w:spacing w:after="0" w:line="184"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Provisions in our certificate of incorporation and our bylaws may delay or prevent an acquisition of the Company. Among other things, our certificate of incorporation and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(the “DGCL”),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pacing w:after="0" w:line="21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b w:val="1"/>
          <w:bCs w:val="1"/>
          <w:i w:val="1"/>
          <w:iCs w:val="1"/>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79" w:lineRule="exact"/>
        <w:rPr>
          <w:sz w:val="20"/>
          <w:szCs w:val="20"/>
          <w:color w:val="auto"/>
        </w:rPr>
      </w:pPr>
    </w:p>
    <w:p>
      <w:pPr>
        <w:ind w:right="40" w:firstLine="470"/>
        <w:spacing w:after="0" w:line="284" w:lineRule="auto"/>
        <w:rPr>
          <w:sz w:val="20"/>
          <w:szCs w:val="20"/>
          <w:color w:val="auto"/>
        </w:rPr>
      </w:pPr>
      <w:r>
        <w:rPr>
          <w:rFonts w:ascii="Arial" w:cs="Arial" w:eastAsia="Arial" w:hAnsi="Arial"/>
          <w:sz w:val="16"/>
          <w:szCs w:val="16"/>
          <w:color w:val="auto"/>
        </w:rPr>
        <w:t>Our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w:t>
      </w:r>
    </w:p>
    <w:p>
      <w:pPr>
        <w:spacing w:after="0" w:line="192" w:lineRule="exact"/>
        <w:rPr>
          <w:sz w:val="20"/>
          <w:szCs w:val="20"/>
          <w:color w:val="auto"/>
        </w:rPr>
      </w:pPr>
    </w:p>
    <w:p>
      <w:pPr>
        <w:ind w:right="100" w:firstLine="470"/>
        <w:spacing w:after="0" w:line="278" w:lineRule="auto"/>
        <w:rPr>
          <w:sz w:val="20"/>
          <w:szCs w:val="20"/>
          <w:color w:val="auto"/>
        </w:rPr>
      </w:pPr>
      <w:r>
        <w:rPr>
          <w:rFonts w:ascii="Arial" w:cs="Arial" w:eastAsia="Arial" w:hAnsi="Arial"/>
          <w:sz w:val="16"/>
          <w:szCs w:val="16"/>
          <w:color w:val="auto"/>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199" w:lineRule="exact"/>
        <w:rPr>
          <w:sz w:val="20"/>
          <w:szCs w:val="20"/>
          <w:color w:val="auto"/>
        </w:rPr>
      </w:pPr>
    </w:p>
    <w:p>
      <w:pPr>
        <w:jc w:val="both"/>
        <w:ind w:right="400" w:firstLine="470"/>
        <w:spacing w:after="0" w:line="297"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470"/>
        <w:spacing w:after="0" w:line="324" w:lineRule="auto"/>
        <w:rPr>
          <w:sz w:val="20"/>
          <w:szCs w:val="20"/>
          <w:color w:val="auto"/>
        </w:rPr>
      </w:pPr>
      <w:r>
        <w:rPr>
          <w:rFonts w:ascii="Arial" w:cs="Arial" w:eastAsia="Arial" w:hAnsi="Arial"/>
          <w:sz w:val="15"/>
          <w:szCs w:val="15"/>
          <w:color w:val="auto"/>
        </w:rPr>
        <w:t>If a court were to find the exclusive forum provision contained in our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 Market for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common stock is listed and traded on the Nasdaq Capital Market under the symbol "GEVO".</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55" w:lineRule="exact"/>
        <w:rPr>
          <w:sz w:val="20"/>
          <w:szCs w:val="20"/>
          <w:color w:val="auto"/>
        </w:rPr>
      </w:pPr>
    </w:p>
    <w:p>
      <w:pPr>
        <w:ind w:right="60" w:firstLine="470"/>
        <w:spacing w:after="0" w:line="358" w:lineRule="auto"/>
        <w:rPr>
          <w:sz w:val="20"/>
          <w:szCs w:val="20"/>
          <w:color w:val="auto"/>
        </w:rPr>
      </w:pPr>
      <w:r>
        <w:rPr>
          <w:rFonts w:ascii="Arial" w:cs="Arial" w:eastAsia="Arial" w:hAnsi="Arial"/>
          <w:sz w:val="15"/>
          <w:szCs w:val="15"/>
          <w:color w:val="auto"/>
        </w:rPr>
        <w:t>As of January 31, 2023, there were approximately 33 holders of record of our common stock. We believe that the number of beneficial owners is substantially greater than the number of record holders because a large portion of our common stock is held of record through brokerage firms in “street name.”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5" w:lineRule="exact"/>
        <w:rPr>
          <w:sz w:val="20"/>
          <w:szCs w:val="20"/>
          <w:color w:val="auto"/>
        </w:rPr>
      </w:pPr>
    </w:p>
    <w:p>
      <w:pPr>
        <w:ind w:right="260" w:firstLine="470"/>
        <w:spacing w:after="0" w:line="272" w:lineRule="auto"/>
        <w:rPr>
          <w:sz w:val="20"/>
          <w:szCs w:val="20"/>
          <w:color w:val="auto"/>
        </w:rPr>
      </w:pPr>
      <w:r>
        <w:rPr>
          <w:rFonts w:ascii="Arial" w:cs="Arial" w:eastAsia="Arial" w:hAnsi="Arial"/>
          <w:sz w:val="17"/>
          <w:szCs w:val="17"/>
          <w:color w:val="auto"/>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 in effect at such time.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Use of Proceeds from Registered Securities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55" w:lineRule="exact"/>
        <w:rPr>
          <w:sz w:val="20"/>
          <w:szCs w:val="20"/>
          <w:color w:val="auto"/>
        </w:rPr>
      </w:pPr>
    </w:p>
    <w:p>
      <w:pPr>
        <w:ind w:right="320" w:firstLine="470"/>
        <w:spacing w:after="0" w:line="267" w:lineRule="auto"/>
        <w:rPr>
          <w:sz w:val="20"/>
          <w:szCs w:val="20"/>
          <w:color w:val="auto"/>
        </w:rPr>
      </w:pPr>
      <w:r>
        <w:rPr>
          <w:rFonts w:ascii="Arial" w:cs="Arial" w:eastAsia="Arial" w:hAnsi="Arial"/>
          <w:sz w:val="17"/>
          <w:szCs w:val="17"/>
          <w:color w:val="auto"/>
        </w:rPr>
        <w:t>The following information is not deemed to be “soliciting material” or to be “filed” with the SEC or subject to Regulation 14A or 14C under the Exchange Act or to the liabilities of Section 18 of the Exchange Act, and will not be deemed to be incorporated by reference into any filing of the Company under the Securities Act of 1933, as amended (the "Securities Act"), or the Exchange Act, except to the extent the Company specifically incorporates it by reference into such a filing.</w:t>
      </w:r>
    </w:p>
    <w:p>
      <w:pPr>
        <w:spacing w:after="0" w:line="202"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The following line graph compares the cumulative total shareowner return on our common stock against the cumulative total return of the S&amp;P Smallcap 600 Index and the NASDAQ Clean Edge Green Energy Index for the each of the five years ended December 31, 2022. The graph assumes a $100 investment in our common stock and each index at December 31, 2017.</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left="460"/>
        <w:spacing w:after="0"/>
        <w:rPr>
          <w:sz w:val="20"/>
          <w:szCs w:val="20"/>
          <w:color w:val="auto"/>
        </w:rPr>
      </w:pPr>
      <w:r>
        <w:rPr>
          <w:rFonts w:ascii="Arial" w:cs="Arial" w:eastAsia="Arial" w:hAnsi="Arial"/>
          <w:sz w:val="21"/>
          <w:szCs w:val="21"/>
          <w:b w:val="1"/>
          <w:bCs w:val="1"/>
          <w:color w:val="auto"/>
        </w:rPr>
        <w:t>COMPARISON OF 5 YEAR CUMULATIVE TOTAL RETURN</w:t>
      </w:r>
    </w:p>
    <w:p>
      <w:pPr>
        <w:spacing w:after="0" w:line="2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Among Gevo, Inc., The S&amp;P Smallcap 600 Index</w:t>
      </w:r>
    </w:p>
    <w:p>
      <w:pPr>
        <w:spacing w:after="0" w:line="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and the NASDAQ Clean Edge Green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8890</wp:posOffset>
            </wp:positionV>
            <wp:extent cx="4564380" cy="2489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64380" cy="248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33"/>
              <w:spacing w:after="0"/>
              <w:rPr>
                <w:sz w:val="20"/>
                <w:szCs w:val="20"/>
                <w:color w:val="auto"/>
              </w:rPr>
            </w:pPr>
            <w:r>
              <w:rPr>
                <w:rFonts w:ascii="Arial" w:cs="Arial" w:eastAsia="Arial" w:hAnsi="Arial"/>
                <w:sz w:val="17"/>
                <w:szCs w:val="17"/>
                <w:b w:val="1"/>
                <w:bCs w:val="1"/>
                <w:color w:val="auto"/>
                <w:w w:val="94"/>
              </w:rPr>
              <w:t>December 31,</w:t>
            </w:r>
          </w:p>
        </w:tc>
      </w:tr>
      <w:tr>
        <w:trPr>
          <w:trHeight w:val="234"/>
        </w:trPr>
        <w:tc>
          <w:tcPr>
            <w:tcW w:w="2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r>
      <w:tr>
        <w:trPr>
          <w:trHeight w:val="483"/>
        </w:trPr>
        <w:tc>
          <w:tcPr>
            <w:tcW w:w="2060" w:type="dxa"/>
            <w:vAlign w:val="bottom"/>
          </w:tcPr>
          <w:p>
            <w:pPr>
              <w:spacing w:after="0"/>
              <w:rPr>
                <w:sz w:val="20"/>
                <w:szCs w:val="20"/>
                <w:color w:val="auto"/>
              </w:rPr>
            </w:pPr>
            <w:r>
              <w:rPr>
                <w:rFonts w:ascii="Arial" w:cs="Arial" w:eastAsia="Arial" w:hAnsi="Arial"/>
                <w:sz w:val="17"/>
                <w:szCs w:val="17"/>
                <w:color w:val="auto"/>
              </w:rPr>
              <w:t>Gevo, Inc.</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100.00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16.60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19.57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36.25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16.09</w:t>
            </w:r>
          </w:p>
        </w:tc>
      </w:tr>
      <w:tr>
        <w:trPr>
          <w:trHeight w:val="248"/>
        </w:trPr>
        <w:tc>
          <w:tcPr>
            <w:tcW w:w="2060" w:type="dxa"/>
            <w:vAlign w:val="bottom"/>
          </w:tcPr>
          <w:p>
            <w:pPr>
              <w:spacing w:after="0"/>
              <w:rPr>
                <w:sz w:val="20"/>
                <w:szCs w:val="20"/>
                <w:color w:val="auto"/>
              </w:rPr>
            </w:pPr>
            <w:r>
              <w:rPr>
                <w:rFonts w:ascii="Arial" w:cs="Arial" w:eastAsia="Arial" w:hAnsi="Arial"/>
                <w:sz w:val="17"/>
                <w:szCs w:val="17"/>
                <w:color w:val="auto"/>
              </w:rPr>
              <w:t>S&amp;P Smallcap 600</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112.37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133.06</w:t>
            </w:r>
          </w:p>
        </w:tc>
      </w:tr>
      <w:tr>
        <w:trPr>
          <w:trHeight w:val="223"/>
        </w:trPr>
        <w:tc>
          <w:tcPr>
            <w:tcW w:w="2060" w:type="dxa"/>
            <w:vAlign w:val="bottom"/>
          </w:tcPr>
          <w:p>
            <w:pPr>
              <w:spacing w:after="0"/>
              <w:rPr>
                <w:sz w:val="20"/>
                <w:szCs w:val="20"/>
                <w:color w:val="auto"/>
              </w:rPr>
            </w:pPr>
            <w:r>
              <w:rPr>
                <w:rFonts w:ascii="Arial" w:cs="Arial" w:eastAsia="Arial" w:hAnsi="Arial"/>
                <w:sz w:val="17"/>
                <w:szCs w:val="17"/>
                <w:color w:val="auto"/>
              </w:rPr>
              <w:t>NASDAQ Clean Edge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1"/>
        </w:trPr>
        <w:tc>
          <w:tcPr>
            <w:tcW w:w="2060" w:type="dxa"/>
            <w:vAlign w:val="bottom"/>
          </w:tcPr>
          <w:p>
            <w:pPr>
              <w:spacing w:after="0"/>
              <w:rPr>
                <w:sz w:val="20"/>
                <w:szCs w:val="20"/>
                <w:color w:val="auto"/>
              </w:rPr>
            </w:pPr>
            <w:r>
              <w:rPr>
                <w:rFonts w:ascii="Arial" w:cs="Arial" w:eastAsia="Arial" w:hAnsi="Arial"/>
                <w:sz w:val="17"/>
                <w:szCs w:val="17"/>
                <w:color w:val="auto"/>
              </w:rPr>
              <w:t>Green Energy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125.39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242.88</w:t>
            </w:r>
          </w:p>
        </w:tc>
      </w:tr>
    </w:tbl>
    <w:p>
      <w:pPr>
        <w:spacing w:after="0" w:line="328"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color w:val="auto"/>
        </w:rPr>
        <w:t>The information in the graph will not be considered solicitation material, nor will it be filed with the SEC or incorporated by reference into any future filing under the Securities Act or the Exchange Act, unless we specifically incorporate it by reference into our filing.</w:t>
      </w:r>
    </w:p>
    <w:p>
      <w:pPr>
        <w:spacing w:after="0" w:line="3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0" w:lineRule="exact"/>
        <w:rPr>
          <w:sz w:val="20"/>
          <w:szCs w:val="20"/>
          <w:color w:val="auto"/>
        </w:rPr>
      </w:pPr>
    </w:p>
    <w:p>
      <w:pPr>
        <w:ind w:right="140" w:firstLine="470"/>
        <w:spacing w:after="0" w:line="253"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audited financial statements and related notes appearing elsewhere in this Annual Report on Form 10-K (this </w:t>
      </w:r>
      <w:r>
        <w:rPr>
          <w:rFonts w:ascii="Arial" w:cs="Arial" w:eastAsia="Arial" w:hAnsi="Arial"/>
          <w:sz w:val="17"/>
          <w:szCs w:val="17"/>
          <w:color w:val="auto"/>
        </w:rPr>
        <w:t>“</w:t>
      </w:r>
      <w:r>
        <w:rPr>
          <w:rFonts w:ascii="Arial" w:cs="Arial" w:eastAsia="Arial" w:hAnsi="Arial"/>
          <w:sz w:val="17"/>
          <w:szCs w:val="17"/>
          <w:i w:val="1"/>
          <w:iCs w:val="1"/>
          <w:color w:val="auto"/>
        </w:rPr>
        <w:t>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Some of the information contained in this discussion and analysis and set forth elsewhere in this Annual Report, including information with respect to our plans and strategy for our business, includes forward-looking statements that involve risks and uncertainties. You should review the section titled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 Part I,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90"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We are a growth-oriented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 We also believe that we can achieve at least 1 billion gallons of hydrocarbon production and sales by 2030.</w:t>
      </w:r>
    </w:p>
    <w:p>
      <w:pPr>
        <w:spacing w:after="0" w:line="202" w:lineRule="exact"/>
        <w:rPr>
          <w:sz w:val="20"/>
          <w:szCs w:val="20"/>
          <w:color w:val="auto"/>
        </w:rPr>
      </w:pPr>
    </w:p>
    <w:p>
      <w:pPr>
        <w:ind w:right="20" w:firstLine="470"/>
        <w:spacing w:after="0" w:line="258" w:lineRule="auto"/>
        <w:rPr>
          <w:sz w:val="20"/>
          <w:szCs w:val="20"/>
          <w:color w:val="auto"/>
        </w:rPr>
      </w:pPr>
      <w:r>
        <w:rPr>
          <w:rFonts w:ascii="Arial" w:cs="Arial" w:eastAsia="Arial" w:hAnsi="Arial"/>
          <w:sz w:val="17"/>
          <w:szCs w:val="17"/>
          <w:color w:val="auto"/>
        </w:rPr>
        <w:t>We are focused on transforming renewable energy into energy-dense liquid hydrocarbons that can be used as renewable fuels, such as sustainable aviation fuel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life-cycle of our products. The “net-zero” concept means Gevo expects that by using sustainably grown feedstock (i.e.,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spacing w:after="0" w:line="5" w:lineRule="exact"/>
        <w:rPr>
          <w:sz w:val="20"/>
          <w:szCs w:val="20"/>
          <w:color w:val="auto"/>
        </w:rPr>
      </w:pPr>
    </w:p>
    <w:p>
      <w:pPr>
        <w:ind w:right="120" w:firstLine="470"/>
        <w:spacing w:after="0" w:line="260" w:lineRule="auto"/>
        <w:rPr>
          <w:sz w:val="20"/>
          <w:szCs w:val="20"/>
          <w:color w:val="auto"/>
        </w:rPr>
      </w:pPr>
      <w:r>
        <w:rPr>
          <w:rFonts w:ascii="Arial" w:cs="Arial" w:eastAsia="Arial" w:hAnsi="Arial"/>
          <w:sz w:val="17"/>
          <w:szCs w:val="17"/>
          <w:color w:val="auto"/>
        </w:rPr>
        <w:t>Our primary market focus, given current demand and growing customer interest, is SAF. We believe we also have commercial opportunities for other renewable hydrocarbon products, such as renewable natural gas ("RNG"); hydrocarbons for gasoline blendstocks and diesel fuel; ingredients for the chemical industry, such as ethylene and butenes; plastics and materials; and other chemicals. The global fuel consumption by commercial airlines was an all-time high of 95 billion gallons in 2019. However, due to the COVID-19 pandemic, fuel consumption dropped to 52 billion gallons in 2020 and then reached 57 billion gallons in 2021, and throughout 2022 continued to trend back to pre-COVID levels.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Project Updates</w:t>
      </w:r>
    </w:p>
    <w:p>
      <w:pPr>
        <w:spacing w:after="0" w:line="2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b w:val="1"/>
          <w:bCs w:val="1"/>
          <w:i w:val="1"/>
          <w:iCs w:val="1"/>
          <w:color w:val="auto"/>
        </w:rPr>
        <w:t xml:space="preserve">Net-Zero Projects. </w:t>
      </w:r>
      <w:r>
        <w:rPr>
          <w:rFonts w:ascii="Arial" w:cs="Arial" w:eastAsia="Arial" w:hAnsi="Arial"/>
          <w:sz w:val="16"/>
          <w:szCs w:val="16"/>
          <w:color w:val="auto"/>
        </w:rPr>
        <w:t>In early 2021, we announced the concept of "Net-Zero Projects" as a series of planned facilities to produce energy dense liquid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hydrocarbons using renewable energy and our proprietary technology. Our initial Net-Zero Project, Net-Zero 1 ("NZ1"), is located in Lake Preston, South Dakota, and is being currently designed to produce approximately 62 million gallons per year ("MGPY") of total hydrocarbon volumes, including 55 MGPY of SAF, which would fulfill part of our more than 375 MGPY of SAF and hydrocarbon supply agreements. The liquid hydrocarbons when burned are expected to have a “net-zero” GHG footprint. Along with the hydrocarbons, NZ1 is expected to produce approximately 475 million pounds per year of high-value protein products for use in the food chain and more than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 We have an exclusive license in the U.S. from Axens North America, Inc. ("Axens") to the technology and plant designs to convert alcohols to hydrocarbon fuels. Axens will also provide certain process guarantees for our production process. Additionally, Axens has extensive commercial experience in the technology, design, and deployment of the unit operations needed to convert alcohols to hydrocarbon fuels, based on their experience in the petrochemical industry. The fermentation side of the facility is being engineered with Fluid Quip Technologies who has extensive experience in fermentation and agriculture-based facilities. We believe that by using known commercial technologies, the plant design is substantially de-risked.</w:t>
      </w:r>
    </w:p>
    <w:p>
      <w:pPr>
        <w:spacing w:after="0" w:line="19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July 2022, we completed the purchase of the land for NZ1 in Lake Preston, South Dakota, which was followed by a groundbreaking ceremony in September 2022. We believe production from NZ1 is on schedule with initial volumes of SAF expected to be delivered in 2025. Water and wind energy development agreements were executed in the third quarter of 2022, and other key milestones are on track for completion in accordance with our comprehensive project plan. Based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the ongoing engineering work, the installed cost for NZ1 is currently forecasted to be approximately $850 million, excluding certain contingencies and financing costs.</w:t>
      </w:r>
    </w:p>
    <w:p>
      <w:pPr>
        <w:spacing w:after="0" w:line="184"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We currently expect to finance the construction of NZ1 at the subsidiary level using third party capital. The Company expects to retain a carried equity interest in the project, and may invest equity in the project using the proceeds from the reimbursement of the Company’s NZ1 development expenditures. Cash distributions from future NZ1 earnings would be proportionate to Gevo’s minority ownership in NZ1 under this expected financing structure which would allow us to conserve and redeploy our capital on other growth projects, including our Net-Zero 2 project ("NZ2"). We currently expect to apply similar development and financing approaches to NZ2 and future Net-Zero Projects to enable rapid growth of SAF production to meet current contractual demand for SAF.</w:t>
      </w:r>
    </w:p>
    <w:p>
      <w:pPr>
        <w:spacing w:after="0" w:line="17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Gevo is in the process of identifying and performing early site development work for NZ2 and additional SAF production locations. These sites include several greenfield locations that are particularly advantageous in terms of potential economics, opportunities to decarbonize, and time to market. In addition, we are pursuing prospects with several existing ethanol plant sites. Existing ethanol plants need to be decarbonized with renewable energy or de-fossilized energy and/or carbon sequestration. Gevo has developed a preferred list of partners and sites with decarbonization in mind and is engaged in preliminary feasibility and development discussions with several of them. We plan to give priority to existing industrial plant sites that have attractive potential economics and high predictability of timeline for decarbonization.</w:t>
      </w:r>
    </w:p>
    <w:p>
      <w:pPr>
        <w:spacing w:after="0" w:line="20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i w:val="1"/>
          <w:iCs w:val="1"/>
          <w:color w:val="auto"/>
        </w:rPr>
        <w:t xml:space="preserve">Renewable Natural Gas Project. </w:t>
      </w:r>
      <w:r>
        <w:rPr>
          <w:rFonts w:ascii="Arial" w:cs="Arial" w:eastAsia="Arial" w:hAnsi="Arial"/>
          <w:sz w:val="17"/>
          <w:szCs w:val="17"/>
          <w:color w:val="auto"/>
        </w:rPr>
        <w:t>Gevo's revenue from the RNG project in Northwest Iowa (the "RNG Project") is expected to come from sales of RNG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from the environmental attributes associated with its RNG sales, including the attributes available from California's Low Carbon Fuel Standard ("LCFS") program and the U.S. Environmental Protection Agency ("EPA") Renewable Fuels Standard ("RFS") program to receive renewable identification numbers ("RINs"). Gevo has been granted registration approval by the EPA in 2022, allowing us to participate in its RFS program and expects to receive approval for LCFS during 2023.</w:t>
      </w:r>
    </w:p>
    <w:p>
      <w:pPr>
        <w:spacing w:after="0" w:line="2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b w:val="1"/>
          <w:bCs w:val="1"/>
          <w:i w:val="1"/>
          <w:iCs w:val="1"/>
          <w:color w:val="auto"/>
        </w:rPr>
        <w:t xml:space="preserve">Luverne Facility. </w:t>
      </w:r>
      <w:r>
        <w:rPr>
          <w:rFonts w:ascii="Arial" w:cs="Arial" w:eastAsia="Arial" w:hAnsi="Arial"/>
          <w:sz w:val="16"/>
          <w:szCs w:val="16"/>
          <w:color w:val="auto"/>
        </w:rPr>
        <w:t>In the third quarter of 2022, we recorded an impairment of long-lived assets, to reduce the carrying value of certain property, plant,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a leased right of use ("ROU") asset, at our development scale plant in Luverne, Minnesota (the "Luverne Facility") to its fair value. The impairments recorded to date relate to the determination to suspend production at the Luverne Facility and shift the plant into a development scale property, which was transitioned to care and maintenance status. See Note 4 to the Consolidated Financial Statements for additional information.</w:t>
      </w:r>
    </w:p>
    <w:p>
      <w:pPr>
        <w:spacing w:after="0" w:line="18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b w:val="1"/>
          <w:bCs w:val="1"/>
          <w:i w:val="1"/>
          <w:iCs w:val="1"/>
          <w:color w:val="auto"/>
        </w:rPr>
        <w:t xml:space="preserve">U.S. Department of Agriculture. </w:t>
      </w:r>
      <w:r>
        <w:rPr>
          <w:rFonts w:ascii="Arial" w:cs="Arial" w:eastAsia="Arial" w:hAnsi="Arial"/>
          <w:sz w:val="17"/>
          <w:szCs w:val="17"/>
          <w:color w:val="auto"/>
        </w:rPr>
        <w:t>In September 2022, the U.S. Department of Agriculture tentatively selected Gevo’s Climate-Smart Farm to Flight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for funding with an award ceiling of up to $30 million, subject to negotiation of definitive award agreements in the coming months. The project aims to create critical structural climate-smart market incentives for low carbon-intensity corn as well as to accelerate the production of sustainable aviation fuel to reduce the sector’s dependency on fossil-based fuels.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55"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which metrics we use to measure performance: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w w:val="99"/>
              </w:rPr>
              <w:t>Year Ended December 31,</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thousands, unless otherwise indicated)</w:t>
            </w: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RNG Revenues</w:t>
            </w:r>
          </w:p>
        </w:tc>
        <w:tc>
          <w:tcPr>
            <w:tcW w:w="2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40" w:type="dxa"/>
            <w:vAlign w:val="bottom"/>
          </w:tcPr>
          <w:p>
            <w:pPr>
              <w:ind w:left="120"/>
              <w:spacing w:after="0"/>
              <w:rPr>
                <w:sz w:val="20"/>
                <w:szCs w:val="20"/>
                <w:color w:val="auto"/>
              </w:rPr>
            </w:pPr>
            <w:r>
              <w:rPr>
                <w:rFonts w:ascii="Arial" w:cs="Arial" w:eastAsia="Arial" w:hAnsi="Arial"/>
                <w:sz w:val="17"/>
                <w:szCs w:val="17"/>
                <w:color w:val="auto"/>
              </w:rPr>
              <w:t>Natural Gas Commodity</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2540" w:type="dxa"/>
            <w:vAlign w:val="bottom"/>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Natural Gas Environmental Attributes - RINs</w:t>
            </w:r>
          </w:p>
        </w:tc>
        <w:tc>
          <w:tcPr>
            <w:tcW w:w="26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22"/>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Natural Gas Environmental Attributes - LCFS</w:t>
            </w: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RNG Total Revenues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RNG Metrics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RNG production volumes (MMBtu)</w:t>
            </w:r>
          </w:p>
        </w:tc>
        <w:tc>
          <w:tcPr>
            <w:tcW w:w="26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2"/>
        </w:trPr>
        <w:tc>
          <w:tcPr>
            <w:tcW w:w="8440" w:type="dxa"/>
            <w:vAlign w:val="bottom"/>
          </w:tcPr>
          <w:p>
            <w:pPr>
              <w:ind w:left="240"/>
              <w:spacing w:after="0"/>
              <w:rPr>
                <w:sz w:val="20"/>
                <w:szCs w:val="20"/>
                <w:color w:val="auto"/>
              </w:rPr>
            </w:pPr>
            <w:r>
              <w:rPr>
                <w:rFonts w:ascii="Arial" w:cs="Arial" w:eastAsia="Arial" w:hAnsi="Arial"/>
                <w:sz w:val="17"/>
                <w:szCs w:val="17"/>
                <w:color w:val="auto"/>
              </w:rPr>
              <w:t>Plus: Prior period RNG volumes dispensed in current period</w:t>
            </w:r>
          </w:p>
        </w:tc>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RNG production volumes not dispensed</w:t>
            </w:r>
          </w:p>
        </w:tc>
        <w:tc>
          <w:tcPr>
            <w:tcW w:w="26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 xml:space="preserve">Total RNG volumes available for RIN and LCFS generation </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RIN Metrics</w:t>
            </w:r>
          </w:p>
        </w:tc>
        <w:tc>
          <w:tcPr>
            <w:tcW w:w="2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44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RIN generation (x 11.727) </w:t>
            </w:r>
            <w:r>
              <w:rPr>
                <w:rFonts w:ascii="Arial" w:cs="Arial" w:eastAsia="Arial" w:hAnsi="Arial"/>
                <w:sz w:val="22"/>
                <w:szCs w:val="22"/>
                <w:color w:val="auto"/>
                <w:vertAlign w:val="superscript"/>
              </w:rPr>
              <w:t>(2)</w:t>
            </w:r>
          </w:p>
        </w:tc>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Counterparty share (RINs)</w:t>
            </w:r>
          </w:p>
        </w:tc>
        <w:tc>
          <w:tcPr>
            <w:tcW w:w="26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40" w:type="dxa"/>
            <w:vAlign w:val="bottom"/>
          </w:tcPr>
          <w:p>
            <w:pPr>
              <w:ind w:left="240"/>
              <w:spacing w:after="0"/>
              <w:rPr>
                <w:sz w:val="20"/>
                <w:szCs w:val="20"/>
                <w:color w:val="auto"/>
              </w:rPr>
            </w:pPr>
            <w:r>
              <w:rPr>
                <w:rFonts w:ascii="Arial" w:cs="Arial" w:eastAsia="Arial" w:hAnsi="Arial"/>
                <w:sz w:val="17"/>
                <w:szCs w:val="17"/>
                <w:color w:val="auto"/>
              </w:rPr>
              <w:t>Plus: Prior period RINs</w:t>
            </w:r>
          </w:p>
        </w:tc>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RINs carried into next period</w:t>
            </w:r>
          </w:p>
        </w:tc>
        <w:tc>
          <w:tcPr>
            <w:tcW w:w="26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7"/>
                <w:szCs w:val="17"/>
                <w:b w:val="1"/>
                <w:bCs w:val="1"/>
                <w:color w:val="auto"/>
              </w:rPr>
              <w:t>Total RINs available for sale</w:t>
            </w:r>
          </w:p>
        </w:tc>
        <w:tc>
          <w:tcPr>
            <w:tcW w:w="2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RINs sold</w:t>
            </w:r>
          </w:p>
        </w:tc>
        <w:tc>
          <w:tcPr>
            <w:tcW w:w="26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7"/>
                <w:szCs w:val="17"/>
                <w:color w:val="auto"/>
              </w:rPr>
              <w:t>RIN Inventory</w:t>
            </w: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4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RNG Inventory (volumes not dispensed for RINs)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2"/>
        </w:trPr>
        <w:tc>
          <w:tcPr>
            <w:tcW w:w="8440" w:type="dxa"/>
            <w:vAlign w:val="bottom"/>
          </w:tcPr>
          <w:p>
            <w:pPr>
              <w:ind w:left="20"/>
              <w:spacing w:after="0"/>
              <w:rPr>
                <w:sz w:val="20"/>
                <w:szCs w:val="20"/>
                <w:color w:val="auto"/>
              </w:rPr>
            </w:pPr>
            <w:r>
              <w:rPr>
                <w:rFonts w:ascii="Arial" w:cs="Arial" w:eastAsia="Arial" w:hAnsi="Arial"/>
                <w:sz w:val="17"/>
                <w:szCs w:val="17"/>
                <w:color w:val="auto"/>
              </w:rPr>
              <w:t>Average Realized RIN price ($)</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2540" w:type="dxa"/>
            <w:vAlign w:val="bottom"/>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b w:val="1"/>
                <w:bCs w:val="1"/>
                <w:color w:val="auto"/>
              </w:rPr>
              <w:t xml:space="preserve">LCFS Metrics </w:t>
            </w:r>
            <w:r>
              <w:rPr>
                <w:rFonts w:ascii="Arial" w:cs="Arial" w:eastAsia="Arial" w:hAnsi="Arial"/>
                <w:sz w:val="22"/>
                <w:szCs w:val="22"/>
                <w:b w:val="1"/>
                <w:bCs w:val="1"/>
                <w:color w:val="auto"/>
                <w:vertAlign w:val="superscript"/>
              </w:rPr>
              <w:t>(4)</w:t>
            </w:r>
          </w:p>
        </w:tc>
        <w:tc>
          <w:tcPr>
            <w:tcW w:w="2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4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RNG Inventory, volumes not dispensed for LCFS </w:t>
            </w:r>
            <w:r>
              <w:rPr>
                <w:rFonts w:ascii="Arial" w:cs="Arial" w:eastAsia="Arial" w:hAnsi="Arial"/>
                <w:sz w:val="22"/>
                <w:szCs w:val="22"/>
                <w:color w:val="auto"/>
                <w:vertAlign w:val="superscript"/>
              </w:rPr>
              <w:t>(5)</w:t>
            </w:r>
          </w:p>
        </w:tc>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40" w:type="dxa"/>
            <w:vAlign w:val="bottom"/>
          </w:tcPr>
          <w:p>
            <w:pPr>
              <w:ind w:left="120"/>
              <w:spacing w:after="0"/>
              <w:rPr>
                <w:sz w:val="20"/>
                <w:szCs w:val="20"/>
                <w:color w:val="auto"/>
              </w:rPr>
            </w:pPr>
            <w:r>
              <w:rPr>
                <w:rFonts w:ascii="Arial" w:cs="Arial" w:eastAsia="Arial" w:hAnsi="Arial"/>
                <w:sz w:val="17"/>
                <w:szCs w:val="17"/>
                <w:color w:val="auto"/>
              </w:rPr>
              <w:t>RNG Operating Expenses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2540" w:type="dxa"/>
            <w:vAlign w:val="bottom"/>
          </w:tcPr>
          <w:p>
            <w:pPr>
              <w:jc w:val="right"/>
              <w:spacing w:after="0"/>
              <w:rPr>
                <w:sz w:val="20"/>
                <w:szCs w:val="20"/>
                <w:color w:val="auto"/>
              </w:rPr>
            </w:pPr>
            <w:r>
              <w:rPr>
                <w:rFonts w:ascii="Arial" w:cs="Arial" w:eastAsia="Arial" w:hAnsi="Arial"/>
                <w:sz w:val="17"/>
                <w:szCs w:val="17"/>
                <w:color w:val="auto"/>
              </w:rPr>
              <w:t>7,121</w:t>
            </w:r>
          </w:p>
        </w:tc>
        <w:tc>
          <w:tcPr>
            <w:tcW w:w="0" w:type="dxa"/>
            <w:vAlign w:val="bottom"/>
          </w:tcPr>
          <w:p>
            <w:pPr>
              <w:spacing w:after="0"/>
              <w:rPr>
                <w:sz w:val="1"/>
                <w:szCs w:val="1"/>
                <w:color w:val="auto"/>
              </w:rPr>
            </w:pPr>
          </w:p>
        </w:tc>
      </w:tr>
      <w:tr>
        <w:trPr>
          <w:trHeight w:val="222"/>
        </w:trPr>
        <w:tc>
          <w:tcPr>
            <w:tcW w:w="8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RNG Operating Expenses per MMBtu (actual)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RINs are generated in the month the gas is dispensed, which generally occurs the month after the gas is produced.</w:t>
      </w:r>
    </w:p>
    <w:p>
      <w:pPr>
        <w:spacing w:after="0" w:line="25"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One MMBtu of RNG has approximately the same energy content as 11.727 gallons of ethanol, and thus may generate 11.727 RINs under the RFS program.</w:t>
      </w:r>
    </w:p>
    <w:p>
      <w:pPr>
        <w:spacing w:after="0" w:line="36" w:lineRule="exact"/>
        <w:rPr>
          <w:rFonts w:ascii="Arial" w:cs="Arial" w:eastAsia="Arial" w:hAnsi="Arial"/>
          <w:sz w:val="15"/>
          <w:szCs w:val="15"/>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gas production which has not been dispensed to generate RINs and LCFS.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LCFS credits were generated during 2022 pending regulatory approval.</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LCFS credits are generated in the month the gas is dispensed, which generally occurs the quarter after the gas is produced.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255"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The COVID-19 pandemic had an adverse impact on global commercial activity, including the global transportation industry and its supply chain, and has contributed to significant volatility in financial markets. It resulted in travel restrictions and extended shutdowns of businesses in various industries including, among others, the airline industry, and significantly reduced overall economic output. It is possible that that the impact of the ongoing COVID-19 pandemic on general economic activity could negatively impact the Company's revenue and operating results in the future, particularly as new variants of COVID-19 are discovered.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5"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The following discussion of our financial condition and results of operations should be read in conjunction with our Consolidated Financial Statements and the notes to those Consolidated Financial Statements appearing in this Annual Report. This discussion contains forward-looking statements that involve significant risks and uncertainties. As a result of many factors, such as those set forth under “Risk Factors” in Part I, Item 1A of this Annual Report, our actual results may differ materially from those anticipated in these forward-looking statements.</w:t>
      </w:r>
    </w:p>
    <w:p>
      <w:pPr>
        <w:spacing w:after="0" w:line="189" w:lineRule="exact"/>
        <w:rPr>
          <w:sz w:val="20"/>
          <w:szCs w:val="20"/>
          <w:color w:val="auto"/>
        </w:rPr>
      </w:pPr>
    </w:p>
    <w:p>
      <w:pPr>
        <w:ind w:right="140" w:firstLine="470"/>
        <w:spacing w:after="0" w:line="251" w:lineRule="auto"/>
        <w:rPr>
          <w:sz w:val="20"/>
          <w:szCs w:val="20"/>
          <w:color w:val="auto"/>
        </w:rPr>
      </w:pPr>
      <w:r>
        <w:rPr>
          <w:rFonts w:ascii="Arial" w:cs="Arial" w:eastAsia="Arial" w:hAnsi="Arial"/>
          <w:sz w:val="17"/>
          <w:szCs w:val="17"/>
          <w:color w:val="auto"/>
        </w:rPr>
        <w:t>This section of this Report discusses year-to-year comparisons between 2022 and 2021. The complete Management’s Discussion and Analysis of Financial Condition and Results of Operations for year-to-year comparisons between 2021 and 2020 and other discussions of 2020 items can be found within Part II, Item 7, of our Annual Report on Form 10-K for the year ended December 31, 2021, filed with the SEC on February 24, 2022, which is available free of charge on the SEC's website at www.sec.gov and our corporate website at www.gevo.com.</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2022 and 2021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5"/>
          </w:tcPr>
          <w:p>
            <w:pPr>
              <w:ind w:left="220"/>
              <w:spacing w:after="0"/>
              <w:rPr>
                <w:sz w:val="20"/>
                <w:szCs w:val="20"/>
                <w:color w:val="auto"/>
              </w:rPr>
            </w:pPr>
            <w:r>
              <w:rPr>
                <w:rFonts w:ascii="Arial" w:cs="Arial" w:eastAsia="Arial" w:hAnsi="Arial"/>
                <w:sz w:val="17"/>
                <w:szCs w:val="17"/>
                <w:b w:val="1"/>
                <w:bCs w:val="1"/>
                <w:color w:val="auto"/>
              </w:rPr>
              <w:t>Year Ended December 31,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1"/>
        </w:trPr>
        <w:tc>
          <w:tcPr>
            <w:tcW w:w="49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b w:val="1"/>
                <w:bCs w:val="1"/>
                <w:color w:val="auto"/>
              </w:rPr>
              <w:t>Change ($)</w:t>
            </w:r>
          </w:p>
        </w:tc>
        <w:tc>
          <w:tcPr>
            <w:tcW w:w="1600" w:type="dxa"/>
            <w:vAlign w:val="bottom"/>
          </w:tcPr>
          <w:p>
            <w:pPr>
              <w:jc w:val="right"/>
              <w:ind w:right="253"/>
              <w:spacing w:after="0"/>
              <w:rPr>
                <w:sz w:val="20"/>
                <w:szCs w:val="20"/>
                <w:color w:val="auto"/>
              </w:rPr>
            </w:pPr>
            <w:r>
              <w:rPr>
                <w:rFonts w:ascii="Arial" w:cs="Arial" w:eastAsia="Arial" w:hAnsi="Arial"/>
                <w:sz w:val="17"/>
                <w:szCs w:val="17"/>
                <w:b w:val="1"/>
                <w:bCs w:val="1"/>
                <w:color w:val="auto"/>
              </w:rPr>
              <w:t>Change (%)</w:t>
            </w:r>
          </w:p>
        </w:tc>
      </w:tr>
      <w:tr>
        <w:trPr>
          <w:trHeight w:val="248"/>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revenues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120 %</w:t>
            </w:r>
          </w:p>
        </w:tc>
      </w:tr>
      <w:tr>
        <w:trPr>
          <w:trHeight w:val="242"/>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production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42"/>
        </w:trPr>
        <w:tc>
          <w:tcPr>
            <w:tcW w:w="49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54 %</w:t>
            </w:r>
          </w:p>
        </w:tc>
      </w:tr>
      <w:tr>
        <w:trPr>
          <w:trHeight w:val="255"/>
        </w:trPr>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 expense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42"/>
        </w:trPr>
        <w:tc>
          <w:tcPr>
            <w:tcW w:w="4940" w:type="dxa"/>
            <w:vAlign w:val="bottom"/>
          </w:tcPr>
          <w:p>
            <w:pPr>
              <w:ind w:left="140"/>
              <w:spacing w:after="0"/>
              <w:rPr>
                <w:sz w:val="20"/>
                <w:szCs w:val="20"/>
                <w:color w:val="auto"/>
              </w:rPr>
            </w:pPr>
            <w:r>
              <w:rPr>
                <w:rFonts w:ascii="Arial" w:cs="Arial" w:eastAsia="Arial" w:hAnsi="Arial"/>
                <w:sz w:val="17"/>
                <w:szCs w:val="17"/>
                <w:color w:val="auto"/>
              </w:rPr>
              <w:t>General and administrative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39,941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14,448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57 %</w:t>
            </w:r>
          </w:p>
        </w:tc>
      </w:tr>
      <w:tr>
        <w:trPr>
          <w:trHeight w:val="255"/>
        </w:trPr>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Project development costs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42"/>
        </w:trPr>
        <w:tc>
          <w:tcPr>
            <w:tcW w:w="4940" w:type="dxa"/>
            <w:vAlign w:val="bottom"/>
          </w:tcPr>
          <w:p>
            <w:pPr>
              <w:ind w:left="140"/>
              <w:spacing w:after="0"/>
              <w:rPr>
                <w:sz w:val="20"/>
                <w:szCs w:val="20"/>
                <w:color w:val="auto"/>
              </w:rPr>
            </w:pPr>
            <w:r>
              <w:rPr>
                <w:rFonts w:ascii="Arial" w:cs="Arial" w:eastAsia="Arial" w:hAnsi="Arial"/>
                <w:sz w:val="17"/>
                <w:szCs w:val="17"/>
                <w:color w:val="auto"/>
              </w:rPr>
              <w:t>Facility idling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4,599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55"/>
        </w:trPr>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loss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42"/>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Loss on disposal of assets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(4,638)</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r>
      <w:tr>
        <w:trPr>
          <w:trHeight w:val="248"/>
        </w:trPr>
        <w:tc>
          <w:tcPr>
            <w:tcW w:w="4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43,060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r>
      <w:tr>
        <w:trPr>
          <w:trHeight w:val="24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(102,686)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(42,418)</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70 %</w:t>
            </w:r>
          </w:p>
        </w:tc>
      </w:tr>
      <w:tr>
        <w:trPr>
          <w:trHeight w:val="235"/>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2"/>
        </w:trPr>
        <w:tc>
          <w:tcPr>
            <w:tcW w:w="49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365 %</w:t>
            </w:r>
          </w:p>
        </w:tc>
      </w:tr>
      <w:tr>
        <w:trPr>
          <w:trHeight w:val="255"/>
        </w:trPr>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income (loss)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433 %</w:t>
            </w:r>
          </w:p>
        </w:tc>
      </w:tr>
      <w:tr>
        <w:trPr>
          <w:trHeight w:val="242"/>
        </w:trPr>
        <w:tc>
          <w:tcPr>
            <w:tcW w:w="4940" w:type="dxa"/>
            <w:vAlign w:val="bottom"/>
          </w:tcPr>
          <w:p>
            <w:pPr>
              <w:ind w:left="140"/>
              <w:spacing w:after="0"/>
              <w:rPr>
                <w:sz w:val="20"/>
                <w:szCs w:val="20"/>
                <w:color w:val="auto"/>
              </w:rPr>
            </w:pPr>
            <w:r>
              <w:rPr>
                <w:rFonts w:ascii="Arial" w:cs="Arial" w:eastAsia="Arial" w:hAnsi="Arial"/>
                <w:sz w:val="17"/>
                <w:szCs w:val="17"/>
                <w:color w:val="auto"/>
              </w:rPr>
              <w:t>Gain on forgiveness of SBA loan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8"/>
        </w:trPr>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2,595 %</w:t>
            </w:r>
          </w:p>
        </w:tc>
      </w:tr>
      <w:tr>
        <w:trPr>
          <w:trHeight w:val="241"/>
        </w:trPr>
        <w:tc>
          <w:tcPr>
            <w:tcW w:w="49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other income, net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339 %</w:t>
            </w:r>
          </w:p>
        </w:tc>
      </w:tr>
      <w:tr>
        <w:trPr>
          <w:trHeight w:val="27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 xml:space="preserve">Operating revenue. </w:t>
      </w:r>
      <w:r>
        <w:rPr>
          <w:rFonts w:ascii="Arial" w:cs="Arial" w:eastAsia="Arial" w:hAnsi="Arial"/>
          <w:sz w:val="17"/>
          <w:szCs w:val="17"/>
          <w:color w:val="auto"/>
        </w:rPr>
        <w:t>In the second half of 2022, our RNG production began ramping up resulting in natural gas commodity sales of $0.6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attribute sales of $0.2 million, while the activities at our Luverne Facility were minimized to care and maintenance status as we have shifted focus to our Net-Zero Projects. During the year ended December 31, 2022, compared to the year ended December 31, 2021, revenue increased $0.6 million primarily due to the RNG sales.</w:t>
      </w:r>
    </w:p>
    <w:p>
      <w:pPr>
        <w:spacing w:after="0" w:line="202"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i w:val="1"/>
          <w:iCs w:val="1"/>
          <w:color w:val="auto"/>
        </w:rPr>
        <w:t xml:space="preserve">Cost of production. </w:t>
      </w:r>
      <w:r>
        <w:rPr>
          <w:rFonts w:ascii="Arial" w:cs="Arial" w:eastAsia="Arial" w:hAnsi="Arial"/>
          <w:sz w:val="17"/>
          <w:szCs w:val="17"/>
          <w:color w:val="auto"/>
        </w:rPr>
        <w:t>Cost of production increased $1.0 million during the year ended December 31, 2022, compared to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costs related to RNG production and sales.</w:t>
      </w:r>
    </w:p>
    <w:p>
      <w:pPr>
        <w:spacing w:after="0" w:line="184"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increased $2.8 million during the year ended December 31, 2022,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2021, primarily due to additional depreciation for RNG assets placed into service and accelerated depreciation on Agri-Energy segment assets due to shorter lives stemming from the impairment assessment during the third quarter of 2022. See Note 4 to the Consolidated Financial Statements for additional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20" w:firstLine="470"/>
        <w:spacing w:after="0" w:line="272"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increased $0.7 million during the year ended December 31,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2021, primarily due to an increase in patent and personnel related costs, as well as lab supplies, partially offset by a reduction of consulting expenses.</w:t>
      </w:r>
    </w:p>
    <w:p>
      <w:pPr>
        <w:spacing w:after="0" w:line="198"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i w:val="1"/>
          <w:iCs w:val="1"/>
          <w:color w:val="auto"/>
        </w:rPr>
        <w:t>General and administrative expense</w:t>
      </w:r>
      <w:r>
        <w:rPr>
          <w:rFonts w:ascii="Arial" w:cs="Arial" w:eastAsia="Arial" w:hAnsi="Arial"/>
          <w:sz w:val="17"/>
          <w:szCs w:val="17"/>
          <w:color w:val="auto"/>
        </w:rPr>
        <w:t>. General and administrative expense increased $14.4 million during the year ended December 31,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2021, primarily due to increases in personnel costs related to strategic hiring and professional fees started in late 2021 and having a full impact on 2022, as well as non-cash stock-based compensation which reflects higher amortization expense for the stock awards issued in the prior period with higher market value. See Note 16 to the Consolidated Financial Statements for additional information.</w:t>
      </w:r>
    </w:p>
    <w:p>
      <w:pPr>
        <w:spacing w:after="0" w:line="202"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i w:val="1"/>
          <w:iCs w:val="1"/>
          <w:color w:val="auto"/>
        </w:rPr>
        <w:t>Project development costs</w:t>
      </w:r>
      <w:r>
        <w:rPr>
          <w:rFonts w:ascii="Arial" w:cs="Arial" w:eastAsia="Arial" w:hAnsi="Arial"/>
          <w:sz w:val="17"/>
          <w:szCs w:val="17"/>
          <w:color w:val="auto"/>
        </w:rPr>
        <w:t>. Project development costs in 2022 consisted of employee expense, preliminary engineering and technical consulting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our future Net-Zero Projects and Verity Tracking project, as well as other costs related to engineering personnel and non-capitalizable items. We began to capitalize a majority of the RNG and NZ1 projects' costs in 2021 which resulted in a $0.5 million decrease during the year ended December 31, 2022, compared to the year ended December 31, 2021.</w:t>
      </w:r>
    </w:p>
    <w:p>
      <w:pPr>
        <w:spacing w:after="0" w:line="202"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i w:val="1"/>
          <w:iCs w:val="1"/>
          <w:color w:val="auto"/>
        </w:rPr>
        <w:t xml:space="preserve">Facility idling costs. </w:t>
      </w:r>
      <w:r>
        <w:rPr>
          <w:rFonts w:ascii="Arial" w:cs="Arial" w:eastAsia="Arial" w:hAnsi="Arial"/>
          <w:sz w:val="17"/>
          <w:szCs w:val="17"/>
          <w:color w:val="auto"/>
        </w:rPr>
        <w:t>Facility idling costs were $4.6 million for the year ended December 31, 2022 and related to care and maintenance of our Luverne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Included in facility idling costs are ongoing care and maintenance expenses, as well as one time charges related to removing flammable and other hazardous items from the site, writing off certain patents, and reduction in the workforce. We plan to utilize the Luverne Facility as a development scale plant to advance our technology and operational knowledge to help us in achieving operational success as we scale up the production and delivery of SAF for our customers through our Net-Zero Projects.</w:t>
      </w:r>
    </w:p>
    <w:p>
      <w:pPr>
        <w:spacing w:after="0" w:line="20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i w:val="1"/>
          <w:iCs w:val="1"/>
          <w:color w:val="auto"/>
        </w:rPr>
        <w:t xml:space="preserve">Impairment loss. </w:t>
      </w:r>
      <w:r>
        <w:rPr>
          <w:rFonts w:ascii="Arial" w:cs="Arial" w:eastAsia="Arial" w:hAnsi="Arial"/>
          <w:sz w:val="17"/>
          <w:szCs w:val="17"/>
          <w:color w:val="auto"/>
        </w:rPr>
        <w:t>The Company recorded a $24.7 million impairment loss on long-lived assets, which reduced the carrying value of certain property, plant,</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a leased ROU asset, at the Agri-Energy segment to its fair value. The impairments recorded to date relate to the determination to suspend production at the Luverne Facility and shift the plant into an idled, care and maintenance status during the third quarter of 2022. The impact of the one-time impairment charge of $24.7 million was $0.11 of basic and diluted impairment loss per share for the year ended December 31, 2022. See Note 4 to the Consolidated Financial Statements for additional information.</w:t>
      </w:r>
    </w:p>
    <w:p>
      <w:pPr>
        <w:spacing w:after="0" w:line="2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Loss on disposal of assets. </w:t>
      </w:r>
      <w:r>
        <w:rPr>
          <w:rFonts w:ascii="Arial" w:cs="Arial" w:eastAsia="Arial" w:hAnsi="Arial"/>
          <w:sz w:val="17"/>
          <w:szCs w:val="17"/>
          <w:color w:val="auto"/>
        </w:rPr>
        <w:t>As a result of suspending the production of ethanol at the Luverne Facility, we wrote-off $0.5 million of costs during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2022 related to ancillary equipment and spare parts that are no longer expected to be utilized at the Luverne Facility. The equipment and spare parts had been planned to be used in ethanol production.</w:t>
      </w:r>
    </w:p>
    <w:p>
      <w:pPr>
        <w:spacing w:after="0" w:line="198" w:lineRule="exact"/>
        <w:rPr>
          <w:sz w:val="20"/>
          <w:szCs w:val="20"/>
          <w:color w:val="auto"/>
        </w:rPr>
      </w:pPr>
    </w:p>
    <w:p>
      <w:pPr>
        <w:jc w:val="both"/>
        <w:ind w:right="160" w:firstLine="470"/>
        <w:spacing w:after="0" w:line="272" w:lineRule="auto"/>
        <w:rPr>
          <w:sz w:val="20"/>
          <w:szCs w:val="20"/>
          <w:color w:val="auto"/>
        </w:rPr>
      </w:pPr>
      <w:r>
        <w:rPr>
          <w:rFonts w:ascii="Arial" w:cs="Arial" w:eastAsia="Arial" w:hAnsi="Arial"/>
          <w:sz w:val="17"/>
          <w:szCs w:val="17"/>
          <w:i w:val="1"/>
          <w:iCs w:val="1"/>
          <w:color w:val="auto"/>
        </w:rPr>
        <w:t xml:space="preserve">Loss from operations. </w:t>
      </w:r>
      <w:r>
        <w:rPr>
          <w:rFonts w:ascii="Arial" w:cs="Arial" w:eastAsia="Arial" w:hAnsi="Arial"/>
          <w:sz w:val="17"/>
          <w:szCs w:val="17"/>
          <w:color w:val="auto"/>
        </w:rPr>
        <w:t>The Company's loss from operations increased by $42.4 million during the year ended December 31, 2022,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2021, primarily due to the increased activities for our Net-Zero Projects and Verity Tracking project, as well as non-capitalizable costs for NZ1.</w:t>
      </w:r>
    </w:p>
    <w:p>
      <w:pPr>
        <w:spacing w:after="0" w:line="198" w:lineRule="exact"/>
        <w:rPr>
          <w:sz w:val="20"/>
          <w:szCs w:val="20"/>
          <w:color w:val="auto"/>
        </w:rPr>
      </w:pPr>
    </w:p>
    <w:p>
      <w:pPr>
        <w:jc w:val="both"/>
        <w:ind w:right="140" w:firstLine="470"/>
        <w:spacing w:after="0" w:line="272"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$0.9 million during the year ended December 31, 2022, compared to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interest on the RNG Project bonds, which was capitalized into construction in process during the construction phase of our RNG Project in the prior periods.</w:t>
      </w:r>
    </w:p>
    <w:p>
      <w:pPr>
        <w:spacing w:after="0" w:line="198"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increased $2.5 million during the year ended December 31, 2022,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primarily due to the higher interest rate earned on our investments and restricted cash.</w:t>
      </w:r>
    </w:p>
    <w:p>
      <w:pPr>
        <w:spacing w:after="0" w:line="184"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i w:val="1"/>
          <w:iCs w:val="1"/>
          <w:color w:val="auto"/>
        </w:rPr>
        <w:t>Gain on forgiveness of SBA Loans</w:t>
      </w:r>
      <w:r>
        <w:rPr>
          <w:rFonts w:ascii="Arial" w:cs="Arial" w:eastAsia="Arial" w:hAnsi="Arial"/>
          <w:sz w:val="17"/>
          <w:szCs w:val="17"/>
          <w:color w:val="auto"/>
        </w:rPr>
        <w:t>. During the year ended December 31, 2021, the Small Business Administration ("SBA") forgave $0.6 million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SBA loans and accrued interest. See Note 15 to the Consolidated Financial Statements for additional information.</w:t>
      </w:r>
    </w:p>
    <w:p>
      <w:pPr>
        <w:spacing w:after="0" w:line="184"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increased $2.7 million during the year ended December 31, 2022, compared to the year ended December 31, 2021,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our receipt of $2.9 million from the U.S. Department of Agriculture's Biofuel Producer Program to support biofuel producers who faced unexpected losses due to the COVID-19 pandemic, partially offset by other expenses.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Our Revenues</w:t>
      </w:r>
    </w:p>
    <w:p>
      <w:pPr>
        <w:spacing w:after="0" w:line="255"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Our current and historic revenues are primarily derived from: (i) the sale of RNG commodities and the related environmental attributes; (ii) hydrocarbon sales consisting primarily of the sale of SAF and isooctane derived from our isobutanol; (iii) the sale of isobutanol and related products; and (iv) government grants and research and development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Components of Our Cost Structure</w:t>
      </w:r>
    </w:p>
    <w:p>
      <w:pPr>
        <w:spacing w:after="0" w:line="255" w:lineRule="exact"/>
        <w:rPr>
          <w:sz w:val="20"/>
          <w:szCs w:val="20"/>
          <w:color w:val="auto"/>
        </w:rPr>
      </w:pPr>
    </w:p>
    <w:p>
      <w:pPr>
        <w:ind w:right="160" w:firstLine="470"/>
        <w:spacing w:after="0" w:line="288" w:lineRule="auto"/>
        <w:rPr>
          <w:sz w:val="20"/>
          <w:szCs w:val="20"/>
          <w:color w:val="auto"/>
        </w:rPr>
      </w:pPr>
      <w:r>
        <w:rPr>
          <w:rFonts w:ascii="Arial" w:cs="Arial" w:eastAsia="Arial" w:hAnsi="Arial"/>
          <w:sz w:val="16"/>
          <w:szCs w:val="16"/>
          <w:b w:val="1"/>
          <w:bCs w:val="1"/>
          <w:i w:val="1"/>
          <w:iCs w:val="1"/>
          <w:color w:val="auto"/>
        </w:rPr>
        <w:t xml:space="preserve">Cost of Production. </w:t>
      </w:r>
      <w:r>
        <w:rPr>
          <w:rFonts w:ascii="Arial" w:cs="Arial" w:eastAsia="Arial" w:hAnsi="Arial"/>
          <w:sz w:val="16"/>
          <w:szCs w:val="16"/>
          <w:color w:val="auto"/>
        </w:rPr>
        <w:t>Our cost of production consists primarily of costs directly associated with the production of RNG and other renewable hydrocarbon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including isobutanol, SAF, and isooctane. Such costs include direct materials, direct labor, other operating costs and certain plant overhead costs. Direct materials include feedstock, denaturant and process chemicals. Direct labor includes compensation (including stock-based compensation) of personnel directly involved in production operations. Other operating costs include utilities and natural gas and wind power usage.</w:t>
      </w:r>
    </w:p>
    <w:p>
      <w:pPr>
        <w:spacing w:after="0" w:line="188" w:lineRule="exact"/>
        <w:rPr>
          <w:sz w:val="20"/>
          <w:szCs w:val="20"/>
          <w:color w:val="auto"/>
        </w:rPr>
      </w:pPr>
    </w:p>
    <w:p>
      <w:pPr>
        <w:ind w:right="60" w:firstLine="470"/>
        <w:spacing w:after="0" w:line="28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Our research and development expense consists of costs incurred to identify, develop and test our technologies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of renewable hydrocarbon products and the development of downstream applications thereof. Research and development expense includes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spacing w:after="0" w:line="188" w:lineRule="exact"/>
        <w:rPr>
          <w:sz w:val="20"/>
          <w:szCs w:val="20"/>
          <w:color w:val="auto"/>
        </w:rPr>
      </w:pPr>
    </w:p>
    <w:p>
      <w:pPr>
        <w:ind w:right="300" w:firstLine="470"/>
        <w:spacing w:after="0" w:line="272"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consists of personnel costs (including stock-based compensation), consulting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provider expenses (including patent counsel-related costs), legal fees, marketing costs, insurance costs, occupancy-related costs, travel and relocation expenses and hiring expenses.</w:t>
      </w:r>
    </w:p>
    <w:p>
      <w:pPr>
        <w:spacing w:after="0" w:line="198"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b w:val="1"/>
          <w:bCs w:val="1"/>
          <w:i w:val="1"/>
          <w:iCs w:val="1"/>
          <w:color w:val="auto"/>
        </w:rPr>
        <w:t xml:space="preserve">Project Development Costs. </w:t>
      </w:r>
      <w:r>
        <w:rPr>
          <w:rFonts w:ascii="Arial" w:cs="Arial" w:eastAsia="Arial" w:hAnsi="Arial"/>
          <w:sz w:val="17"/>
          <w:szCs w:val="17"/>
          <w:color w:val="auto"/>
        </w:rPr>
        <w:t>Project development costs consist of consulting, preliminary engineering costs, personnel expenses (including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and research and development expenses to support the business activities of our Net-Zero Projects.</w:t>
      </w:r>
    </w:p>
    <w:p>
      <w:pPr>
        <w:spacing w:after="0" w:line="184"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relates to property, plant and equipment associated with the production of RNG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 hydrocarbon products, including isobutanol, SAF, and isooctane, as well as that used in product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ind w:firstLine="470"/>
        <w:spacing w:after="0" w:line="293" w:lineRule="auto"/>
        <w:rPr>
          <w:sz w:val="20"/>
          <w:szCs w:val="20"/>
          <w:color w:val="auto"/>
        </w:rPr>
      </w:pPr>
      <w:r>
        <w:rPr>
          <w:rFonts w:ascii="Arial" w:cs="Arial" w:eastAsia="Arial" w:hAnsi="Arial"/>
          <w:sz w:val="15"/>
          <w:szCs w:val="15"/>
          <w:color w:val="auto"/>
        </w:rPr>
        <w:t>As of December 31, 2022, we had cash and cash equivalents of $237.1 million, short and long-term restricted cash of $78.3 million and short-term marketable securities of $167.4 million, net of unrealized losses of $1.0 million, totaling $482.8 million in cash, cash equivalents, and marketable securities. As of December 31, 2022, we had net working capital of $390.0 million, with $25.4 million of current liabilities. The marketable securities are highly liquid and can be converted to cash when needed for operations, development, and construction. We expect to use our cash, cash equivalents, restricted cash and marketable securities for the following purposes: (i) identification, development, acquisition and construction of new production facilities and to plan for expanded production to fulfill existing offtake agreements for NZ1 and the Company's other Net-Zero Projects; (ii) potential investment in RNG projects; (iii) potential development of the Luverne Facility; (iv) development, acquisition and operation of sustainable alcohol-to-SAF plants to produce SAF alone or with partners;</w:t>
      </w:r>
    </w:p>
    <w:p>
      <w:pPr>
        <w:spacing w:after="0" w:line="2" w:lineRule="exact"/>
        <w:rPr>
          <w:sz w:val="20"/>
          <w:szCs w:val="20"/>
          <w:color w:val="auto"/>
        </w:rPr>
      </w:pPr>
    </w:p>
    <w:p>
      <w:pPr>
        <w:ind w:right="60" w:firstLine="5"/>
        <w:spacing w:after="0" w:line="262" w:lineRule="auto"/>
        <w:tabs>
          <w:tab w:leader="none" w:pos="2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activities at the Company's corporate headquarters in Colorado, including research and development work; (vi) exploration of strategic alternatives and additional financing, including project financing; and (vii)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206" w:lineRule="exact"/>
        <w:rPr>
          <w:sz w:val="20"/>
          <w:szCs w:val="20"/>
          <w:color w:val="auto"/>
        </w:rPr>
      </w:pPr>
    </w:p>
    <w:p>
      <w:pPr>
        <w:ind w:right="80" w:firstLine="470"/>
        <w:spacing w:after="0" w:line="263" w:lineRule="auto"/>
        <w:rPr>
          <w:sz w:val="20"/>
          <w:szCs w:val="20"/>
          <w:color w:val="auto"/>
        </w:rPr>
      </w:pPr>
      <w:r>
        <w:rPr>
          <w:rFonts w:ascii="Arial" w:cs="Arial" w:eastAsia="Arial" w:hAnsi="Arial"/>
          <w:sz w:val="17"/>
          <w:szCs w:val="17"/>
          <w:color w:val="auto"/>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We have financed our operations primarily with proceeds from the issuance of equity, warrants, debt securities, and borrowings under debt facilities. We may fund future operations through additional private and/or public offerings of equity or debt securities. In addition, the Company may seek additional capital, on acceptable terms, through arrangements with strategic partners or from other sources. Notwithstanding, there can be no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assurance that the Company will be able to raise additional funds or achieve or sustain profitability or positive cash flows from operations.</w:t>
      </w:r>
    </w:p>
    <w:p>
      <w:pPr>
        <w:spacing w:after="0" w:line="249"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The Company's transition to profitability is dependent upon, among other things, the successful development and commercialization of its product candidates, the development, acquisition and construction of commercial level production facilities to support the Company's offtake agreements, the achievement of a level of revenues adequate to support the Company's cost structure, and the ability to raise capital to finance the development, acquisition, and construction of additional productions facilities.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major sources and uses of cash for each of the periods set forth below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7"/>
                <w:szCs w:val="17"/>
                <w:b w:val="1"/>
                <w:bCs w:val="1"/>
                <w:color w:val="auto"/>
              </w:rPr>
              <w:t>Year Ended 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(48,271)</w:t>
            </w:r>
          </w:p>
        </w:tc>
      </w:tr>
      <w:tr>
        <w:trPr>
          <w:trHeight w:val="242"/>
        </w:trPr>
        <w:tc>
          <w:tcPr>
            <w:tcW w:w="818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(411,358)</w:t>
            </w:r>
          </w:p>
        </w:tc>
      </w:tr>
      <w:tr>
        <w:trPr>
          <w:trHeight w:val="255"/>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517,324</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49" w:lineRule="exact"/>
        <w:rPr>
          <w:sz w:val="20"/>
          <w:szCs w:val="20"/>
          <w:color w:val="auto"/>
        </w:rPr>
      </w:pPr>
    </w:p>
    <w:p>
      <w:pPr>
        <w:ind w:right="160" w:firstLine="470"/>
        <w:spacing w:after="0" w:line="297" w:lineRule="auto"/>
        <w:rPr>
          <w:sz w:val="20"/>
          <w:szCs w:val="20"/>
          <w:color w:val="auto"/>
        </w:rPr>
      </w:pPr>
      <w:r>
        <w:rPr>
          <w:rFonts w:ascii="Arial" w:cs="Arial" w:eastAsia="Arial" w:hAnsi="Arial"/>
          <w:sz w:val="16"/>
          <w:szCs w:val="16"/>
          <w:color w:val="auto"/>
        </w:rPr>
        <w:t>Our primary uses of cash from operating activities are personnel-related expenses, and research and development-related expenses, including costs incurred under development agreements, costs of licensing of technology, legal-related costs, expenses for the development and commercialization of routes to efficiently produce fuels and chemicals from renewable feedstock carbohydrates using alcohols (isobutanol and ethanol) as an intermediate.</w:t>
      </w:r>
    </w:p>
    <w:p>
      <w:pPr>
        <w:spacing w:after="0" w:line="179"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During the year ended December 31, 2022, net cash used in operating activities was $52.6 million compared to $48.3 million for the year ended December 31, 2021. Non-cash charges primarily consisted of an impairment loss of $24.7 million, depreciation and amortization of $7.9 million, non-cash expense of $2.7 million related to the amortization of marketable securities premiums, and stock-based compensation expense of $17.4 million, which reflects higher amortization expense for the stock awards issued in the prior period with higher market value, see Note 16 to the Consolidated Financial Statements for additional information. The net cash outflow from changes in operating assets and liabilities decreased $4.9 million, primarily due to a decrease in cash outflows of $2.0 million in prepaid expenses and other current and long-term assets for licensing fees and deposits to secure long-lead equipment power transmission and distribution facilities for NZ1 as well as a decrease of $3.9 million in accounts payable and accrued liabilities, partially offset by increased outflows of $1.7 million for RNG inventories and amortization of prepaid insurance and other prepaid items.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49"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During the year ended December 31, 2022, we had $93.4 million in cash provided by investing activities, of which $299.6 million related to proceeds from sales and maturities of marketable securities, partially offset by the reinvestment of $130.4 million in marketable securities, and $75.8 million of investments in our capital projects, including $34.7 million in the RNG Project, $35.0 million in NZ1 and $2.0 million in other Net-Zero Projects, as well as $4.1 million in other isobutanol related projects.</w:t>
      </w:r>
    </w:p>
    <w:p>
      <w:pPr>
        <w:spacing w:after="0" w:line="202"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In July 2022, the purchase of the land for NZ1 in Lake Preston, South Dakota was completed. This was followed by a groundbreaking ceremony in Lake Preston in September 2022, and we believe NZ1 is on schedule with plant startup expected to be in 2025. Water and wind energy development agreements were executed in the third quarter of 2022, and other key milestones are on track for completion in accordance with our comprehensive project plan. Based on the ongoing engineering work, the installed cost for NZ1 is currently forecasted to be approximately $850 million, excluding certain contingencies and financing costs, $100 million to $200 million of which we expect to spend within the next 12 months prior to financial close when we expect to recover those development expenditures from permanent third-party capital.</w:t>
      </w:r>
    </w:p>
    <w:p>
      <w:pPr>
        <w:spacing w:after="0" w:line="205" w:lineRule="exact"/>
        <w:rPr>
          <w:sz w:val="20"/>
          <w:szCs w:val="20"/>
          <w:color w:val="auto"/>
        </w:rPr>
      </w:pPr>
    </w:p>
    <w:p>
      <w:pPr>
        <w:ind w:right="400" w:firstLine="470"/>
        <w:spacing w:after="0" w:line="272" w:lineRule="auto"/>
        <w:rPr>
          <w:sz w:val="20"/>
          <w:szCs w:val="20"/>
          <w:color w:val="auto"/>
        </w:rPr>
      </w:pPr>
      <w:r>
        <w:rPr>
          <w:rFonts w:ascii="Arial" w:cs="Arial" w:eastAsia="Arial" w:hAnsi="Arial"/>
          <w:sz w:val="17"/>
          <w:szCs w:val="17"/>
          <w:color w:val="auto"/>
        </w:rPr>
        <w:t>Additionally, we allocated approximately $25 million of capital for the next four to six months to develop our next Net-Zero Project. Gevo is in the process of identifying and performing early site development work for additional SAF production locations. These potential sites include several greenfield locations that are particularly advantageous in terms of potential economics, opportunities to decarbonize, and time to market.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During the year ended December 31, 2021, we used $411.4 million in cash for investing activities, of which $425.0 million related to purchasing marketable securities and $56.8 million primarily related to construction in process attributable to the RNG Project, and to a lesser extent, the purchase of a Hydrocarbon-Process Pilot Unit for our Luverne Facility and NZ1 project and $9.2 million for the purchase of patents, which was partially offset by proceeds of $79.6 million from the sale of marketable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49" w:lineRule="exact"/>
        <w:rPr>
          <w:sz w:val="20"/>
          <w:szCs w:val="20"/>
          <w:color w:val="auto"/>
        </w:rPr>
      </w:pPr>
    </w:p>
    <w:p>
      <w:pPr>
        <w:ind w:right="360" w:firstLine="470"/>
        <w:spacing w:after="0" w:line="272" w:lineRule="auto"/>
        <w:rPr>
          <w:sz w:val="20"/>
          <w:szCs w:val="20"/>
          <w:color w:val="auto"/>
        </w:rPr>
      </w:pPr>
      <w:r>
        <w:rPr>
          <w:rFonts w:ascii="Arial" w:cs="Arial" w:eastAsia="Arial" w:hAnsi="Arial"/>
          <w:sz w:val="17"/>
          <w:szCs w:val="17"/>
          <w:color w:val="auto"/>
        </w:rPr>
        <w:t>During the year ended December 31, 2022, we had $138.6 million of net cash provided by financing activities, primarily due to $139.0 million of net proceeds from the issuance of common stock and common stock warrants in a registered direct offering in June 2022, offset by $0.4 million of payments primarily for net settlement of common stock under stock plans and certain equipment loans.</w:t>
      </w:r>
    </w:p>
    <w:p>
      <w:pPr>
        <w:spacing w:after="0" w:line="19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currently expect to finance the construction of NZ1 at the subsidiary level using third party capital. The Company expects to retain a carried equity interest in the project, and may invest additional equity in the project using the proceeds from the reimbursement of the Company's NZ1 development expenditures. Cash distributions from future NZ1 earnings would be proportionate to Gevo’s minority ownership in NZ1 under this expected financing structure which would reduce revenue to us but allow us to conserve and redeploy capital on other growth projects, including NZ2. We expect to apply similar development and financing approaches to NZ2 and future Net-Zero Projects to enable rapid growth of SAF production to meet current contractual demand for SAF.</w:t>
      </w:r>
    </w:p>
    <w:p>
      <w:pPr>
        <w:spacing w:after="0" w:line="205"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During the year ended December 31, 2021, we generated $517.3 million in cash from financing activities, which primarily consisted of $490.5 million from the sale of common stock and exercise of warrants and $69.0 million from the proceeds of the bonds issued to finance the construction of the RNG Project in April 2021, offset by $35.0 million in debt and equity offering costs, $7.0 million net settlement of common stock for taxes under our stock plans and $0.2 million of payments on equipment loans and lease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5"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 We have determined that we have no critical accounting estimates material to our consolidated financial position, results of operations or cash flow related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5"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See Note 2, Summary of Significant Accounting Policies, in Item 8. "Financial Statements and Supplemental Data," of this Report, for a discussion of recent accounting pronouncements.</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55" w:lineRule="exact"/>
        <w:rPr>
          <w:sz w:val="20"/>
          <w:szCs w:val="20"/>
          <w:color w:val="auto"/>
        </w:rPr>
      </w:pPr>
    </w:p>
    <w:p>
      <w:pPr>
        <w:ind w:right="260" w:firstLine="470"/>
        <w:spacing w:after="0" w:line="297" w:lineRule="auto"/>
        <w:rPr>
          <w:sz w:val="20"/>
          <w:szCs w:val="20"/>
          <w:color w:val="auto"/>
        </w:rPr>
      </w:pPr>
      <w:r>
        <w:rPr>
          <w:rFonts w:ascii="Arial" w:cs="Arial" w:eastAsia="Arial" w:hAnsi="Arial"/>
          <w:sz w:val="16"/>
          <w:szCs w:val="16"/>
          <w:color w:val="auto"/>
        </w:rPr>
        <w:t>We are exposed to market risks related to environmental attribute pricing, commodity pricing, interest rate, credit risk with our contract counterparties, and equity price risks. We currently have no foreign exchange risk and do not use derivative financial instruments as part of an overall strategy to manage market risk; however, we may consider such arrangements in the future as we evaluate our business and financial strategy.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Attribute and Commodity Pricing Risk</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attempt to negotiate the best prices for our environmental attributes and to competitively price our products to reflect the fluctuations in market prices.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Reductions in the market prices of environmental attributes may have a material adverse effect on our revenues and profits as they directly reduce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The price of RNG changes in relation to the market prices of wholesale gas. Pricing for wholesale gas is volatile and we expect this volatility to continue in the future. Further, volatility of wholesale gas also creates volatility in the prices of environmental attributes.</w:t>
      </w:r>
    </w:p>
    <w:p>
      <w:pPr>
        <w:spacing w:after="0" w:line="184"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Given the start-up status of our RNG Project and idling of Luverne Facilities we do not expect market price fluctuations to have a material impact on our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5"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invested in money market funds and U.S. treasury or government obligations. However, because of the short-term nature of our portfolio and the low-risk profile of our investments, a hypothetical immediate 10% change in market interest rates would not have a material impact on the fair market value of our investments portfolio or on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55"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We are subject to credit risk due to concentration of our RNG receivables with a limited number of significant customers. This concentration increases our exposure to credit risk on our receivables, since the financial insolvency of these customers could have a significant impact on our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Price Risk</w:t>
      </w:r>
    </w:p>
    <w:p>
      <w:pPr>
        <w:spacing w:after="0" w:line="255" w:lineRule="exact"/>
        <w:rPr>
          <w:sz w:val="20"/>
          <w:szCs w:val="20"/>
          <w:color w:val="auto"/>
        </w:rPr>
      </w:pPr>
    </w:p>
    <w:p>
      <w:pPr>
        <w:jc w:val="both"/>
        <w:ind w:right="140" w:firstLine="470"/>
        <w:spacing w:after="0" w:line="272" w:lineRule="auto"/>
        <w:rPr>
          <w:sz w:val="20"/>
          <w:szCs w:val="20"/>
          <w:color w:val="auto"/>
        </w:rPr>
      </w:pPr>
      <w:r>
        <w:rPr>
          <w:rFonts w:ascii="Arial" w:cs="Arial" w:eastAsia="Arial" w:hAnsi="Arial"/>
          <w:sz w:val="17"/>
          <w:szCs w:val="17"/>
          <w:color w:val="auto"/>
        </w:rPr>
        <w:t>We have in the past, and may in the future, seek to acquire additional funding by sale of common stock and other equity. The price of our common stock has been volatile in the past and may also be volatile in the future. As a result, there is a risk that we may not be able to sell our common stock at an acceptable price should the need for new equity funding arise.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0100" w:type="dxa"/>
            <w:vAlign w:val="bottom"/>
            <w:gridSpan w:val="11"/>
          </w:tcPr>
          <w:p>
            <w:pPr>
              <w:spacing w:after="0"/>
              <w:rPr>
                <w:sz w:val="20"/>
                <w:szCs w:val="20"/>
                <w:color w:val="auto"/>
              </w:rPr>
            </w:pPr>
            <w:r>
              <w:rPr>
                <w:rFonts w:ascii="Arial" w:cs="Arial" w:eastAsia="Arial" w:hAnsi="Arial"/>
                <w:sz w:val="17"/>
                <w:szCs w:val="17"/>
                <w:color w:val="0000FF"/>
              </w:rPr>
              <w:t>Table of Contents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973"/>
        </w:trPr>
        <w:tc>
          <w:tcPr>
            <w:tcW w:w="720" w:type="dxa"/>
            <w:vAlign w:val="bottom"/>
            <w:gridSpan w:val="2"/>
          </w:tcPr>
          <w:p>
            <w:pPr>
              <w:spacing w:after="0"/>
              <w:rPr>
                <w:sz w:val="20"/>
                <w:szCs w:val="20"/>
                <w:color w:val="auto"/>
              </w:rPr>
            </w:pPr>
            <w:r>
              <w:rPr>
                <w:rFonts w:ascii="Arial" w:cs="Arial" w:eastAsia="Arial" w:hAnsi="Arial"/>
                <w:sz w:val="17"/>
                <w:szCs w:val="17"/>
                <w:b w:val="1"/>
                <w:bCs w:val="1"/>
                <w:color w:val="auto"/>
              </w:rPr>
              <w:t>Item 8.</w:t>
            </w:r>
          </w:p>
        </w:tc>
        <w:tc>
          <w:tcPr>
            <w:tcW w:w="9380" w:type="dxa"/>
            <w:vAlign w:val="bottom"/>
            <w:gridSpan w:val="9"/>
          </w:tcPr>
          <w:p>
            <w:pPr>
              <w:jc w:val="right"/>
              <w:ind w:right="5700"/>
              <w:spacing w:after="0"/>
              <w:rPr>
                <w:sz w:val="20"/>
                <w:szCs w:val="20"/>
                <w:color w:val="auto"/>
              </w:rPr>
            </w:pPr>
            <w:r>
              <w:rPr>
                <w:rFonts w:ascii="Arial" w:cs="Arial" w:eastAsia="Arial" w:hAnsi="Arial"/>
                <w:sz w:val="17"/>
                <w:szCs w:val="17"/>
                <w:b w:val="1"/>
                <w:bCs w:val="1"/>
                <w:color w:val="auto"/>
                <w:w w:val="97"/>
              </w:rPr>
              <w:t>Financial Statements and Supplementary Data</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9"/>
        </w:trPr>
        <w:tc>
          <w:tcPr>
            <w:tcW w:w="10100" w:type="dxa"/>
            <w:vAlign w:val="bottom"/>
            <w:gridSpan w:val="11"/>
          </w:tcPr>
          <w:p>
            <w:pPr>
              <w:spacing w:after="0"/>
              <w:rPr>
                <w:sz w:val="20"/>
                <w:szCs w:val="20"/>
                <w:color w:val="auto"/>
              </w:rPr>
            </w:pPr>
            <w:r>
              <w:rPr>
                <w:rFonts w:ascii="Arial" w:cs="Arial" w:eastAsia="Arial" w:hAnsi="Arial"/>
                <w:sz w:val="17"/>
                <w:szCs w:val="17"/>
                <w:b w:val="1"/>
                <w:bCs w:val="1"/>
                <w:i w:val="1"/>
                <w:iCs w:val="1"/>
                <w:color w:val="auto"/>
              </w:rPr>
              <w:t>Index to Gevo, Inc. Consolidated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96"/>
        </w:trPr>
        <w:tc>
          <w:tcPr>
            <w:tcW w:w="20" w:type="dxa"/>
            <w:vAlign w:val="bottom"/>
          </w:tcPr>
          <w:p>
            <w:pPr>
              <w:spacing w:after="0"/>
              <w:rPr>
                <w:sz w:val="17"/>
                <w:szCs w:val="17"/>
                <w:color w:val="auto"/>
              </w:rPr>
            </w:pPr>
          </w:p>
        </w:tc>
        <w:tc>
          <w:tcPr>
            <w:tcW w:w="10080" w:type="dxa"/>
            <w:vAlign w:val="bottom"/>
            <w:gridSpan w:val="10"/>
          </w:tcPr>
          <w:p>
            <w:pPr>
              <w:spacing w:after="0"/>
              <w:rPr>
                <w:sz w:val="20"/>
                <w:szCs w:val="20"/>
                <w:color w:val="auto"/>
              </w:rPr>
            </w:pPr>
            <w:r>
              <w:rPr>
                <w:rFonts w:ascii="Arial" w:cs="Arial" w:eastAsia="Arial" w:hAnsi="Arial"/>
                <w:sz w:val="17"/>
                <w:szCs w:val="17"/>
                <w:color w:val="3051F2"/>
              </w:rPr>
              <w:t xml:space="preserve">Report of Independent Registered Public Accounting Firm </w:t>
            </w:r>
            <w:r>
              <w:rPr>
                <w:rFonts w:ascii="Arial" w:cs="Arial" w:eastAsia="Arial" w:hAnsi="Arial"/>
                <w:sz w:val="17"/>
                <w:szCs w:val="17"/>
                <w:color w:val="000000"/>
              </w:rPr>
              <w:t>(PCAOB ID Number 248)</w:t>
            </w:r>
          </w:p>
        </w:tc>
        <w:tc>
          <w:tcPr>
            <w:tcW w:w="1140" w:type="dxa"/>
            <w:vAlign w:val="bottom"/>
            <w:gridSpan w:val="3"/>
          </w:tcPr>
          <w:p>
            <w:pPr>
              <w:jc w:val="center"/>
              <w:spacing w:after="0"/>
              <w:rPr>
                <w:sz w:val="20"/>
                <w:szCs w:val="20"/>
                <w:color w:val="auto"/>
              </w:rPr>
            </w:pPr>
            <w:r>
              <w:rPr>
                <w:rFonts w:ascii="Arial" w:cs="Arial" w:eastAsia="Arial" w:hAnsi="Arial"/>
                <w:sz w:val="17"/>
                <w:szCs w:val="17"/>
                <w:color w:val="3051F2"/>
                <w:w w:val="94"/>
              </w:rPr>
              <w:t>48</w:t>
            </w:r>
          </w:p>
        </w:tc>
      </w:tr>
      <w:tr>
        <w:trPr>
          <w:trHeight w:val="20"/>
        </w:trPr>
        <w:tc>
          <w:tcPr>
            <w:tcW w:w="20" w:type="dxa"/>
            <w:vAlign w:val="bottom"/>
          </w:tcPr>
          <w:p>
            <w:pPr>
              <w:spacing w:after="0" w:line="20" w:lineRule="exact"/>
              <w:rPr>
                <w:sz w:val="1"/>
                <w:szCs w:val="1"/>
                <w:color w:val="auto"/>
              </w:rPr>
            </w:pPr>
          </w:p>
        </w:tc>
        <w:tc>
          <w:tcPr>
            <w:tcW w:w="2020" w:type="dxa"/>
            <w:vAlign w:val="bottom"/>
            <w:gridSpan w:val="3"/>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8"/>
          </w:tcPr>
          <w:p>
            <w:pPr>
              <w:spacing w:after="0"/>
              <w:rPr>
                <w:sz w:val="20"/>
                <w:szCs w:val="20"/>
                <w:color w:val="auto"/>
              </w:rPr>
            </w:pPr>
            <w:r>
              <w:rPr>
                <w:rFonts w:ascii="Arial" w:cs="Arial" w:eastAsia="Arial" w:hAnsi="Arial"/>
                <w:sz w:val="17"/>
                <w:szCs w:val="17"/>
                <w:color w:val="3051F2"/>
              </w:rPr>
              <w:t>Consolidated Balance Sheets</w:t>
            </w:r>
          </w:p>
        </w:tc>
        <w:tc>
          <w:tcPr>
            <w:tcW w:w="60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center"/>
              <w:ind w:right="480"/>
              <w:spacing w:after="0"/>
              <w:rPr>
                <w:sz w:val="20"/>
                <w:szCs w:val="20"/>
                <w:color w:val="auto"/>
              </w:rPr>
            </w:pPr>
            <w:r>
              <w:rPr>
                <w:rFonts w:ascii="Arial" w:cs="Arial" w:eastAsia="Arial" w:hAnsi="Arial"/>
                <w:sz w:val="17"/>
                <w:szCs w:val="17"/>
                <w:color w:val="3051F2"/>
                <w:w w:val="94"/>
              </w:rPr>
              <w:t>49</w:t>
            </w:r>
          </w:p>
        </w:tc>
      </w:tr>
      <w:tr>
        <w:trPr>
          <w:trHeight w:val="20"/>
        </w:trPr>
        <w:tc>
          <w:tcPr>
            <w:tcW w:w="20" w:type="dxa"/>
            <w:vAlign w:val="bottom"/>
          </w:tcPr>
          <w:p>
            <w:pPr>
              <w:spacing w:after="0" w:line="20" w:lineRule="exact"/>
              <w:rPr>
                <w:sz w:val="1"/>
                <w:szCs w:val="1"/>
                <w:color w:val="auto"/>
              </w:rPr>
            </w:pPr>
          </w:p>
        </w:tc>
        <w:tc>
          <w:tcPr>
            <w:tcW w:w="2020" w:type="dxa"/>
            <w:vAlign w:val="bottom"/>
            <w:gridSpan w:val="3"/>
            <w:shd w:val="clear" w:color="auto" w:fill="3051F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gridSpan w:val="10"/>
          </w:tcPr>
          <w:p>
            <w:pPr>
              <w:spacing w:after="0"/>
              <w:rPr>
                <w:sz w:val="20"/>
                <w:szCs w:val="20"/>
                <w:color w:val="auto"/>
              </w:rPr>
            </w:pPr>
            <w:r>
              <w:rPr>
                <w:rFonts w:ascii="Arial" w:cs="Arial" w:eastAsia="Arial" w:hAnsi="Arial"/>
                <w:sz w:val="17"/>
                <w:szCs w:val="17"/>
                <w:color w:val="3051F2"/>
              </w:rPr>
              <w:t>Consolidated Statements of Operations</w:t>
            </w:r>
          </w:p>
        </w:tc>
        <w:tc>
          <w:tcPr>
            <w:tcW w:w="1140" w:type="dxa"/>
            <w:vAlign w:val="bottom"/>
            <w:gridSpan w:val="3"/>
          </w:tcPr>
          <w:p>
            <w:pPr>
              <w:jc w:val="center"/>
              <w:spacing w:after="0"/>
              <w:rPr>
                <w:sz w:val="20"/>
                <w:szCs w:val="20"/>
                <w:color w:val="auto"/>
              </w:rPr>
            </w:pPr>
            <w:r>
              <w:rPr>
                <w:rFonts w:ascii="Arial" w:cs="Arial" w:eastAsia="Arial" w:hAnsi="Arial"/>
                <w:sz w:val="17"/>
                <w:szCs w:val="17"/>
                <w:color w:val="3051F2"/>
                <w:w w:val="94"/>
              </w:rPr>
              <w:t>50</w:t>
            </w:r>
          </w:p>
        </w:tc>
      </w:tr>
      <w:tr>
        <w:trPr>
          <w:trHeight w:val="20"/>
        </w:trPr>
        <w:tc>
          <w:tcPr>
            <w:tcW w:w="20" w:type="dxa"/>
            <w:vAlign w:val="bottom"/>
          </w:tcPr>
          <w:p>
            <w:pPr>
              <w:spacing w:after="0" w:line="20" w:lineRule="exact"/>
              <w:rPr>
                <w:sz w:val="1"/>
                <w:szCs w:val="1"/>
                <w:color w:val="auto"/>
              </w:rPr>
            </w:pPr>
          </w:p>
        </w:tc>
        <w:tc>
          <w:tcPr>
            <w:tcW w:w="2720" w:type="dxa"/>
            <w:vAlign w:val="bottom"/>
            <w:gridSpan w:val="4"/>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gridSpan w:val="10"/>
          </w:tcPr>
          <w:p>
            <w:pPr>
              <w:spacing w:after="0"/>
              <w:rPr>
                <w:sz w:val="20"/>
                <w:szCs w:val="20"/>
                <w:color w:val="auto"/>
              </w:rPr>
            </w:pPr>
            <w:r>
              <w:rPr>
                <w:rFonts w:ascii="Arial" w:cs="Arial" w:eastAsia="Arial" w:hAnsi="Arial"/>
                <w:sz w:val="17"/>
                <w:szCs w:val="17"/>
                <w:color w:val="3051F2"/>
              </w:rPr>
              <w:t>Consolidated Statements of Comprehensive Income (Loss)</w:t>
            </w:r>
          </w:p>
        </w:tc>
        <w:tc>
          <w:tcPr>
            <w:tcW w:w="1140" w:type="dxa"/>
            <w:vAlign w:val="bottom"/>
            <w:gridSpan w:val="3"/>
          </w:tcPr>
          <w:p>
            <w:pPr>
              <w:jc w:val="center"/>
              <w:spacing w:after="0"/>
              <w:rPr>
                <w:sz w:val="20"/>
                <w:szCs w:val="20"/>
                <w:color w:val="auto"/>
              </w:rPr>
            </w:pPr>
            <w:r>
              <w:rPr>
                <w:rFonts w:ascii="Arial" w:cs="Arial" w:eastAsia="Arial" w:hAnsi="Arial"/>
                <w:sz w:val="17"/>
                <w:szCs w:val="17"/>
                <w:color w:val="3051F2"/>
                <w:w w:val="94"/>
              </w:rPr>
              <w:t>51</w:t>
            </w:r>
          </w:p>
        </w:tc>
      </w:tr>
      <w:tr>
        <w:trPr>
          <w:trHeight w:val="20"/>
        </w:trPr>
        <w:tc>
          <w:tcPr>
            <w:tcW w:w="20" w:type="dxa"/>
            <w:vAlign w:val="bottom"/>
          </w:tcPr>
          <w:p>
            <w:pPr>
              <w:spacing w:after="0" w:line="20" w:lineRule="exact"/>
              <w:rPr>
                <w:sz w:val="1"/>
                <w:szCs w:val="1"/>
                <w:color w:val="auto"/>
              </w:rPr>
            </w:pPr>
          </w:p>
        </w:tc>
        <w:tc>
          <w:tcPr>
            <w:tcW w:w="2780" w:type="dxa"/>
            <w:vAlign w:val="bottom"/>
            <w:gridSpan w:val="5"/>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660" w:type="dxa"/>
            <w:vAlign w:val="bottom"/>
            <w:gridSpan w:val="2"/>
            <w:shd w:val="clear" w:color="auto" w:fill="3051F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9"/>
          </w:tcPr>
          <w:p>
            <w:pPr>
              <w:spacing w:after="0"/>
              <w:rPr>
                <w:sz w:val="20"/>
                <w:szCs w:val="20"/>
                <w:color w:val="auto"/>
              </w:rPr>
            </w:pPr>
            <w:r>
              <w:rPr>
                <w:rFonts w:ascii="Arial" w:cs="Arial" w:eastAsia="Arial" w:hAnsi="Arial"/>
                <w:sz w:val="17"/>
                <w:szCs w:val="17"/>
                <w:color w:val="3051F2"/>
              </w:rPr>
              <w:t>Consolidated Statements of Stockholders’ Equity</w:t>
            </w:r>
          </w:p>
        </w:tc>
        <w:tc>
          <w:tcPr>
            <w:tcW w:w="5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center"/>
              <w:ind w:right="480"/>
              <w:spacing w:after="0"/>
              <w:rPr>
                <w:sz w:val="20"/>
                <w:szCs w:val="20"/>
                <w:color w:val="auto"/>
              </w:rPr>
            </w:pPr>
            <w:r>
              <w:rPr>
                <w:rFonts w:ascii="Arial" w:cs="Arial" w:eastAsia="Arial" w:hAnsi="Arial"/>
                <w:sz w:val="17"/>
                <w:szCs w:val="17"/>
                <w:color w:val="3051F2"/>
                <w:w w:val="94"/>
              </w:rPr>
              <w:t>52</w:t>
            </w:r>
          </w:p>
        </w:tc>
      </w:tr>
      <w:tr>
        <w:trPr>
          <w:trHeight w:val="20"/>
        </w:trPr>
        <w:tc>
          <w:tcPr>
            <w:tcW w:w="20" w:type="dxa"/>
            <w:vAlign w:val="bottom"/>
          </w:tcPr>
          <w:p>
            <w:pPr>
              <w:spacing w:after="0" w:line="20" w:lineRule="exact"/>
              <w:rPr>
                <w:sz w:val="1"/>
                <w:szCs w:val="1"/>
                <w:color w:val="auto"/>
              </w:rPr>
            </w:pPr>
          </w:p>
        </w:tc>
        <w:tc>
          <w:tcPr>
            <w:tcW w:w="2780" w:type="dxa"/>
            <w:vAlign w:val="bottom"/>
            <w:gridSpan w:val="5"/>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7040" w:type="dxa"/>
            <w:vAlign w:val="bottom"/>
            <w:gridSpan w:val="4"/>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3051F2"/>
                <w:w w:val="91"/>
              </w:rPr>
              <w:t>Consolidated Statements of Cash Flows</w:t>
            </w:r>
          </w:p>
        </w:tc>
        <w:tc>
          <w:tcPr>
            <w:tcW w:w="730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center"/>
              <w:ind w:right="480"/>
              <w:spacing w:after="0"/>
              <w:rPr>
                <w:sz w:val="20"/>
                <w:szCs w:val="20"/>
                <w:color w:val="auto"/>
              </w:rPr>
            </w:pPr>
            <w:r>
              <w:rPr>
                <w:rFonts w:ascii="Arial" w:cs="Arial" w:eastAsia="Arial" w:hAnsi="Arial"/>
                <w:sz w:val="17"/>
                <w:szCs w:val="17"/>
                <w:color w:val="3051F2"/>
                <w:w w:val="94"/>
              </w:rPr>
              <w:t>53</w:t>
            </w:r>
          </w:p>
        </w:tc>
      </w:tr>
      <w:tr>
        <w:trPr>
          <w:trHeight w:val="20"/>
        </w:trPr>
        <w:tc>
          <w:tcPr>
            <w:tcW w:w="20" w:type="dxa"/>
            <w:vAlign w:val="bottom"/>
          </w:tcPr>
          <w:p>
            <w:pPr>
              <w:spacing w:after="0" w:line="20" w:lineRule="exact"/>
              <w:rPr>
                <w:sz w:val="1"/>
                <w:szCs w:val="1"/>
                <w:color w:val="auto"/>
              </w:rPr>
            </w:pPr>
          </w:p>
        </w:tc>
        <w:tc>
          <w:tcPr>
            <w:tcW w:w="2780" w:type="dxa"/>
            <w:vAlign w:val="bottom"/>
            <w:gridSpan w:val="5"/>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gridSpan w:val="10"/>
          </w:tcPr>
          <w:p>
            <w:pPr>
              <w:spacing w:after="0"/>
              <w:rPr>
                <w:sz w:val="20"/>
                <w:szCs w:val="20"/>
                <w:color w:val="auto"/>
              </w:rPr>
            </w:pPr>
            <w:r>
              <w:rPr>
                <w:rFonts w:ascii="Arial" w:cs="Arial" w:eastAsia="Arial" w:hAnsi="Arial"/>
                <w:sz w:val="17"/>
                <w:szCs w:val="17"/>
                <w:color w:val="3051F2"/>
              </w:rPr>
              <w:t>Notes to Consolidated Financial Statements</w:t>
            </w:r>
          </w:p>
        </w:tc>
        <w:tc>
          <w:tcPr>
            <w:tcW w:w="1140" w:type="dxa"/>
            <w:vAlign w:val="bottom"/>
            <w:gridSpan w:val="3"/>
          </w:tcPr>
          <w:p>
            <w:pPr>
              <w:jc w:val="center"/>
              <w:spacing w:after="0"/>
              <w:rPr>
                <w:sz w:val="20"/>
                <w:szCs w:val="20"/>
                <w:color w:val="auto"/>
              </w:rPr>
            </w:pPr>
            <w:r>
              <w:rPr>
                <w:rFonts w:ascii="Arial" w:cs="Arial" w:eastAsia="Arial" w:hAnsi="Arial"/>
                <w:sz w:val="17"/>
                <w:szCs w:val="17"/>
                <w:color w:val="3051F2"/>
                <w:w w:val="94"/>
              </w:rPr>
              <w:t>55</w:t>
            </w:r>
          </w:p>
        </w:tc>
      </w:tr>
      <w:tr>
        <w:trPr>
          <w:trHeight w:val="908"/>
        </w:trPr>
        <w:tc>
          <w:tcPr>
            <w:tcW w:w="20" w:type="dxa"/>
            <w:vAlign w:val="bottom"/>
          </w:tcPr>
          <w:p>
            <w:pPr>
              <w:spacing w:after="0"/>
              <w:rPr>
                <w:sz w:val="24"/>
                <w:szCs w:val="24"/>
                <w:color w:val="auto"/>
              </w:rPr>
            </w:pPr>
          </w:p>
        </w:tc>
        <w:tc>
          <w:tcPr>
            <w:tcW w:w="700" w:type="dxa"/>
            <w:vAlign w:val="bottom"/>
            <w:tcBorders>
              <w:top w:val="single" w:sz="8" w:color="3051F2"/>
            </w:tcBorders>
          </w:tcPr>
          <w:p>
            <w:pPr>
              <w:spacing w:after="0"/>
              <w:rPr>
                <w:sz w:val="24"/>
                <w:szCs w:val="24"/>
                <w:color w:val="auto"/>
              </w:rPr>
            </w:pPr>
          </w:p>
        </w:tc>
        <w:tc>
          <w:tcPr>
            <w:tcW w:w="2340" w:type="dxa"/>
            <w:vAlign w:val="bottom"/>
            <w:tcBorders>
              <w:top w:val="single" w:sz="8" w:color="3051F2"/>
            </w:tcBorders>
            <w:gridSpan w:val="5"/>
          </w:tcPr>
          <w:p>
            <w:pPr>
              <w:spacing w:after="0"/>
              <w:rPr>
                <w:sz w:val="24"/>
                <w:szCs w:val="24"/>
                <w:color w:val="auto"/>
              </w:rPr>
            </w:pPr>
          </w:p>
        </w:tc>
        <w:tc>
          <w:tcPr>
            <w:tcW w:w="7040" w:type="dxa"/>
            <w:vAlign w:val="bottom"/>
            <w:gridSpan w:val="4"/>
          </w:tcPr>
          <w:p>
            <w:pPr>
              <w:jc w:val="right"/>
              <w:ind w:right="4380"/>
              <w:spacing w:after="0"/>
              <w:rPr>
                <w:sz w:val="20"/>
                <w:szCs w:val="20"/>
                <w:color w:val="auto"/>
              </w:rPr>
            </w:pPr>
            <w:r>
              <w:rPr>
                <w:rFonts w:ascii="Arial" w:cs="Arial" w:eastAsia="Arial" w:hAnsi="Arial"/>
                <w:sz w:val="17"/>
                <w:szCs w:val="17"/>
                <w:color w:val="auto"/>
              </w:rPr>
              <w:t>47</w:t>
            </w:r>
          </w:p>
        </w:tc>
        <w:tc>
          <w:tcPr>
            <w:tcW w:w="480" w:type="dxa"/>
            <w:vAlign w:val="bottom"/>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Gevo, Inc.</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32"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We have audited the accompanying consolidated balance sheets of Gevo, Inc. (a Delaware corporation) and subsidiaries the “Company”) as of December 31, 2022 and 2021, the related consolidated statements of operations, comprehensive income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policy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9 to the financial statements, the Company has elected to change its method of accounting for certain leases in 2022 and 2021.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ind w:right="400"/>
        <w:spacing w:after="0" w:line="25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1"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March 9, 2023</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40" w:type="dxa"/>
            <w:vAlign w:val="bottom"/>
          </w:tcPr>
          <w:p>
            <w:pPr>
              <w:jc w:val="right"/>
              <w:ind w:right="17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237,125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40,833</w:t>
            </w: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Marketable securities (current)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6, 20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167,408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275,340</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 (current)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Trade accounts receivable, net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415,422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348,541</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176,872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137,742</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 (non-current)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6, 20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64,396</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Restricted cash (non-current)</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77,219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70,168</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right-of-use assets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Finance right-of-use assets</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Deposits and other assets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21,994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12,946</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700,748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645,381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6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Accounts payable and accrued liabilities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24,760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28,150</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lease liabilities (current)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Finance lease liabilities (current)</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payable - other (current)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9"/>
        </w:trPr>
        <w:tc>
          <w:tcPr>
            <w:tcW w:w="668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29,091</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Bonds payable (long-term)</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15, 20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67,223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66,486</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Loans payable - other (long-term)</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(long-term)</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color w:val="auto"/>
              </w:rPr>
              <w:t>Finance lease liabilities (long-term)</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9"/>
        </w:trPr>
        <w:tc>
          <w:tcPr>
            <w:tcW w:w="668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95,271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98,126</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6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8"/>
              </w:rPr>
              <w:t>Common stock, $0.01 par value per share; 500,000,000 and 250,000,000 authorized at December 31, 2022 and 2021,</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respectively; 237,166,625 and 201,988,662 shares issued and outstanding at December 31, 2022 and 2021,</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respectively.</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1,259,527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1,103,224</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86"/>
        </w:trPr>
        <w:tc>
          <w:tcPr>
            <w:tcW w:w="668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(655,382)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(557,375)</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stockholders' equity</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605,477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209"/>
        </w:trPr>
        <w:tc>
          <w:tcPr>
            <w:tcW w:w="668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700,748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645,381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2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9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revenues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3, 22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production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7,687</w:t>
            </w:r>
          </w:p>
        </w:tc>
        <w:tc>
          <w:tcPr>
            <w:tcW w:w="0" w:type="dxa"/>
            <w:vAlign w:val="bottom"/>
          </w:tcPr>
          <w:p>
            <w:pPr>
              <w:spacing w:after="0"/>
              <w:rPr>
                <w:sz w:val="1"/>
                <w:szCs w:val="1"/>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5,128</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 expense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0" w:type="dxa"/>
            <w:vAlign w:val="bottom"/>
          </w:tcPr>
          <w:p>
            <w:pPr>
              <w:spacing w:after="0"/>
              <w:rPr>
                <w:sz w:val="1"/>
                <w:szCs w:val="1"/>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General and administrative expense</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25,493</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Project development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10,581</w:t>
            </w:r>
          </w:p>
        </w:tc>
        <w:tc>
          <w:tcPr>
            <w:tcW w:w="0" w:type="dxa"/>
            <w:vAlign w:val="bottom"/>
          </w:tcPr>
          <w:p>
            <w:pPr>
              <w:spacing w:after="0"/>
              <w:rPr>
                <w:sz w:val="1"/>
                <w:szCs w:val="1"/>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Facility idling costs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Impairment loss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24,749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Loss on disposal of assets</w:t>
            </w: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10, 11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103,861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60,801</w:t>
            </w:r>
          </w:p>
        </w:tc>
        <w:tc>
          <w:tcPr>
            <w:tcW w:w="0" w:type="dxa"/>
            <w:vAlign w:val="bottom"/>
          </w:tcPr>
          <w:p>
            <w:pPr>
              <w:spacing w:after="0"/>
              <w:rPr>
                <w:sz w:val="1"/>
                <w:szCs w:val="1"/>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(102,686)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(60,268)</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Investment income (loss)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Gain on forgiveness of SBA loan</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9"/>
        </w:trPr>
        <w:tc>
          <w:tcPr>
            <w:tcW w:w="6940" w:type="dxa"/>
            <w:vAlign w:val="bottom"/>
          </w:tcPr>
          <w:p>
            <w:pPr>
              <w:ind w:left="440"/>
              <w:spacing w:after="0"/>
              <w:rPr>
                <w:sz w:val="20"/>
                <w:szCs w:val="20"/>
                <w:color w:val="auto"/>
              </w:rPr>
            </w:pPr>
            <w:r>
              <w:rPr>
                <w:rFonts w:ascii="Arial" w:cs="Arial" w:eastAsia="Arial" w:hAnsi="Arial"/>
                <w:sz w:val="14"/>
                <w:szCs w:val="14"/>
                <w:color w:val="auto"/>
              </w:rPr>
              <w:t>Total other income, net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(59,203)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940" w:type="dxa"/>
            <w:vAlign w:val="bottom"/>
          </w:tcPr>
          <w:p>
            <w:pPr>
              <w:ind w:left="20"/>
              <w:spacing w:after="0"/>
              <w:rPr>
                <w:sz w:val="20"/>
                <w:szCs w:val="20"/>
                <w:color w:val="auto"/>
              </w:rPr>
            </w:pPr>
            <w:r>
              <w:rPr>
                <w:rFonts w:ascii="Arial" w:cs="Arial" w:eastAsia="Arial" w:hAnsi="Arial"/>
                <w:sz w:val="14"/>
                <w:szCs w:val="14"/>
                <w:color w:val="auto"/>
              </w:rPr>
              <w:t>Net loss per share - basic and diluted</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common shares outstanding - basic and diluted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221,537,262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195,794,606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Note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9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(98,007)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(59,203)</w:t>
            </w:r>
          </w:p>
        </w:tc>
        <w:tc>
          <w:tcPr>
            <w:tcW w:w="0" w:type="dxa"/>
            <w:vAlign w:val="bottom"/>
          </w:tcPr>
          <w:p>
            <w:pPr>
              <w:spacing w:after="0"/>
              <w:rPr>
                <w:sz w:val="1"/>
                <w:szCs w:val="1"/>
                <w:color w:val="auto"/>
              </w:rPr>
            </w:pPr>
          </w:p>
        </w:tc>
      </w:tr>
      <w:tr>
        <w:trPr>
          <w:trHeight w:val="186"/>
        </w:trPr>
        <w:tc>
          <w:tcPr>
            <w:tcW w:w="6940" w:type="dxa"/>
            <w:vAlign w:val="bottom"/>
          </w:tcPr>
          <w:p>
            <w:pPr>
              <w:ind w:left="180"/>
              <w:spacing w:after="0"/>
              <w:rPr>
                <w:sz w:val="20"/>
                <w:szCs w:val="20"/>
                <w:color w:val="auto"/>
              </w:rPr>
            </w:pPr>
            <w:r>
              <w:rPr>
                <w:rFonts w:ascii="Arial" w:cs="Arial" w:eastAsia="Arial" w:hAnsi="Arial"/>
                <w:sz w:val="14"/>
                <w:szCs w:val="14"/>
                <w:color w:val="auto"/>
              </w:rPr>
              <w:t>Other comprehensive income loss: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Unrealized loss on available-for-sale securities, net of tax</w:t>
            </w: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(98,433)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(59,817)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Accumulated Other</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7"/>
                <w:szCs w:val="17"/>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color w:val="auto"/>
                <w:w w:val="93"/>
              </w:rPr>
              <w:t>Stockholders'</w:t>
            </w:r>
          </w:p>
        </w:tc>
      </w:tr>
      <w:tr>
        <w:trPr>
          <w:trHeight w:val="179"/>
        </w:trPr>
        <w:tc>
          <w:tcPr>
            <w:tcW w:w="380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Note</w:t>
            </w:r>
          </w:p>
        </w:tc>
        <w:tc>
          <w:tcPr>
            <w:tcW w:w="110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Paid-In Capital</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Comprehensive Loss</w:t>
            </w:r>
          </w:p>
        </w:tc>
        <w:tc>
          <w:tcPr>
            <w:tcW w:w="1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960" w:type="dxa"/>
            <w:vAlign w:val="bottom"/>
          </w:tcPr>
          <w:p>
            <w:pPr>
              <w:jc w:val="right"/>
              <w:ind w:right="290"/>
              <w:spacing w:after="0"/>
              <w:rPr>
                <w:sz w:val="20"/>
                <w:szCs w:val="20"/>
                <w:color w:val="auto"/>
              </w:rPr>
            </w:pPr>
            <w:r>
              <w:rPr>
                <w:rFonts w:ascii="Arial" w:cs="Arial" w:eastAsia="Arial" w:hAnsi="Arial"/>
                <w:sz w:val="14"/>
                <w:szCs w:val="14"/>
                <w:color w:val="auto"/>
              </w:rPr>
              <w:t>Equity</w:t>
            </w:r>
          </w:p>
        </w:tc>
      </w:tr>
      <w:tr>
        <w:trPr>
          <w:trHeight w:val="23"/>
        </w:trPr>
        <w:tc>
          <w:tcPr>
            <w:tcW w:w="3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128,138,311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643,269</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(498,172)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146,379</w:t>
            </w: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Issuance of common stock, net of issuance costs</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68,170,579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456,765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457,447</w:t>
            </w:r>
          </w:p>
        </w:tc>
      </w:tr>
      <w:tr>
        <w:trPr>
          <w:trHeight w:val="23"/>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warrants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1,866,758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w:t>
            </w: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Non-cash stock-based compensation</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7,700</w:t>
            </w:r>
          </w:p>
        </w:tc>
      </w:tr>
      <w:tr>
        <w:trPr>
          <w:trHeight w:val="23"/>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awards and related share issuances, net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3,813,014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(5,575)</w:t>
            </w: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23"/>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(59,203)</w:t>
            </w:r>
          </w:p>
        </w:tc>
      </w:tr>
      <w:tr>
        <w:trPr>
          <w:trHeight w:val="202"/>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201,988,662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1,103,224</w:t>
            </w: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(557,375)</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547,255</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1"/>
        </w:trPr>
        <w:tc>
          <w:tcPr>
            <w:tcW w:w="380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7"/>
              </w:rPr>
              <w:t>Issuance of common stock and common stock warrants, net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8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costs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33,333,336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138,675</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139,008</w:t>
            </w: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warrants</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stock-based compensation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17,419</w:t>
            </w: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Stock-based awards and related share issuances, net</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1,839,950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3"/>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w:t>
            </w: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(98,007)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(98,007)</w:t>
            </w:r>
          </w:p>
        </w:tc>
      </w:tr>
      <w:tr>
        <w:trPr>
          <w:trHeight w:val="23"/>
        </w:trPr>
        <w:tc>
          <w:tcPr>
            <w:tcW w:w="38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237,166,625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1,259,527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(655,382)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605,477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2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9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(98,007)</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(59,203)</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Impairment loss</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disposal of assets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(Gain) on forgiveness of SBA Loans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9,874</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11, 12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5,128</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Amortization of marketable securities premium</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Other noncash (income) expense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40" w:type="dxa"/>
            <w:vAlign w:val="bottom"/>
          </w:tcPr>
          <w:p>
            <w:pPr>
              <w:ind w:left="440"/>
              <w:spacing w:after="0"/>
              <w:rPr>
                <w:sz w:val="20"/>
                <w:szCs w:val="20"/>
                <w:color w:val="auto"/>
              </w:rPr>
            </w:pPr>
            <w:r>
              <w:rPr>
                <w:rFonts w:ascii="Arial" w:cs="Arial" w:eastAsia="Arial" w:hAnsi="Arial"/>
                <w:sz w:val="14"/>
                <w:szCs w:val="14"/>
                <w:color w:val="auto"/>
              </w:rPr>
              <w:t>Accounts receivable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Inventories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6"/>
        </w:trPr>
        <w:tc>
          <w:tcPr>
            <w:tcW w:w="694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 deposits and other assets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7, 13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(12,897)</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 accrued expenses and long-term liabilities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14, 15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9"/>
        </w:trPr>
        <w:tc>
          <w:tcPr>
            <w:tcW w:w="6940" w:type="dxa"/>
            <w:vAlign w:val="bottom"/>
          </w:tcPr>
          <w:p>
            <w:pPr>
              <w:ind w:left="640"/>
              <w:spacing w:after="0"/>
              <w:rPr>
                <w:sz w:val="20"/>
                <w:szCs w:val="20"/>
                <w:color w:val="auto"/>
              </w:rPr>
            </w:pPr>
            <w:r>
              <w:rPr>
                <w:rFonts w:ascii="Arial" w:cs="Arial" w:eastAsia="Arial" w:hAnsi="Arial"/>
                <w:sz w:val="14"/>
                <w:szCs w:val="14"/>
                <w:b w:val="1"/>
                <w:bCs w:val="1"/>
                <w:color w:val="auto"/>
              </w:rPr>
              <w:t>Net cash used in operating activities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(52,613)</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(48,271)</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Acquisitions of property, plant and equipment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(75,775)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(56,770)</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Acquisition of patent portfolio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Proceeds from sale and maturity of marketable securities</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299,581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79,574</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 of patents and license</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Purchase of marketable securities</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(130,402)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(424,992)</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(411,358)</w:t>
            </w:r>
          </w:p>
        </w:tc>
        <w:tc>
          <w:tcPr>
            <w:tcW w:w="0" w:type="dxa"/>
            <w:vAlign w:val="bottom"/>
          </w:tcPr>
          <w:p>
            <w:pPr>
              <w:spacing w:after="0"/>
              <w:rPr>
                <w:sz w:val="1"/>
                <w:szCs w:val="1"/>
                <w:color w:val="auto"/>
              </w:rPr>
            </w:pPr>
          </w:p>
        </w:tc>
      </w:tr>
      <w:tr>
        <w:trPr>
          <w:trHeight w:val="17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issuance of 2021 Bonds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68,995</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Debt and equity offering costs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(34,955)</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and common stock warrants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489,373</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Proceeds from exercise of warrants</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settlement of common stock under stock plans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186"/>
        </w:trPr>
        <w:tc>
          <w:tcPr>
            <w:tcW w:w="6940" w:type="dxa"/>
            <w:vAlign w:val="bottom"/>
          </w:tcPr>
          <w:p>
            <w:pPr>
              <w:ind w:left="240"/>
              <w:spacing w:after="0"/>
              <w:rPr>
                <w:sz w:val="20"/>
                <w:szCs w:val="20"/>
                <w:color w:val="auto"/>
              </w:rPr>
            </w:pPr>
            <w:r>
              <w:rPr>
                <w:rFonts w:ascii="Arial" w:cs="Arial" w:eastAsia="Arial" w:hAnsi="Arial"/>
                <w:sz w:val="14"/>
                <w:szCs w:val="14"/>
                <w:color w:val="auto"/>
              </w:rPr>
              <w:t>Payment of loans payable - other</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 of finance lease liabilities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9"/>
        </w:trPr>
        <w:tc>
          <w:tcPr>
            <w:tcW w:w="6940" w:type="dxa"/>
            <w:vAlign w:val="bottom"/>
          </w:tcPr>
          <w:p>
            <w:pPr>
              <w:ind w:left="640"/>
              <w:spacing w:after="0"/>
              <w:rPr>
                <w:sz w:val="20"/>
                <w:szCs w:val="20"/>
                <w:color w:val="auto"/>
              </w:rPr>
            </w:pPr>
            <w:r>
              <w:rPr>
                <w:rFonts w:ascii="Arial" w:cs="Arial" w:eastAsia="Arial" w:hAnsi="Arial"/>
                <w:sz w:val="14"/>
                <w:szCs w:val="14"/>
                <w:b w:val="1"/>
                <w:bCs w:val="1"/>
                <w:color w:val="auto"/>
              </w:rPr>
              <w:t>Net cash provided by financing activities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138,562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517,324</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179,343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57,695</w:t>
            </w:r>
          </w:p>
        </w:tc>
        <w:tc>
          <w:tcPr>
            <w:tcW w:w="0" w:type="dxa"/>
            <w:vAlign w:val="bottom"/>
          </w:tcPr>
          <w:p>
            <w:pPr>
              <w:spacing w:after="0"/>
              <w:rPr>
                <w:sz w:val="1"/>
                <w:szCs w:val="1"/>
                <w:color w:val="auto"/>
              </w:rPr>
            </w:pP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136,033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78,338</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315,376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136,033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 of cash, cash equivalents and restricted cash</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237,125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40,833</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77,219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70,168</w:t>
            </w:r>
          </w:p>
        </w:tc>
        <w:tc>
          <w:tcPr>
            <w:tcW w:w="0" w:type="dxa"/>
            <w:vAlign w:val="bottom"/>
          </w:tcPr>
          <w:p>
            <w:pPr>
              <w:spacing w:after="0"/>
              <w:rPr>
                <w:sz w:val="1"/>
                <w:szCs w:val="1"/>
                <w:color w:val="auto"/>
              </w:rPr>
            </w:pPr>
          </w:p>
        </w:tc>
      </w:tr>
      <w:tr>
        <w:trPr>
          <w:trHeight w:val="202"/>
        </w:trPr>
        <w:tc>
          <w:tcPr>
            <w:tcW w:w="8180" w:type="dxa"/>
            <w:vAlign w:val="bottom"/>
          </w:tcPr>
          <w:p>
            <w:pPr>
              <w:ind w:left="28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315,376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136,033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and non-cash investing and financing transactions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 net of amounts capitalized</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Non-cash purchase of property, plant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20,287</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Right-of-use asset purchased with financing leases</w:t>
            </w: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Right-of-use asset purchased with operating lease</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interest capitalized to construction in progress</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3"/>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Financial Condition and Basis of Presentation</w:t>
      </w:r>
    </w:p>
    <w:p>
      <w:pPr>
        <w:spacing w:after="0" w:line="255" w:lineRule="exact"/>
        <w:rPr>
          <w:sz w:val="20"/>
          <w:szCs w:val="20"/>
          <w:color w:val="auto"/>
        </w:rPr>
      </w:pPr>
    </w:p>
    <w:p>
      <w:pPr>
        <w:jc w:val="both"/>
        <w:ind w:right="260" w:firstLine="470"/>
        <w:spacing w:after="0" w:line="272"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Gevo, Inc. (Nasdaq: GEVO) ("Gevo", "we", "us", "our", or the "Company," which, unless otherwise indicated, refers to Gevo, Inc.</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subsidiaries), a Delaware corporation founded in 2005, is a growth-oriented company with the mission of solving greenhouse gas ("GHG") emissions for those sectors of the transportation industry that are not amenable to electrification or hydrogen.</w:t>
      </w:r>
    </w:p>
    <w:p>
      <w:pPr>
        <w:spacing w:after="0" w:line="198" w:lineRule="exact"/>
        <w:rPr>
          <w:sz w:val="20"/>
          <w:szCs w:val="20"/>
          <w:color w:val="auto"/>
        </w:rPr>
      </w:pPr>
    </w:p>
    <w:p>
      <w:pPr>
        <w:ind w:right="60" w:firstLine="470"/>
        <w:spacing w:after="0" w:line="282" w:lineRule="auto"/>
        <w:rPr>
          <w:sz w:val="20"/>
          <w:szCs w:val="20"/>
          <w:color w:val="auto"/>
        </w:rPr>
      </w:pPr>
      <w:r>
        <w:rPr>
          <w:rFonts w:ascii="Arial" w:cs="Arial" w:eastAsia="Arial" w:hAnsi="Arial"/>
          <w:sz w:val="16"/>
          <w:szCs w:val="16"/>
          <w:color w:val="auto"/>
        </w:rPr>
        <w:t>The Company is focused on transforming renewable energy into energy-dense liquid drop-in hydrocarbons that can be used as renewable fuels, such as sustainable aviation fuel ("SAF") and other fuels and chemicals, with the potential to achieve a “net-zero” GHG footprint. The Company uses the Argonne National Laboratory’s GREET (Greenhouse gases, Regulated Emissions, and Energy use in Transportation) model (the "GREET Model") to measure, predict and verify GHG emissions across the life-cycle of its products. The “net-zero” concept means Gevo expects that by using sustainably grown feedstock (i.e.,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spacing w:after="0" w:line="193"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Gevo's primary market focus, given current demand and growing customer interest, is SAF. The Company believes it also has commercial opportunities for other renewable hydrocarbon products, such as (i) renewable natural gas (“RNG”) , (ii) hydrocarbons for gasoline blendstocks and diesel fuel, and (iii) plastics, materials and other chemicals.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Net-Zero Projects</w:t>
      </w:r>
    </w:p>
    <w:p>
      <w:pPr>
        <w:spacing w:after="0" w:line="255"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(e.g., photosynthetic, wind, RNG,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burnt as a fuel for cars, planes, trucks and ships.</w:t>
      </w:r>
    </w:p>
    <w:p>
      <w:pPr>
        <w:spacing w:after="0" w:line="206" w:lineRule="exact"/>
        <w:rPr>
          <w:sz w:val="20"/>
          <w:szCs w:val="20"/>
          <w:color w:val="auto"/>
        </w:rPr>
      </w:pPr>
    </w:p>
    <w:p>
      <w:pPr>
        <w:ind w:right="160" w:firstLine="470"/>
        <w:spacing w:after="0" w:line="284" w:lineRule="auto"/>
        <w:rPr>
          <w:sz w:val="20"/>
          <w:szCs w:val="20"/>
          <w:color w:val="auto"/>
        </w:rPr>
      </w:pPr>
      <w:r>
        <w:rPr>
          <w:rFonts w:ascii="Arial" w:cs="Arial" w:eastAsia="Arial" w:hAnsi="Arial"/>
          <w:sz w:val="16"/>
          <w:szCs w:val="16"/>
          <w:color w:val="auto"/>
        </w:rPr>
        <w:t>Our initial Net-Zero Project, Net-Zero 1 (“NZ1"), is located in Lake Preston, South Dakota, and is being currently designed to produce approximately 62 million gallons per year ("MGPY") of total hydrocarbon volumes, including 55 MGPY of SAF. Along with the hydrocarbons, NZ1 is being currently designed to produce approximately 475 million pounds per year of high-value protein products for use in the food chain and more than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Renewable Natural Gas Project</w:t>
      </w:r>
    </w:p>
    <w:p>
      <w:pPr>
        <w:spacing w:after="0" w:line="242"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Gevo's RNG project in Northwest Iowa ("NW Iowa RNG") is owned by Gevo NW Iowa RNG, LLC, and produces RNG captured from dairy cow manure. The manure is supplied by three local dairies that have over 20,000 milking cows in total with additional milking cows expected pursuant to agreements executed during the second quarter of 2022. Animal manure can be digested anaerobically to produce biogas, which is then upgraded to pipeline quality gas referred to as RNG. Gevo NW Iowa RNG, LLC sells the produced RNG to the California market through an agreement with BP Canada Energy Marketing Corp. and BP Products North America Inc. (collectively, "BP").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Luverne Facility</w:t>
      </w:r>
    </w:p>
    <w:p>
      <w:pPr>
        <w:spacing w:after="0" w:line="242" w:lineRule="exact"/>
        <w:rPr>
          <w:sz w:val="20"/>
          <w:szCs w:val="20"/>
          <w:color w:val="auto"/>
        </w:rPr>
      </w:pPr>
    </w:p>
    <w:p>
      <w:pPr>
        <w:ind w:firstLine="470"/>
        <w:spacing w:after="0" w:line="271" w:lineRule="auto"/>
        <w:rPr>
          <w:sz w:val="20"/>
          <w:szCs w:val="20"/>
          <w:color w:val="auto"/>
        </w:rPr>
      </w:pPr>
      <w:r>
        <w:rPr>
          <w:rFonts w:ascii="Arial" w:cs="Arial" w:eastAsia="Arial" w:hAnsi="Arial"/>
          <w:sz w:val="16"/>
          <w:szCs w:val="16"/>
          <w:color w:val="auto"/>
        </w:rPr>
        <w:t>Gevo's development plant in Luverne, Minnesota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Currently, the activities at the Luverne Facility are minimized to care and maintenance, as the Company has shifted focus to the Net-Zero Projects.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340" w:firstLine="470"/>
        <w:spacing w:after="0" w:line="272" w:lineRule="auto"/>
        <w:rPr>
          <w:sz w:val="20"/>
          <w:szCs w:val="20"/>
          <w:color w:val="auto"/>
        </w:rPr>
      </w:pPr>
      <w:r>
        <w:rPr>
          <w:rFonts w:ascii="Arial" w:cs="Arial" w:eastAsia="Arial" w:hAnsi="Arial"/>
          <w:sz w:val="17"/>
          <w:szCs w:val="17"/>
          <w:i w:val="1"/>
          <w:iCs w:val="1"/>
          <w:color w:val="auto"/>
        </w:rPr>
        <w:t>Financial Condition</w:t>
      </w:r>
      <w:r>
        <w:rPr>
          <w:rFonts w:ascii="Arial" w:cs="Arial" w:eastAsia="Arial" w:hAnsi="Arial"/>
          <w:sz w:val="17"/>
          <w:szCs w:val="17"/>
          <w:color w:val="auto"/>
        </w:rPr>
        <w:t>. The Company has incurred consolidated net losses since inception and had a significant accumulated deficit as of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The Company’s cash and cash equivalents totaled $237.1 million, short and long-term restricted cash totaled $78.3 million and marketable securities totaled $167.4 million as of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55"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i w:val="1"/>
          <w:iCs w:val="1"/>
          <w:color w:val="auto"/>
        </w:rPr>
        <w:t>Principles of Consolidation</w:t>
      </w:r>
      <w:r>
        <w:rPr>
          <w:rFonts w:ascii="Arial" w:cs="Arial" w:eastAsia="Arial" w:hAnsi="Arial"/>
          <w:sz w:val="17"/>
          <w:szCs w:val="17"/>
          <w:color w:val="auto"/>
        </w:rPr>
        <w:t>. The Consolidated Financial Statements of Gevo include the accounts of its wholly-owned subsidiaries. All intercompany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and transactions have been eliminated in consolidation.</w:t>
      </w:r>
    </w:p>
    <w:p>
      <w:pPr>
        <w:spacing w:after="0" w:line="184" w:lineRule="exact"/>
        <w:rPr>
          <w:sz w:val="20"/>
          <w:szCs w:val="20"/>
          <w:color w:val="auto"/>
        </w:rPr>
      </w:pPr>
    </w:p>
    <w:p>
      <w:pPr>
        <w:jc w:val="both"/>
        <w:ind w:right="100" w:firstLine="470"/>
        <w:spacing w:after="0" w:line="296" w:lineRule="auto"/>
        <w:rPr>
          <w:sz w:val="20"/>
          <w:szCs w:val="20"/>
          <w:color w:val="auto"/>
        </w:rPr>
      </w:pPr>
      <w:r>
        <w:rPr>
          <w:rFonts w:ascii="Arial" w:cs="Arial" w:eastAsia="Arial" w:hAnsi="Arial"/>
          <w:sz w:val="15"/>
          <w:szCs w:val="15"/>
          <w:i w:val="1"/>
          <w:iCs w:val="1"/>
          <w:color w:val="auto"/>
        </w:rPr>
        <w:t xml:space="preserve">Basis of Presentation. </w:t>
      </w:r>
      <w:r>
        <w:rPr>
          <w:rFonts w:ascii="Arial" w:cs="Arial" w:eastAsia="Arial" w:hAnsi="Arial"/>
          <w:sz w:val="15"/>
          <w:szCs w:val="15"/>
          <w:color w:val="auto"/>
        </w:rPr>
        <w:t>The Consolidated Financial Statements of the Company (which include the accounts of its wholly-owned subsidiaries Gevo Asset,</w:t>
      </w:r>
      <w:r>
        <w:rPr>
          <w:rFonts w:ascii="Arial" w:cs="Arial" w:eastAsia="Arial" w:hAnsi="Arial"/>
          <w:sz w:val="15"/>
          <w:szCs w:val="15"/>
          <w:i w:val="1"/>
          <w:iCs w:val="1"/>
          <w:color w:val="auto"/>
        </w:rPr>
        <w:t xml:space="preserve"> </w:t>
      </w:r>
      <w:r>
        <w:rPr>
          <w:rFonts w:ascii="Arial" w:cs="Arial" w:eastAsia="Arial" w:hAnsi="Arial"/>
          <w:sz w:val="15"/>
          <w:szCs w:val="15"/>
          <w:color w:val="auto"/>
        </w:rPr>
        <w:t>LLC, Gevo RNG Holdco, LLC, Gevo NW Iowa RNG, LLC, Gevo Net-Zero HoldCo, LLC, Gevo Net-Zero 1</w:t>
      </w:r>
      <w:r>
        <w:rPr>
          <w:rFonts w:ascii="Arial" w:cs="Arial" w:eastAsia="Arial" w:hAnsi="Arial"/>
          <w:sz w:val="15"/>
          <w:szCs w:val="15"/>
          <w:i w:val="1"/>
          <w:iCs w:val="1"/>
          <w:color w:val="auto"/>
        </w:rPr>
        <w:t>,</w:t>
      </w:r>
      <w:r>
        <w:rPr>
          <w:rFonts w:ascii="Arial" w:cs="Arial" w:eastAsia="Arial" w:hAnsi="Arial"/>
          <w:sz w:val="15"/>
          <w:szCs w:val="15"/>
          <w:color w:val="auto"/>
        </w:rPr>
        <w:t xml:space="preserve"> LLC and Agri-Energy, LLC) have been prepared pursuant to the rules and regulations of the U.S. Securities and Exchange Commission (the "SEC") and accounting principles generally accepted in the U.S.</w:t>
      </w:r>
    </w:p>
    <w:p>
      <w:pPr>
        <w:spacing w:after="0" w:line="1"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("U.S. GAAP") for complete financial statements. These statements reflect all normal and recurring adjustments which, in the opinion of management, are necessary to present fairly the financial position, results of operations and cash flows of the Company at December 31, 2022</w:t>
      </w:r>
      <w:r>
        <w:rPr>
          <w:rFonts w:ascii="Arial" w:cs="Arial" w:eastAsia="Arial" w:hAnsi="Arial"/>
          <w:sz w:val="17"/>
          <w:szCs w:val="17"/>
          <w:i w:val="1"/>
          <w:iCs w:val="1"/>
          <w:color w:val="auto"/>
        </w:rPr>
        <w:t>.</w:t>
      </w:r>
    </w:p>
    <w:p>
      <w:pPr>
        <w:spacing w:after="0" w:line="197" w:lineRule="exact"/>
        <w:rPr>
          <w:sz w:val="20"/>
          <w:szCs w:val="20"/>
          <w:color w:val="auto"/>
        </w:rPr>
      </w:pPr>
    </w:p>
    <w:p>
      <w:pPr>
        <w:ind w:right="320" w:firstLine="470"/>
        <w:spacing w:after="0" w:line="297"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The Company reclassified certain prior period amounts to conform to the current period presentation. The reclassifications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removing a redundant subtotal, cost of goods sold, to align with industry peers and the categorization of depreciation and amortization on the Consolidated Statements of Operations, which had no impact on total revenues, total operating expenses, net loss or stockholders' equity for any period.</w:t>
      </w:r>
    </w:p>
    <w:p>
      <w:pPr>
        <w:spacing w:after="0" w:line="179" w:lineRule="exact"/>
        <w:rPr>
          <w:sz w:val="20"/>
          <w:szCs w:val="20"/>
          <w:color w:val="auto"/>
        </w:rPr>
      </w:pPr>
    </w:p>
    <w:p>
      <w:pPr>
        <w:ind w:right="120" w:firstLine="470"/>
        <w:spacing w:after="0" w:line="297"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79" w:lineRule="exact"/>
        <w:rPr>
          <w:sz w:val="20"/>
          <w:szCs w:val="20"/>
          <w:color w:val="auto"/>
        </w:rPr>
      </w:pPr>
    </w:p>
    <w:p>
      <w:pPr>
        <w:jc w:val="both"/>
        <w:ind w:right="80" w:firstLine="470"/>
        <w:spacing w:after="0" w:line="272" w:lineRule="auto"/>
        <w:rPr>
          <w:sz w:val="20"/>
          <w:szCs w:val="20"/>
          <w:color w:val="auto"/>
        </w:rPr>
      </w:pPr>
      <w:r>
        <w:rPr>
          <w:rFonts w:ascii="Arial" w:cs="Arial" w:eastAsia="Arial" w:hAnsi="Arial"/>
          <w:sz w:val="17"/>
          <w:szCs w:val="17"/>
          <w:i w:val="1"/>
          <w:iCs w:val="1"/>
          <w:color w:val="auto"/>
        </w:rPr>
        <w:t>Concentrations of Credit Risk</w:t>
      </w:r>
      <w:r>
        <w:rPr>
          <w:rFonts w:ascii="Arial" w:cs="Arial" w:eastAsia="Arial" w:hAnsi="Arial"/>
          <w:sz w:val="17"/>
          <w:szCs w:val="17"/>
          <w:color w:val="auto"/>
        </w:rPr>
        <w:t>. The Company’s financial instruments that are exposed to concentrations of credit risk consist of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in excess of the federally insured limits. The Company’s cash and cash equivalents are deposited with high credit-quality financial institutions and are primarily in demand deposit accounts and money market funds.</w:t>
      </w:r>
    </w:p>
    <w:p>
      <w:pPr>
        <w:spacing w:after="0" w:line="198"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Cash, Cash Equivalents and Restricted Cash</w:t>
      </w:r>
      <w:r>
        <w:rPr>
          <w:rFonts w:ascii="Arial" w:cs="Arial" w:eastAsia="Arial" w:hAnsi="Arial"/>
          <w:sz w:val="17"/>
          <w:szCs w:val="17"/>
          <w:color w:val="auto"/>
        </w:rPr>
        <w:t>. The Company maintains its cash and cash equivalents in highly liquid interest-bearing money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or non-interest-bearing demand accounts. The Company considers all highly liquid investments purchased with a maturity of three months or less at the date of acquisition to be cash equivalents. Restricted cash is classified as current or non-current based on the terms of the underlying agreements and represents cash held as deposits and cash collateral for financial letters of credit.</w:t>
      </w:r>
    </w:p>
    <w:p>
      <w:pPr>
        <w:spacing w:after="0" w:line="202"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The Company’s marketable securities consist of marketable debt securities and have been classified and accounted for as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available-for-sale. Management determines the appropriate classification of its investments at the time of purchase and reevaluates the classifications at each balance sheet date. 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 The Company’s marketable securities are carried at fair value, with unrealized gains and losses, net of taxes, reported as a component of accumulated other comprehensive loss in shareholders’ equity, with the exception of unrealized losses believed to be other-than-temporary, which are reported in earnings in the current period.</w:t>
      </w:r>
    </w:p>
    <w:p>
      <w:pPr>
        <w:spacing w:after="0" w:line="211" w:lineRule="exact"/>
        <w:rPr>
          <w:sz w:val="20"/>
          <w:szCs w:val="20"/>
          <w:color w:val="auto"/>
        </w:rPr>
      </w:pPr>
    </w:p>
    <w:p>
      <w:pPr>
        <w:jc w:val="both"/>
        <w:ind w:right="280" w:firstLine="470"/>
        <w:spacing w:after="0" w:line="272" w:lineRule="auto"/>
        <w:rPr>
          <w:sz w:val="20"/>
          <w:szCs w:val="20"/>
          <w:color w:val="auto"/>
        </w:rPr>
      </w:pPr>
      <w:r>
        <w:rPr>
          <w:rFonts w:ascii="Arial" w:cs="Arial" w:eastAsia="Arial" w:hAnsi="Arial"/>
          <w:sz w:val="17"/>
          <w:szCs w:val="17"/>
          <w:i w:val="1"/>
          <w:iCs w:val="1"/>
          <w:color w:val="auto"/>
        </w:rPr>
        <w:t>Trade Accounts Receivable, net</w:t>
      </w:r>
      <w:r>
        <w:rPr>
          <w:rFonts w:ascii="Arial" w:cs="Arial" w:eastAsia="Arial" w:hAnsi="Arial"/>
          <w:sz w:val="17"/>
          <w:szCs w:val="17"/>
          <w:color w:val="auto"/>
        </w:rPr>
        <w:t>. The Company records receivables for products shipped and services provided but for which payment has not yet been</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In evaluating its allowance for doubtful accounts for accounts receivable, the Company performs ongoing reviews of its outstanding receivables to determine if any amounts are uncollectible and adjusts the allowance for doubtful accounts accordingly.</w:t>
      </w:r>
    </w:p>
    <w:p>
      <w:pPr>
        <w:spacing w:after="0" w:line="198" w:lineRule="exact"/>
        <w:rPr>
          <w:sz w:val="20"/>
          <w:szCs w:val="20"/>
          <w:color w:val="auto"/>
        </w:rPr>
      </w:pPr>
    </w:p>
    <w:p>
      <w:pPr>
        <w:ind w:right="100" w:firstLine="470"/>
        <w:spacing w:after="0" w:line="324" w:lineRule="auto"/>
        <w:rPr>
          <w:sz w:val="20"/>
          <w:szCs w:val="20"/>
          <w:color w:val="auto"/>
        </w:rPr>
      </w:pPr>
      <w:r>
        <w:rPr>
          <w:rFonts w:ascii="Arial" w:cs="Arial" w:eastAsia="Arial" w:hAnsi="Arial"/>
          <w:sz w:val="15"/>
          <w:szCs w:val="15"/>
          <w:i w:val="1"/>
          <w:iCs w:val="1"/>
          <w:color w:val="auto"/>
        </w:rPr>
        <w:t>Inventories</w:t>
      </w:r>
      <w:r>
        <w:rPr>
          <w:rFonts w:ascii="Arial" w:cs="Arial" w:eastAsia="Arial" w:hAnsi="Arial"/>
          <w:sz w:val="15"/>
          <w:szCs w:val="15"/>
          <w:color w:val="auto"/>
        </w:rPr>
        <w:t>. Inventory is recorded at net realizable value. Isobutanol and ethanol inventory cost consists of the applicable share of raw material, direct</w:t>
      </w:r>
      <w:r>
        <w:rPr>
          <w:rFonts w:ascii="Arial" w:cs="Arial" w:eastAsia="Arial" w:hAnsi="Arial"/>
          <w:sz w:val="15"/>
          <w:szCs w:val="15"/>
          <w:i w:val="1"/>
          <w:iCs w:val="1"/>
          <w:color w:val="auto"/>
        </w:rPr>
        <w:t xml:space="preserve"> </w:t>
      </w:r>
      <w:r>
        <w:rPr>
          <w:rFonts w:ascii="Arial" w:cs="Arial" w:eastAsia="Arial" w:hAnsi="Arial"/>
          <w:sz w:val="15"/>
          <w:szCs w:val="15"/>
          <w:color w:val="auto"/>
        </w:rPr>
        <w:t>labor and manufacturing overhead. Work in process inventory includes unfinished SAF, isooctane and isooctene inventory. Spare Parts inventory consists of the parts required to maintain and operate the Company’s Luverne Facility and is recorded at cost. For each reporting period, the Company reviews the value 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inventories on hand to estimate the recoverability through future sales. The Company reduces its inventories with adjustments for lower of cost or net realizable value, with cost determined by the average cost method.</w:t>
      </w:r>
    </w:p>
    <w:p>
      <w:pPr>
        <w:spacing w:after="0" w:line="184"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i w:val="1"/>
          <w:iCs w:val="1"/>
          <w:color w:val="auto"/>
        </w:rPr>
        <w:t xml:space="preserve">Environmental Attribute Inventory. </w:t>
      </w:r>
      <w:r>
        <w:rPr>
          <w:rFonts w:ascii="Arial" w:cs="Arial" w:eastAsia="Arial" w:hAnsi="Arial"/>
          <w:sz w:val="16"/>
          <w:szCs w:val="16"/>
          <w:color w:val="auto"/>
        </w:rPr>
        <w:t>The Company generates D3 Renewable Identification Numbers ("RINs") and Low Carbon Fuel Standard ("LCFS")</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(collectively, "environmental attributes") through the production of RNG used for transportation purposes as prescribed under the Renewable Fuels Standard program ("RFS"). Environmental attribute inventory is included as a component of "Inventories" on the Consolidated Balance Sheets. The Company considers environmental attributes to be a distinguishable product that is generated as an integral component of the production process of RNG as the environmental attributes that are generated can be separated from the underlying commodity and may be sold independently from the RNG produced. As such, the Company considers environmental attributes to be a co-product of the production of RNG and accordingly allocates the costs of production based on the relative sales value of all revenue items for the NW Iowa RNG operations. The value of the environmental attributes is reviewed for potential write-downs based on the net realizable value methodology. Revenue is recognized on these environmental attributes when there is an agreement in place to monetize the credits at an agreed upon price with a customer based upon defined third party market prices and a transfer of control has occurred.</w:t>
      </w:r>
    </w:p>
    <w:p>
      <w:pPr>
        <w:spacing w:after="0" w:line="199"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i w:val="1"/>
          <w:iCs w:val="1"/>
          <w:color w:val="auto"/>
        </w:rPr>
        <w:t>Property, Plant and Equipment</w:t>
      </w:r>
      <w:r>
        <w:rPr>
          <w:rFonts w:ascii="Arial" w:cs="Arial" w:eastAsia="Arial" w:hAnsi="Arial"/>
          <w:sz w:val="17"/>
          <w:szCs w:val="17"/>
          <w:color w:val="auto"/>
        </w:rPr>
        <w:t>. Property, plant and equipment are recorded at cost less accumulated depreciation and amortization. Leasehold</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spacing w:after="0" w:line="202" w:lineRule="exact"/>
        <w:rPr>
          <w:sz w:val="20"/>
          <w:szCs w:val="20"/>
          <w:color w:val="auto"/>
        </w:rPr>
      </w:pPr>
    </w:p>
    <w:p>
      <w:pPr>
        <w:jc w:val="both"/>
        <w:ind w:right="620" w:firstLine="470"/>
        <w:spacing w:after="0" w:line="272" w:lineRule="auto"/>
        <w:rPr>
          <w:sz w:val="20"/>
          <w:szCs w:val="20"/>
          <w:color w:val="auto"/>
        </w:rPr>
      </w:pPr>
      <w:r>
        <w:rPr>
          <w:rFonts w:ascii="Arial" w:cs="Arial" w:eastAsia="Arial" w:hAnsi="Arial"/>
          <w:sz w:val="17"/>
          <w:szCs w:val="17"/>
          <w:i w:val="1"/>
          <w:iCs w:val="1"/>
          <w:color w:val="auto"/>
        </w:rPr>
        <w:t xml:space="preserve">Construction in Progress. </w:t>
      </w:r>
      <w:r>
        <w:rPr>
          <w:rFonts w:ascii="Arial" w:cs="Arial" w:eastAsia="Arial" w:hAnsi="Arial"/>
          <w:sz w:val="17"/>
          <w:szCs w:val="17"/>
          <w:color w:val="auto"/>
        </w:rPr>
        <w:t>Construction in progress represents expenditures necessary to bring an asset, project, new facilities or equipment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and location necessary for its intended use and are capitalized and recorded at cost. Once completed and ready for its intended use, the asset is transferred to property, plant and equipment to be depreciated or amortized.</w:t>
      </w:r>
    </w:p>
    <w:p>
      <w:pPr>
        <w:spacing w:after="0" w:line="198"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Capitalized costs are depreciated or amortized using the straight-line method at rates sufficient to depreciate such costs</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shorter of estimated productive lives of such assets or the useful life of the individual assets. The estimates of productive lives may change, possibly in the near term, resulting in changes to depreciation and amortization rates in future reporting periods.</w:t>
      </w:r>
    </w:p>
    <w:p>
      <w:pPr>
        <w:spacing w:after="0" w:line="185" w:lineRule="exact"/>
        <w:rPr>
          <w:sz w:val="20"/>
          <w:szCs w:val="20"/>
          <w:color w:val="auto"/>
        </w:rPr>
      </w:pPr>
    </w:p>
    <w:p>
      <w:pPr>
        <w:ind w:right="40" w:firstLine="470"/>
        <w:spacing w:after="0" w:line="251"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The Company evaluates the recoverability of the recorded amount of long-lived assets, including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licenses, patents, operating lease right-of-use assets, and finance lease right-of-use assets when events or changes in circumstances indicate that their carrying amount may not be recoverable. The carrying amount of a long-lived asset is considered to be impaired if it exceeds the sum of the undiscounted cash flows expected to result from the use and eventual disposition of the assets. If the Company determines that an asset is impaired, it measures the impairment to be recognized as the amount by which the recorded amount of the asset exceeds its fair value. A summary of impairment losses on tangible and intangible assets for the years ended December 31, 2022 and 2021 is included in Note 4, Asset Impairment.</w:t>
      </w:r>
    </w:p>
    <w:p>
      <w:pPr>
        <w:spacing w:after="0" w:line="218" w:lineRule="exact"/>
        <w:rPr>
          <w:sz w:val="20"/>
          <w:szCs w:val="20"/>
          <w:color w:val="auto"/>
        </w:rPr>
      </w:pPr>
    </w:p>
    <w:p>
      <w:pPr>
        <w:ind w:right="140" w:firstLine="470"/>
        <w:spacing w:after="0" w:line="261" w:lineRule="auto"/>
        <w:rPr>
          <w:sz w:val="20"/>
          <w:szCs w:val="20"/>
          <w:color w:val="auto"/>
        </w:rPr>
      </w:pPr>
      <w:r>
        <w:rPr>
          <w:rFonts w:ascii="Arial" w:cs="Arial" w:eastAsia="Arial" w:hAnsi="Arial"/>
          <w:sz w:val="17"/>
          <w:szCs w:val="17"/>
          <w:i w:val="1"/>
          <w:iCs w:val="1"/>
          <w:color w:val="auto"/>
        </w:rPr>
        <w:t xml:space="preserve">Leases, Right-of-Use Assets and Related Liabilities. </w:t>
      </w:r>
      <w:r>
        <w:rPr>
          <w:rFonts w:ascii="Arial" w:cs="Arial" w:eastAsia="Arial" w:hAnsi="Arial"/>
          <w:sz w:val="17"/>
          <w:szCs w:val="17"/>
          <w:color w:val="auto"/>
        </w:rPr>
        <w:t>The Company enters into various arrangements which constitute a lease as defined by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Codification ("ASC") 842, Leases,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211"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If a lease does not meet any of these criteria, the lease is classified as an operating lease.</w:t>
      </w:r>
    </w:p>
    <w:p>
      <w:pPr>
        <w:spacing w:after="0" w:line="2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color w:val="auto"/>
        </w:rPr>
        <w:t>adjusted for any lease payments made to the lessor at or before the lease commencement date less any lease incentives received. All right-of-use assets are evaluated for impairment in accordance with accounting standards applicable to long-lived assets.</w:t>
      </w:r>
    </w:p>
    <w:p>
      <w:pPr>
        <w:spacing w:after="0" w:line="184"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Renewal options are included in the calculation of our right-of-use assets and lease liabilities when the Company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spacing w:after="0" w:line="202"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98"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The Company has elected the practical expedient to account for the lease and non-lease components as a single lease component for its corporate office lease asset class.</w:t>
      </w:r>
    </w:p>
    <w:p>
      <w:pPr>
        <w:spacing w:after="0" w:line="184" w:lineRule="exact"/>
        <w:rPr>
          <w:sz w:val="20"/>
          <w:szCs w:val="20"/>
          <w:color w:val="auto"/>
        </w:rPr>
      </w:pPr>
    </w:p>
    <w:p>
      <w:pPr>
        <w:ind w:right="40" w:firstLine="470"/>
        <w:spacing w:after="0" w:line="284" w:lineRule="auto"/>
        <w:rPr>
          <w:sz w:val="20"/>
          <w:szCs w:val="20"/>
          <w:color w:val="auto"/>
        </w:rPr>
      </w:pPr>
      <w:r>
        <w:rPr>
          <w:rFonts w:ascii="Arial" w:cs="Arial" w:eastAsia="Arial" w:hAnsi="Arial"/>
          <w:sz w:val="16"/>
          <w:szCs w:val="16"/>
          <w:color w:val="auto"/>
        </w:rPr>
        <w:t>Effective October 1, 2022, the Company made the voluntary determination to change its accounting policy covering the application of the practical expedient under ASC 842, Leases. Under the new accounting policy, the Company will account for lease components separately from non-lease components for the Company’s dairy lease asset class. The Company voluntarily elected this acceptable change in accounting policy effective October 1, 2022. The Company believes the change is preferable as it provides the most useful and transparent financial information and improves comparability and consistency of financial information, resulting in improved financial reporting and alignment with financial information used internally by management.</w:t>
      </w:r>
    </w:p>
    <w:p>
      <w:pPr>
        <w:spacing w:after="0" w:line="192"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The total consideration in the lease agreement will be allocated to the lease and non-lease components based on their relative standalone selling prices. Under the previous treatment, all amounts paid to the lessor under these arrangements for use of the land and cow manure were classified as lease payments and included in the calculation of the right-of-use assets and lease liabilities.</w:t>
      </w:r>
    </w:p>
    <w:p>
      <w:pPr>
        <w:spacing w:after="0" w:line="198"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The Company has retrospectively adopted this change in accounting policy described above and has provided the appropriate disclosures as required in ASC 250-10, see Note 9 Leases.</w:t>
      </w:r>
    </w:p>
    <w:p>
      <w:pPr>
        <w:spacing w:after="0" w:line="184"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Intangible assets consist of patents. Costs related to patents, including legal fees, are capitalized and amortized over the estimated useful</w:t>
      </w:r>
      <w:r>
        <w:rPr>
          <w:rFonts w:ascii="Arial" w:cs="Arial" w:eastAsia="Arial" w:hAnsi="Arial"/>
          <w:sz w:val="16"/>
          <w:szCs w:val="16"/>
          <w:i w:val="1"/>
          <w:iCs w:val="1"/>
          <w:color w:val="auto"/>
        </w:rPr>
        <w:t xml:space="preserve"> </w:t>
      </w:r>
      <w:r>
        <w:rPr>
          <w:rFonts w:ascii="Arial" w:cs="Arial" w:eastAsia="Arial" w:hAnsi="Arial"/>
          <w:sz w:val="16"/>
          <w:szCs w:val="16"/>
          <w:color w:val="auto"/>
        </w:rPr>
        <w:t>lives using the straight-line method. Amortization expense is recorded in "Depreciation and amortization" in the Operating expenses section of the Consolidated Statements of Operations. For patents purchased in an asset acquisition, the useful life is determined by valuation estimates of remaining economic life. The patents are included in "Intangible assets, net" on the Consolidated Balance Sheets. The Company periodically evaluates the amortization period and carrying value of its patents to determine whether any events or circumstances warrant revised estimated useful life or reduction in value.</w:t>
      </w:r>
    </w:p>
    <w:p>
      <w:pPr>
        <w:spacing w:after="0" w:line="192" w:lineRule="exact"/>
        <w:rPr>
          <w:sz w:val="20"/>
          <w:szCs w:val="20"/>
          <w:color w:val="auto"/>
        </w:rPr>
      </w:pPr>
    </w:p>
    <w:p>
      <w:pPr>
        <w:ind w:right="40" w:firstLine="470"/>
        <w:spacing w:after="0" w:line="304" w:lineRule="auto"/>
        <w:rPr>
          <w:sz w:val="20"/>
          <w:szCs w:val="20"/>
          <w:color w:val="auto"/>
        </w:rPr>
      </w:pPr>
      <w:r>
        <w:rPr>
          <w:rFonts w:ascii="Arial" w:cs="Arial" w:eastAsia="Arial" w:hAnsi="Arial"/>
          <w:sz w:val="15"/>
          <w:szCs w:val="15"/>
          <w:i w:val="1"/>
          <w:iCs w:val="1"/>
          <w:color w:val="auto"/>
        </w:rPr>
        <w:t xml:space="preserve">Borrowing Costs. </w:t>
      </w:r>
      <w:r>
        <w:rPr>
          <w:rFonts w:ascii="Arial" w:cs="Arial" w:eastAsia="Arial" w:hAnsi="Arial"/>
          <w:sz w:val="15"/>
          <w:szCs w:val="15"/>
          <w:color w:val="auto"/>
        </w:rPr>
        <w:t>The borrowing costs that are directly attributable to the acquisition and construction of an asset that needs a substantially long period of</w:t>
      </w:r>
      <w:r>
        <w:rPr>
          <w:rFonts w:ascii="Arial" w:cs="Arial" w:eastAsia="Arial" w:hAnsi="Arial"/>
          <w:sz w:val="15"/>
          <w:szCs w:val="15"/>
          <w:i w:val="1"/>
          <w:iCs w:val="1"/>
          <w:color w:val="auto"/>
        </w:rPr>
        <w:t xml:space="preserve"> </w:t>
      </w:r>
      <w:r>
        <w:rPr>
          <w:rFonts w:ascii="Arial" w:cs="Arial" w:eastAsia="Arial" w:hAnsi="Arial"/>
          <w:sz w:val="15"/>
          <w:szCs w:val="15"/>
          <w:color w:val="auto"/>
        </w:rPr>
        <w:t>time for its intended use to begin are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borrowing costs ceases when the asset under acquisition or construction becomes ready for its intended use and the borrowing costs incurred thereafter are recognized in profit or loss for the current period. The capitalization of borrowing costs is suspended during periods in which the acquisition or construction of an asset is interrupted abnormally and the interruption lasts for more than three months, until the acquisition or construction is resumed.</w:t>
      </w:r>
    </w:p>
    <w:p>
      <w:pPr>
        <w:spacing w:after="0" w:line="179" w:lineRule="exact"/>
        <w:rPr>
          <w:sz w:val="20"/>
          <w:szCs w:val="20"/>
          <w:color w:val="auto"/>
        </w:rPr>
      </w:pPr>
    </w:p>
    <w:p>
      <w:pPr>
        <w:ind w:right="100" w:firstLine="470"/>
        <w:spacing w:after="0" w:line="307" w:lineRule="auto"/>
        <w:rPr>
          <w:sz w:val="20"/>
          <w:szCs w:val="20"/>
          <w:color w:val="auto"/>
        </w:rPr>
      </w:pPr>
      <w:r>
        <w:rPr>
          <w:rFonts w:ascii="Arial" w:cs="Arial" w:eastAsia="Arial" w:hAnsi="Arial"/>
          <w:sz w:val="15"/>
          <w:szCs w:val="15"/>
          <w:i w:val="1"/>
          <w:iCs w:val="1"/>
          <w:color w:val="auto"/>
        </w:rPr>
        <w:t>Debt Issuance Costs and Debt Discounts/Premiums</w:t>
      </w:r>
      <w:r>
        <w:rPr>
          <w:rFonts w:ascii="Arial" w:cs="Arial" w:eastAsia="Arial" w:hAnsi="Arial"/>
          <w:sz w:val="15"/>
          <w:szCs w:val="15"/>
          <w:color w:val="auto"/>
        </w:rPr>
        <w:t>. Debt issuance costs are costs with third parties incurred in connection with the Company’s debt</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financings that have been capitalized and are being amortized over the stated maturity period or estimated life of the related debt using the effective interest method. Debt issuance costs are presented 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issuance costs, discounts and premiums is included in interest expense.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Warrants are classified as a component of permanent equity when they are freestanding financial instruments that are legally detachable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separately exercisable from the shares of common stock with which they were issued, are immediately exercisable, do not embody an obligation for the Company to repurchase its shares, permit the holders to receive a fixed number of shares of common stock upon exercise and do not provide any guarantee of value or return.</w:t>
      </w:r>
    </w:p>
    <w:p>
      <w:pPr>
        <w:spacing w:after="0" w:line="202" w:lineRule="exact"/>
        <w:rPr>
          <w:sz w:val="20"/>
          <w:szCs w:val="20"/>
          <w:color w:val="auto"/>
        </w:rPr>
      </w:pPr>
    </w:p>
    <w:p>
      <w:pPr>
        <w:ind w:right="80" w:firstLine="470"/>
        <w:spacing w:after="0" w:line="29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Company recognizes revenue in accordance with ASC 606, Revenue from Contracts with Customers (“ASC 606”).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Company’s point in time product sales is recognized when products are transferred, or services are invoiced and control transferred. The Company has presented the disclosures required by ASC 606, see Note 3, Revenues from contracts with customers and other revenues.</w:t>
      </w:r>
    </w:p>
    <w:p>
      <w:pPr>
        <w:spacing w:after="0" w:line="179" w:lineRule="exact"/>
        <w:rPr>
          <w:sz w:val="20"/>
          <w:szCs w:val="20"/>
          <w:color w:val="auto"/>
        </w:rPr>
      </w:pPr>
    </w:p>
    <w:p>
      <w:pPr>
        <w:ind w:right="80" w:firstLine="470"/>
        <w:spacing w:after="0" w:line="284" w:lineRule="auto"/>
        <w:rPr>
          <w:sz w:val="20"/>
          <w:szCs w:val="20"/>
          <w:color w:val="auto"/>
        </w:rPr>
      </w:pPr>
      <w:r>
        <w:rPr>
          <w:rFonts w:ascii="Arial" w:cs="Arial" w:eastAsia="Arial" w:hAnsi="Arial"/>
          <w:sz w:val="16"/>
          <w:szCs w:val="16"/>
          <w:i w:val="1"/>
          <w:iCs w:val="1"/>
          <w:color w:val="auto"/>
        </w:rPr>
        <w:t>Cost of Production</w:t>
      </w:r>
      <w:r>
        <w:rPr>
          <w:rFonts w:ascii="Arial" w:cs="Arial" w:eastAsia="Arial" w:hAnsi="Arial"/>
          <w:sz w:val="16"/>
          <w:szCs w:val="16"/>
          <w:color w:val="auto"/>
        </w:rPr>
        <w:t>. Cost of production includes costs incurred in operations for the production of RNG and isobutanol, as well as costs for direct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direct labor and certain plant overhead costs, and plant utilities including natural gas and wind power. Direct materials consist of dextrose for initial production of isobutanol, corn feedstock, manure feedstock, denaturant, and process chemicals. Direct labor includes compensation of personnel directly involved in production operations. Plant overhead costs primarily consist of plant utilities. The Company purchases natural gas and wind power to power steam generation in the production process and to dry the distillers grains, a by-product of ethanol and related products production.</w:t>
      </w:r>
    </w:p>
    <w:p>
      <w:pPr>
        <w:spacing w:after="0" w:line="192"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are expensed as incurred. The Company’s research and development costs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incurred to identify, develop, and test its technologies for the production of isobutanol and the development of downstream applications thereof. Research and development expense includes personnel costs (including stock-based compensation), consultants and related contract research, facility costs, supplies, license fees and milestone payments paid to third parties for use of their intellectual property and patent rights and other direct and allocated expenses incurred to support the Company’s overall research and development programs.</w:t>
      </w:r>
    </w:p>
    <w:p>
      <w:pPr>
        <w:spacing w:after="0" w:line="206" w:lineRule="exact"/>
        <w:rPr>
          <w:sz w:val="20"/>
          <w:szCs w:val="20"/>
          <w:color w:val="auto"/>
        </w:rPr>
      </w:pPr>
    </w:p>
    <w:p>
      <w:pPr>
        <w:ind w:right="180" w:firstLine="470"/>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are expensed as incurred. The Company's general and administrative costs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(including stock-based compensation), consulting and service provider expenses (including patent counsel-related costs), legal fees, marketing costs, insurance costs, occupancy-related costs, travel and relocation expenses and hiring expenses.</w:t>
      </w:r>
    </w:p>
    <w:p>
      <w:pPr>
        <w:spacing w:after="0" w:line="198"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i w:val="1"/>
          <w:iCs w:val="1"/>
          <w:color w:val="auto"/>
        </w:rPr>
        <w:t xml:space="preserve">Project Development Costs. </w:t>
      </w:r>
      <w:r>
        <w:rPr>
          <w:rFonts w:ascii="Arial" w:cs="Arial" w:eastAsia="Arial" w:hAnsi="Arial"/>
          <w:sz w:val="17"/>
          <w:szCs w:val="17"/>
          <w:color w:val="auto"/>
        </w:rPr>
        <w:t>Project development costs consist of consulting, preliminary engineering costs, and personnel costs, including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w:t>
      </w:r>
    </w:p>
    <w:p>
      <w:pPr>
        <w:spacing w:after="0" w:line="18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The Company’s stock-based compensation expense includes expenses associated with share-based awards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board members. Our stock-based compensation is classified as either an equity award or a liability award in accordance with U.S. GAAP. The fair value of an equity-classified award is determined at the grant date and is amortized on a straight-line basis over the requisite service period. The fair-value of a liability-classified award is determined on a quarterly basis through the final vesting date and is amortized based on the current fair value of the award and the percentage of vesting period incurred to date.</w:t>
      </w:r>
    </w:p>
    <w:p>
      <w:pPr>
        <w:spacing w:after="0" w:line="206"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color w:val="auto"/>
        </w:rPr>
        <w:t>The grant date fair value for stock option awards is estimated using the Black-Scholes option pricing model and the grant date fair value for restricted stock awards is based upon the closing price of the Company’s common stock on the date of grant. The Company recognizes compensation costs for share-based payment awards granted to employees net of actual forfeitures and recognizes stock-based compensation expense for only those awards expected to vest on a straight-line basis over the requisite service period of the award, which is currently the vesting term of up to three years.</w:t>
      </w:r>
    </w:p>
    <w:p>
      <w:pPr>
        <w:spacing w:after="0" w:line="188"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The Company accounts for stock-based employee compensation plans under the fair value recognition and measurement provisions in accordance with applicable accounting standards, which require all stock-based payments to employees, including grants of stock options and restricted stock awards, to be measured based on the grant date fair value of the awards, with the resulting expense generally recognized on a straight-line basis over the period during which the employee is required to perform service in exchange for the award.</w:t>
      </w:r>
    </w:p>
    <w:p>
      <w:pPr>
        <w:spacing w:after="0" w:line="202" w:lineRule="exact"/>
        <w:rPr>
          <w:sz w:val="20"/>
          <w:szCs w:val="20"/>
          <w:color w:val="auto"/>
        </w:rPr>
      </w:pPr>
    </w:p>
    <w:p>
      <w:pPr>
        <w:ind w:right="680" w:firstLine="470"/>
        <w:spacing w:after="0" w:line="288" w:lineRule="auto"/>
        <w:rPr>
          <w:sz w:val="20"/>
          <w:szCs w:val="20"/>
          <w:color w:val="auto"/>
        </w:rPr>
      </w:pPr>
      <w:r>
        <w:rPr>
          <w:rFonts w:ascii="Arial" w:cs="Arial" w:eastAsia="Arial" w:hAnsi="Arial"/>
          <w:sz w:val="17"/>
          <w:szCs w:val="17"/>
          <w:color w:val="auto"/>
        </w:rPr>
        <w:t>Stock-based compensation expense related to restricted stock awards and stock options are recorded net of actual forfeitures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Liability awards are subject to variable accounting treatment, such that they are remeasured at fair value each reporting period through the Consolidated Statements of Operations. Any impact of forfeitures are based on actual forfeitures, although not affecting the fair value measurement of the awards, and are reflected at that time as well.</w:t>
      </w:r>
    </w:p>
    <w:p>
      <w:pPr>
        <w:spacing w:after="0" w:line="198"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 preparing the Consolidated Financial Statements, the Company estimates the actual amount of taxes currently payable or receivable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deferred tax assets and liabilities attributable to temporary differences between the financial statement carrying amounts of existing assets and liabilities and their respective tax bases. Deferred tax assets and liabilities are measured using currently enacted tax rates in effect in the years in which those temporary differences are expected to reverse. Deferred tax assets are be reduced by a valuation allowance if, based on the weight of available evidence, it is more likely than not that some portion or all of the deferred tax assets will not be realized. Changes in deferred tax assets and liabilities generally have a direct impact on earnings in the period of the changes. Where applicable tax laws and regulations are either unclear or subject to varying interpretations, it is possible that changes in these estimates could occur that materially affect the amounts of deferred income tax assets and liabilities recorded in the Consolidated Financial Statements.</w:t>
      </w:r>
    </w:p>
    <w:p>
      <w:pPr>
        <w:spacing w:after="0" w:line="207"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 xml:space="preserve">Each period, we evaluate the likelihood of whether or not some portion or all of each deferred tax asset will be realized and provide a valuation allowance for those deferred tax assets for which it is more likely than </w:t>
      </w:r>
      <w:r>
        <w:rPr>
          <w:rFonts w:ascii="Arial" w:cs="Arial" w:eastAsia="Arial" w:hAnsi="Arial"/>
          <w:sz w:val="16"/>
          <w:szCs w:val="16"/>
          <w:i w:val="1"/>
          <w:iCs w:val="1"/>
          <w:color w:val="auto"/>
        </w:rPr>
        <w:t>not</w:t>
      </w:r>
      <w:r>
        <w:rPr>
          <w:rFonts w:ascii="Arial" w:cs="Arial" w:eastAsia="Arial" w:hAnsi="Arial"/>
          <w:sz w:val="16"/>
          <w:szCs w:val="16"/>
          <w:color w:val="auto"/>
        </w:rPr>
        <w:t xml:space="preserve"> that the related benefits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realized. When evaluating our valuation allowance, we consider historic and future expected levels of taxable income, the pattern and timing of reversals of taxable temporary timing differences that give rise to deferred tax liabilities, and tax planning initiatives. Levels of future taxable income are affected by, among other things, production costs, interest rates, and federal and local legislation. If we determine that all or a portion of the deferred tax assets will not be realized, a valuation allowance will be recorded with a charge to income tax expense. Conversely, if we determine that we will ultimately be able to realize all or a portion of the related benefits for which a valuation allowance has been provided, all or a portion of the related valuation allowance will be reduced with a credit to income tax expense.</w:t>
      </w:r>
    </w:p>
    <w:p>
      <w:pPr>
        <w:spacing w:after="0" w:line="19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In addition, the calculation of income tax expense involves significant management estimation and judgment involving a number of assumptions. In determining these amounts, management interprets tax legislation in each of the jurisdictions in which we operate and makes estimates of the expected timing of the reversal of future tax assets and liabilities. We also make assumptions about future earnings, tax planning strategies and the extent to which potential future tax benefits will be used. We are also subject to assessments by various taxation authorities which may interpret tax legislation differently, which could affect the final amount or the timing of tax payments.</w:t>
      </w:r>
    </w:p>
    <w:p>
      <w:pPr>
        <w:spacing w:after="0" w:line="206"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49" w:lineRule="exact"/>
        <w:rPr>
          <w:sz w:val="20"/>
          <w:szCs w:val="20"/>
          <w:color w:val="auto"/>
        </w:rPr>
      </w:pPr>
    </w:p>
    <w:p>
      <w:pPr>
        <w:ind w:right="60" w:firstLine="470"/>
        <w:spacing w:after="0" w:line="282" w:lineRule="auto"/>
        <w:rPr>
          <w:sz w:val="20"/>
          <w:szCs w:val="20"/>
          <w:color w:val="auto"/>
        </w:rPr>
      </w:pPr>
      <w:r>
        <w:rPr>
          <w:rFonts w:ascii="Arial" w:cs="Arial" w:eastAsia="Arial" w:hAnsi="Arial"/>
          <w:sz w:val="16"/>
          <w:szCs w:val="16"/>
          <w:i w:val="1"/>
          <w:iCs w:val="1"/>
          <w:color w:val="auto"/>
        </w:rPr>
        <w:t xml:space="preserve">Government Assistance Disclosures. </w:t>
      </w:r>
      <w:r>
        <w:rPr>
          <w:rFonts w:ascii="Arial" w:cs="Arial" w:eastAsia="Arial" w:hAnsi="Arial"/>
          <w:sz w:val="16"/>
          <w:szCs w:val="16"/>
          <w:color w:val="auto"/>
        </w:rPr>
        <w:t>In November 2021, the FASB issued ASU 2021-10, Disclosures by Business Entities about Government Assistance</w:t>
      </w:r>
      <w:r>
        <w:rPr>
          <w:rFonts w:ascii="Arial" w:cs="Arial" w:eastAsia="Arial" w:hAnsi="Arial"/>
          <w:sz w:val="16"/>
          <w:szCs w:val="16"/>
          <w:i w:val="1"/>
          <w:iCs w:val="1"/>
          <w:color w:val="auto"/>
        </w:rPr>
        <w:t xml:space="preserve"> </w:t>
      </w:r>
      <w:r>
        <w:rPr>
          <w:rFonts w:ascii="Arial" w:cs="Arial" w:eastAsia="Arial" w:hAnsi="Arial"/>
          <w:sz w:val="16"/>
          <w:szCs w:val="16"/>
          <w:color w:val="auto"/>
        </w:rPr>
        <w:t>(“ASU 2021-10”). ASU 2021-10 details financial reporting disclosure requirements that increase the transparency of transactions with a government accounted for by applying a grant or contribution accounting model by analogy. The new guidance is effective for annual periods beginning after December 15, 2021 and interim reporting periods within those reporting periods. The Company adopted the new standard as of January 1, 2022, which did not have an impact on the Company’s disclosures related to governmental grants or an impact to the results of operations and financial position as of the adoption date. See Note 15, Debt, for additional disclosures related to the Small Business Administration’s Paycheck Protection Program ("SBA PPP").</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3. Revenues from Contracts with Customers and Other Revenue</w:t>
      </w:r>
    </w:p>
    <w:p>
      <w:pPr>
        <w:spacing w:after="0" w:line="255" w:lineRule="exact"/>
        <w:rPr>
          <w:sz w:val="20"/>
          <w:szCs w:val="20"/>
          <w:color w:val="auto"/>
        </w:rPr>
      </w:pPr>
    </w:p>
    <w:p>
      <w:pPr>
        <w:ind w:right="120" w:firstLine="470"/>
        <w:spacing w:after="0" w:line="313" w:lineRule="auto"/>
        <w:rPr>
          <w:sz w:val="20"/>
          <w:szCs w:val="20"/>
          <w:color w:val="auto"/>
        </w:rPr>
      </w:pPr>
      <w:r>
        <w:rPr>
          <w:rFonts w:ascii="Arial" w:cs="Arial" w:eastAsia="Arial" w:hAnsi="Arial"/>
          <w:sz w:val="15"/>
          <w:szCs w:val="15"/>
          <w:color w:val="auto"/>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as the customer obtains control of the product upon delivery. The Company generally has a single performance obligation in our arrangements with customers. The Company’s performance obligation related to the sales of RNG and related environmental attributes are satisfied at a point in time upon delivery to the customer.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The Company recognized $0.6 million of revenue from the sale of RNG during the year ended December 31, 2022 and recognized $0.2 million from the sale of environmental attributes during the year ended December 31, 2022.</w:t>
      </w:r>
    </w:p>
    <w:p>
      <w:pPr>
        <w:spacing w:after="0" w:line="202" w:lineRule="exact"/>
        <w:rPr>
          <w:sz w:val="20"/>
          <w:szCs w:val="20"/>
          <w:color w:val="auto"/>
        </w:rPr>
      </w:pPr>
    </w:p>
    <w:p>
      <w:pPr>
        <w:jc w:val="both"/>
        <w:ind w:right="80" w:firstLine="470"/>
        <w:spacing w:after="0" w:line="288" w:lineRule="auto"/>
        <w:rPr>
          <w:sz w:val="20"/>
          <w:szCs w:val="20"/>
          <w:color w:val="auto"/>
        </w:rPr>
      </w:pPr>
      <w:r>
        <w:rPr>
          <w:rFonts w:ascii="Arial" w:cs="Arial" w:eastAsia="Arial" w:hAnsi="Arial"/>
          <w:sz w:val="16"/>
          <w:szCs w:val="16"/>
          <w:color w:val="auto"/>
        </w:rPr>
        <w:t>The Company recorded limited revenues from its development-scale plant, the Luverne Facility, during each of the years ended December 31, 2022, and 2021.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spacing w:after="0" w:line="188" w:lineRule="exact"/>
        <w:rPr>
          <w:sz w:val="20"/>
          <w:szCs w:val="20"/>
          <w:color w:val="auto"/>
        </w:rPr>
      </w:pPr>
    </w:p>
    <w:p>
      <w:pPr>
        <w:ind w:right="640" w:firstLine="470"/>
        <w:spacing w:after="0" w:line="288" w:lineRule="auto"/>
        <w:rPr>
          <w:sz w:val="20"/>
          <w:szCs w:val="20"/>
          <w:color w:val="auto"/>
        </w:rPr>
      </w:pPr>
      <w:r>
        <w:rPr>
          <w:rFonts w:ascii="Arial" w:cs="Arial" w:eastAsia="Arial" w:hAnsi="Arial"/>
          <w:sz w:val="17"/>
          <w:szCs w:val="17"/>
          <w:color w:val="auto"/>
        </w:rPr>
        <w:t>The following tables display the Company’s revenue by major source based on product type for the years ended December 31, 2022 and 2021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7"/>
                <w:szCs w:val="17"/>
                <w:b w:val="1"/>
                <w:bCs w:val="1"/>
                <w:color w:val="auto"/>
              </w:rPr>
              <w:t>Year Ended December 31,</w:t>
            </w:r>
          </w:p>
        </w:tc>
      </w:tr>
      <w:tr>
        <w:trPr>
          <w:trHeight w:val="241"/>
        </w:trPr>
        <w:tc>
          <w:tcPr>
            <w:tcW w:w="7400" w:type="dxa"/>
            <w:vAlign w:val="bottom"/>
            <w:tcBorders>
              <w:bottom w:val="single" w:sz="8" w:color="auto"/>
            </w:tcBorders>
          </w:tcPr>
          <w:p>
            <w:pPr>
              <w:ind w:left="2720"/>
              <w:spacing w:after="0"/>
              <w:rPr>
                <w:sz w:val="20"/>
                <w:szCs w:val="20"/>
                <w:color w:val="auto"/>
              </w:rPr>
            </w:pPr>
            <w:r>
              <w:rPr>
                <w:rFonts w:ascii="Arial" w:cs="Arial" w:eastAsia="Arial" w:hAnsi="Arial"/>
                <w:sz w:val="17"/>
                <w:szCs w:val="17"/>
                <w:b w:val="1"/>
                <w:bCs w:val="1"/>
                <w:color w:val="auto"/>
              </w:rPr>
              <w:t>Major Goods/Service Line</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2021</w:t>
            </w:r>
          </w:p>
        </w:tc>
      </w:tr>
      <w:tr>
        <w:trPr>
          <w:trHeight w:val="248"/>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Ethanol sales and related products, net</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42"/>
        </w:trPr>
        <w:tc>
          <w:tcPr>
            <w:tcW w:w="7500" w:type="dxa"/>
            <w:vAlign w:val="bottom"/>
            <w:gridSpan w:val="2"/>
          </w:tcPr>
          <w:p>
            <w:pPr>
              <w:ind w:left="20"/>
              <w:spacing w:after="0"/>
              <w:rPr>
                <w:sz w:val="20"/>
                <w:szCs w:val="20"/>
                <w:color w:val="auto"/>
              </w:rPr>
            </w:pPr>
            <w:r>
              <w:rPr>
                <w:rFonts w:ascii="Arial" w:cs="Arial" w:eastAsia="Arial" w:hAnsi="Arial"/>
                <w:sz w:val="17"/>
                <w:szCs w:val="17"/>
                <w:color w:val="auto"/>
              </w:rPr>
              <w:t>Hydrocarbon revenue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483</w:t>
            </w:r>
          </w:p>
        </w:tc>
      </w:tr>
      <w:tr>
        <w:trPr>
          <w:trHeight w:val="25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Renewable natural gas commodity</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Environmental attribute revenue</w:t>
            </w: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revenue</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All goods transferred are tested to ensure that the product sold satisfies the contractual product specifications prior to transfer. The customer obtains control of the goods when title and risk of loss for the goods has transferred. All material contracts have payment terms of between one to three months and there are no return or refund rights.</w:t>
      </w:r>
    </w:p>
    <w:p>
      <w:pPr>
        <w:spacing w:after="0" w:line="198" w:lineRule="exact"/>
        <w:rPr>
          <w:sz w:val="20"/>
          <w:szCs w:val="20"/>
          <w:color w:val="auto"/>
        </w:rPr>
      </w:pPr>
    </w:p>
    <w:p>
      <w:pPr>
        <w:jc w:val="both"/>
        <w:ind w:right="80" w:firstLine="470"/>
        <w:spacing w:after="0" w:line="288" w:lineRule="auto"/>
        <w:rPr>
          <w:sz w:val="20"/>
          <w:szCs w:val="20"/>
          <w:color w:val="auto"/>
        </w:rPr>
      </w:pPr>
      <w:r>
        <w:rPr>
          <w:rFonts w:ascii="Arial" w:cs="Arial" w:eastAsia="Arial" w:hAnsi="Arial"/>
          <w:sz w:val="16"/>
          <w:szCs w:val="16"/>
          <w:i w:val="1"/>
          <w:iCs w:val="1"/>
          <w:color w:val="auto"/>
        </w:rPr>
        <w:t xml:space="preserve">Contract Assets and Trade Receivables. </w:t>
      </w:r>
      <w:r>
        <w:rPr>
          <w:rFonts w:ascii="Arial" w:cs="Arial" w:eastAsia="Arial" w:hAnsi="Arial"/>
          <w:sz w:val="16"/>
          <w:szCs w:val="16"/>
          <w:color w:val="auto"/>
        </w:rPr>
        <w:t>As of December 31, 2022 and 2021, there were no contract assets or liabilities as all customer amounts owed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are unconditional and the Company does not receive payment in advance for its products. Accordingly, amounts owed by customers are included in "Trade accounts receivable, net" on the Company’s Consolidated Balance Sheets. In addition, due to the nature of the Company’s contracts, there are no costs incurred or to be paid in the future that qualify for asset recognition as a cost to fulfill or obtain a contract.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Asset Impairment</w:t>
      </w:r>
    </w:p>
    <w:p>
      <w:pPr>
        <w:spacing w:after="0" w:line="255" w:lineRule="exact"/>
        <w:rPr>
          <w:sz w:val="20"/>
          <w:szCs w:val="20"/>
          <w:color w:val="auto"/>
        </w:rPr>
      </w:pPr>
    </w:p>
    <w:p>
      <w:pPr>
        <w:jc w:val="both"/>
        <w:ind w:right="120" w:firstLine="470"/>
        <w:spacing w:after="0" w:line="260" w:lineRule="auto"/>
        <w:rPr>
          <w:sz w:val="20"/>
          <w:szCs w:val="20"/>
          <w:color w:val="auto"/>
        </w:rPr>
      </w:pPr>
      <w:r>
        <w:rPr>
          <w:rFonts w:ascii="Arial" w:cs="Arial" w:eastAsia="Arial" w:hAnsi="Arial"/>
          <w:sz w:val="17"/>
          <w:szCs w:val="17"/>
          <w:color w:val="auto"/>
        </w:rPr>
        <w:t>During the year ended December 31, 2022, the Company recorded a $24.7 million impairment loss on long-lived assets, to reduce the carrying value of certain property, plant, and equipment, and a leased right of use ("ROU") asset, at the Agri-Energy, LLC ("Agri-Energy") segment to its fair value. The impairments recorded to date relate to the decision to suspend production at the Luverne Facility and shift the plant into an idled, care and maintenance status during the third quarter of 2022. As a result of this change in use, combined with a sustained history of operating losses, the Company assessed that indicators of impairment were present for long-lived assets within its Agri-Energy reporting segment. The Company therefore performed impairment testing and determined that the carrying amounts of certain property plant and equipment and the leased ROU asset exceeded estimated fair values. The Company estimated the fair value of these asset groups generally using a cost approach which is based on replacement or reproduction costs of the assets and is considered a Level 2 measurement and recorded a corresponding impairment loss under Operating Expenses within the Consolidated Statements of Operations.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were no impairment losses recorded during the year ended December 31, 2021.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Net Loss per Share</w:t>
      </w:r>
    </w:p>
    <w:p>
      <w:pPr>
        <w:spacing w:after="0" w:line="255" w:lineRule="exact"/>
        <w:rPr>
          <w:sz w:val="20"/>
          <w:szCs w:val="20"/>
          <w:color w:val="auto"/>
        </w:rPr>
      </w:pPr>
    </w:p>
    <w:p>
      <w:pPr>
        <w:ind w:right="60" w:firstLine="470"/>
        <w:spacing w:after="0" w:line="324" w:lineRule="auto"/>
        <w:rPr>
          <w:sz w:val="20"/>
          <w:szCs w:val="20"/>
          <w:color w:val="auto"/>
        </w:rPr>
      </w:pPr>
      <w:r>
        <w:rPr>
          <w:rFonts w:ascii="Arial" w:cs="Arial" w:eastAsia="Arial" w:hAnsi="Arial"/>
          <w:sz w:val="15"/>
          <w:szCs w:val="15"/>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obtained from the exercise were used to purchase common shares at the average market price during the period. None of the Company's stock options or other dilutive securities are considered to be dilutive in periods with net losses.</w:t>
      </w:r>
    </w:p>
    <w:p>
      <w:pPr>
        <w:spacing w:after="0" w:line="184" w:lineRule="exact"/>
        <w:rPr>
          <w:sz w:val="20"/>
          <w:szCs w:val="20"/>
          <w:color w:val="auto"/>
        </w:rPr>
      </w:pPr>
    </w:p>
    <w:p>
      <w:pPr>
        <w:jc w:val="both"/>
        <w:ind w:right="240" w:firstLine="470"/>
        <w:spacing w:after="0" w:line="267" w:lineRule="auto"/>
        <w:rPr>
          <w:sz w:val="20"/>
          <w:szCs w:val="20"/>
          <w:color w:val="auto"/>
        </w:rPr>
      </w:pPr>
      <w:r>
        <w:rPr>
          <w:rFonts w:ascii="Arial" w:cs="Arial" w:eastAsia="Arial" w:hAnsi="Arial"/>
          <w:sz w:val="17"/>
          <w:szCs w:val="17"/>
          <w:color w:val="auto"/>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1,675,741 and 4,911,841 of potentially dilutive common stock equivalents have been excluded for the years ended December 31, 2022 and 2021,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80" w:type="dxa"/>
            <w:vAlign w:val="bottom"/>
          </w:tcPr>
          <w:p>
            <w:pPr>
              <w:ind w:left="480"/>
              <w:spacing w:after="0"/>
              <w:rPr>
                <w:sz w:val="20"/>
                <w:szCs w:val="20"/>
                <w:color w:val="auto"/>
              </w:rPr>
            </w:pPr>
            <w:r>
              <w:rPr>
                <w:rFonts w:ascii="Arial" w:cs="Arial" w:eastAsia="Arial" w:hAnsi="Arial"/>
                <w:sz w:val="17"/>
                <w:szCs w:val="17"/>
                <w:color w:val="auto"/>
              </w:rPr>
              <w:t>Basic and diluted net loss per share is calculated as follows (net loss 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0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7"/>
                <w:szCs w:val="17"/>
                <w:b w:val="1"/>
                <w:bCs w:val="1"/>
                <w:color w:val="auto"/>
              </w:rPr>
              <w:t>Year Ended 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(59,203)</w:t>
            </w:r>
          </w:p>
        </w:tc>
      </w:tr>
      <w:tr>
        <w:trPr>
          <w:trHeight w:val="24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Basic weighted-average shares outstanding</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221,537,262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195,794,606</w:t>
            </w:r>
          </w:p>
        </w:tc>
      </w:tr>
      <w:tr>
        <w:trPr>
          <w:trHeight w:val="27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 basic and diluted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Marketable Securities</w:t>
      </w:r>
    </w:p>
    <w:p>
      <w:pPr>
        <w:spacing w:after="0" w:line="255"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 Company's investments in marketable securities are stated at fair value and are available-for-sale. The following table summarizes the Company's investments in marketable securities (in thousands) as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97"/>
              </w:rPr>
              <w:t>December 31, 2022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63"/>
        </w:trPr>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3"/>
              </w:rPr>
              <w:t>Amortized Cost</w:t>
            </w:r>
          </w:p>
        </w:tc>
        <w:tc>
          <w:tcPr>
            <w:tcW w:w="1560" w:type="dxa"/>
            <w:vAlign w:val="bottom"/>
            <w:gridSpan w:val="3"/>
          </w:tcPr>
          <w:p>
            <w:pPr>
              <w:jc w:val="center"/>
              <w:ind w:right="80"/>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5"/>
        </w:trPr>
        <w:tc>
          <w:tcPr>
            <w:tcW w:w="4840" w:type="dxa"/>
            <w:vAlign w:val="bottom"/>
          </w:tcPr>
          <w:p>
            <w:pPr>
              <w:spacing w:after="0"/>
              <w:rPr>
                <w:sz w:val="20"/>
                <w:szCs w:val="20"/>
                <w:color w:val="auto"/>
              </w:rPr>
            </w:pPr>
          </w:p>
        </w:tc>
        <w:tc>
          <w:tcPr>
            <w:tcW w:w="1800" w:type="dxa"/>
            <w:vAlign w:val="bottom"/>
            <w:gridSpan w:val="2"/>
          </w:tcPr>
          <w:p>
            <w:pPr>
              <w:ind w:left="520"/>
              <w:spacing w:after="0"/>
              <w:rPr>
                <w:sz w:val="20"/>
                <w:szCs w:val="20"/>
                <w:color w:val="auto"/>
              </w:rPr>
            </w:pPr>
            <w:r>
              <w:rPr>
                <w:rFonts w:ascii="Arial" w:cs="Arial" w:eastAsia="Arial" w:hAnsi="Arial"/>
                <w:sz w:val="17"/>
                <w:szCs w:val="17"/>
                <w:b w:val="1"/>
                <w:bCs w:val="1"/>
                <w:color w:val="auto"/>
              </w:rPr>
              <w:t>Maturity</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3"/>
              </w:rPr>
              <w:t>Basis</w:t>
            </w:r>
          </w:p>
        </w:tc>
        <w:tc>
          <w:tcPr>
            <w:tcW w:w="30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1"/>
              </w:rPr>
              <w:t>Losses</w:t>
            </w:r>
          </w:p>
        </w:tc>
        <w:tc>
          <w:tcPr>
            <w:tcW w:w="240" w:type="dxa"/>
            <w:vAlign w:val="bottom"/>
          </w:tcPr>
          <w:p>
            <w:pPr>
              <w:spacing w:after="0"/>
              <w:rPr>
                <w:sz w:val="20"/>
                <w:szCs w:val="20"/>
                <w:color w:val="auto"/>
              </w:rPr>
            </w:pPr>
          </w:p>
        </w:tc>
        <w:tc>
          <w:tcPr>
            <w:tcW w:w="1240" w:type="dxa"/>
            <w:vAlign w:val="bottom"/>
          </w:tcPr>
          <w:p>
            <w:pPr>
              <w:jc w:val="right"/>
              <w:ind w:right="253"/>
              <w:spacing w:after="0"/>
              <w:rPr>
                <w:sz w:val="20"/>
                <w:szCs w:val="20"/>
                <w:color w:val="auto"/>
              </w:rPr>
            </w:pPr>
            <w:r>
              <w:rPr>
                <w:rFonts w:ascii="Arial" w:cs="Arial" w:eastAsia="Arial" w:hAnsi="Arial"/>
                <w:sz w:val="17"/>
                <w:szCs w:val="17"/>
                <w:b w:val="1"/>
                <w:bCs w:val="1"/>
                <w:color w:val="auto"/>
              </w:rPr>
              <w:t>Fair Value</w:t>
            </w:r>
          </w:p>
        </w:tc>
      </w:tr>
      <w:tr>
        <w:trPr>
          <w:trHeight w:val="20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2"/>
        </w:trPr>
        <w:tc>
          <w:tcPr>
            <w:tcW w:w="4840" w:type="dxa"/>
            <w:vAlign w:val="bottom"/>
          </w:tcPr>
          <w:p>
            <w:pPr>
              <w:ind w:left="24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56,418</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(344)</w:t>
            </w: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56,074</w:t>
            </w:r>
          </w:p>
        </w:tc>
      </w:tr>
      <w:tr>
        <w:trPr>
          <w:trHeight w:val="222"/>
        </w:trPr>
        <w:tc>
          <w:tcPr>
            <w:tcW w:w="4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111,334</w:t>
            </w:r>
          </w:p>
        </w:tc>
      </w:tr>
      <w:tr>
        <w:trPr>
          <w:trHeight w:val="215"/>
        </w:trPr>
        <w:tc>
          <w:tcPr>
            <w:tcW w:w="4840" w:type="dxa"/>
            <w:vAlign w:val="bottom"/>
          </w:tcPr>
          <w:p>
            <w:pPr>
              <w:ind w:left="34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168,448</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167,408</w:t>
            </w:r>
          </w:p>
        </w:tc>
      </w:tr>
      <w:tr>
        <w:trPr>
          <w:trHeight w:val="20"/>
        </w:trPr>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97"/>
              </w:rPr>
              <w:t>December 31, 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1" w:lineRule="exact"/>
              <w:rPr>
                <w:sz w:val="20"/>
                <w:szCs w:val="20"/>
                <w:color w:val="auto"/>
              </w:rPr>
            </w:pPr>
            <w:r>
              <w:rPr>
                <w:rFonts w:ascii="Arial" w:cs="Arial" w:eastAsia="Arial" w:hAnsi="Arial"/>
                <w:sz w:val="17"/>
                <w:szCs w:val="17"/>
                <w:b w:val="1"/>
                <w:bCs w:val="1"/>
                <w:color w:val="auto"/>
                <w:w w:val="93"/>
              </w:rPr>
              <w:t>Amortized Cost</w:t>
            </w:r>
          </w:p>
        </w:tc>
        <w:tc>
          <w:tcPr>
            <w:tcW w:w="1560" w:type="dxa"/>
            <w:vAlign w:val="bottom"/>
            <w:gridSpan w:val="3"/>
          </w:tcPr>
          <w:p>
            <w:pPr>
              <w:jc w:val="center"/>
              <w:ind w:right="80"/>
              <w:spacing w:after="0" w:line="171" w:lineRule="exact"/>
              <w:rPr>
                <w:sz w:val="20"/>
                <w:szCs w:val="20"/>
                <w:color w:val="auto"/>
              </w:rPr>
            </w:pPr>
            <w:r>
              <w:rPr>
                <w:rFonts w:ascii="Arial" w:cs="Arial" w:eastAsia="Arial" w:hAnsi="Arial"/>
                <w:sz w:val="17"/>
                <w:szCs w:val="17"/>
                <w:b w:val="1"/>
                <w:bCs w:val="1"/>
                <w:color w:val="auto"/>
                <w:w w:val="91"/>
              </w:rPr>
              <w:t>Gross Unrealized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7"/>
        </w:trPr>
        <w:tc>
          <w:tcPr>
            <w:tcW w:w="4260" w:type="dxa"/>
            <w:vAlign w:val="bottom"/>
          </w:tcPr>
          <w:p>
            <w:pPr>
              <w:spacing w:after="0"/>
              <w:rPr>
                <w:sz w:val="19"/>
                <w:szCs w:val="19"/>
                <w:color w:val="auto"/>
              </w:rPr>
            </w:pPr>
          </w:p>
        </w:tc>
        <w:tc>
          <w:tcPr>
            <w:tcW w:w="2380" w:type="dxa"/>
            <w:vAlign w:val="bottom"/>
          </w:tcPr>
          <w:p>
            <w:pPr>
              <w:ind w:left="1100"/>
              <w:spacing w:after="0"/>
              <w:rPr>
                <w:sz w:val="20"/>
                <w:szCs w:val="20"/>
                <w:color w:val="auto"/>
              </w:rPr>
            </w:pPr>
            <w:r>
              <w:rPr>
                <w:rFonts w:ascii="Arial" w:cs="Arial" w:eastAsia="Arial" w:hAnsi="Arial"/>
                <w:sz w:val="17"/>
                <w:szCs w:val="17"/>
                <w:b w:val="1"/>
                <w:bCs w:val="1"/>
                <w:color w:val="auto"/>
              </w:rPr>
              <w:t>Maturity</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3"/>
              </w:rPr>
              <w:t>Basis</w:t>
            </w:r>
          </w:p>
        </w:tc>
        <w:tc>
          <w:tcPr>
            <w:tcW w:w="30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1"/>
              </w:rPr>
              <w:t>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Arial" w:cs="Arial" w:eastAsia="Arial" w:hAnsi="Arial"/>
                <w:sz w:val="17"/>
                <w:szCs w:val="17"/>
                <w:b w:val="1"/>
                <w:bCs w:val="1"/>
                <w:color w:val="auto"/>
              </w:rPr>
              <w:t>Fair Value</w:t>
            </w:r>
          </w:p>
        </w:tc>
      </w:tr>
      <w:tr>
        <w:trPr>
          <w:trHeight w:val="22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2"/>
        </w:trPr>
        <w:tc>
          <w:tcPr>
            <w:tcW w:w="4260" w:type="dxa"/>
            <w:vAlign w:val="bottom"/>
          </w:tcPr>
          <w:p>
            <w:pPr>
              <w:ind w:left="240"/>
              <w:spacing w:after="0"/>
              <w:rPr>
                <w:sz w:val="20"/>
                <w:szCs w:val="20"/>
                <w:color w:val="auto"/>
              </w:rPr>
            </w:pPr>
            <w:r>
              <w:rPr>
                <w:rFonts w:ascii="Arial" w:cs="Arial" w:eastAsia="Arial" w:hAnsi="Arial"/>
                <w:sz w:val="17"/>
                <w:szCs w:val="17"/>
                <w:color w:val="auto"/>
              </w:rPr>
              <w:t>U.S. Treasury notes</w:t>
            </w:r>
          </w:p>
        </w:tc>
        <w:tc>
          <w:tcPr>
            <w:tcW w:w="2380" w:type="dxa"/>
            <w:vAlign w:val="bottom"/>
          </w:tcPr>
          <w:p>
            <w:pPr>
              <w:ind w:left="600"/>
              <w:spacing w:after="0"/>
              <w:rPr>
                <w:sz w:val="20"/>
                <w:szCs w:val="20"/>
                <w:color w:val="auto"/>
              </w:rPr>
            </w:pPr>
            <w:r>
              <w:rPr>
                <w:rFonts w:ascii="Arial" w:cs="Arial" w:eastAsia="Arial" w:hAnsi="Arial"/>
                <w:sz w:val="17"/>
                <w:szCs w:val="17"/>
                <w:i w:val="1"/>
                <w:iCs w:val="1"/>
                <w:color w:val="auto"/>
              </w:rPr>
              <w:t>Within one year</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226,136</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(344)</w:t>
            </w: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225,792</w:t>
            </w:r>
          </w:p>
        </w:tc>
      </w:tr>
      <w:tr>
        <w:trPr>
          <w:trHeight w:val="222"/>
        </w:trPr>
        <w:tc>
          <w:tcPr>
            <w:tcW w:w="4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Government-sponsored enterprise securities</w:t>
            </w:r>
          </w:p>
        </w:tc>
        <w:tc>
          <w:tcPr>
            <w:tcW w:w="2380" w:type="dxa"/>
            <w:vAlign w:val="bottom"/>
            <w:shd w:val="clear" w:color="auto" w:fill="CCEEFF"/>
          </w:tcPr>
          <w:p>
            <w:pPr>
              <w:ind w:left="600"/>
              <w:spacing w:after="0"/>
              <w:rPr>
                <w:sz w:val="20"/>
                <w:szCs w:val="20"/>
                <w:color w:val="auto"/>
              </w:rPr>
            </w:pPr>
            <w:r>
              <w:rPr>
                <w:rFonts w:ascii="Arial" w:cs="Arial" w:eastAsia="Arial" w:hAnsi="Arial"/>
                <w:sz w:val="17"/>
                <w:szCs w:val="17"/>
                <w:i w:val="1"/>
                <w:iCs w:val="1"/>
                <w:color w:val="auto"/>
              </w:rPr>
              <w:t>Within one year</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49,548</w:t>
            </w:r>
          </w:p>
        </w:tc>
      </w:tr>
      <w:tr>
        <w:trPr>
          <w:trHeight w:val="215"/>
        </w:trPr>
        <w:tc>
          <w:tcPr>
            <w:tcW w:w="4260" w:type="dxa"/>
            <w:vAlign w:val="bottom"/>
          </w:tcPr>
          <w:p>
            <w:pPr>
              <w:ind w:left="340"/>
              <w:spacing w:after="0"/>
              <w:rPr>
                <w:sz w:val="20"/>
                <w:szCs w:val="20"/>
                <w:color w:val="auto"/>
              </w:rPr>
            </w:pPr>
            <w:r>
              <w:rPr>
                <w:rFonts w:ascii="Arial" w:cs="Arial" w:eastAsia="Arial" w:hAnsi="Arial"/>
                <w:sz w:val="17"/>
                <w:szCs w:val="17"/>
                <w:color w:val="auto"/>
              </w:rPr>
              <w:t>Total short-term marketable securities</w:t>
            </w:r>
          </w:p>
        </w:tc>
        <w:tc>
          <w:tcPr>
            <w:tcW w:w="2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275,754</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275,340</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42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7"/>
                <w:szCs w:val="17"/>
                <w:color w:val="auto"/>
              </w:rPr>
              <w:t>Long-term marketable securities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2"/>
        </w:trPr>
        <w:tc>
          <w:tcPr>
            <w:tcW w:w="4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Government-sponsored enterprise securities</w:t>
            </w:r>
          </w:p>
        </w:tc>
        <w:tc>
          <w:tcPr>
            <w:tcW w:w="2380" w:type="dxa"/>
            <w:vAlign w:val="bottom"/>
            <w:shd w:val="clear" w:color="auto" w:fill="CCEEFF"/>
          </w:tcPr>
          <w:p>
            <w:pPr>
              <w:ind w:left="600"/>
              <w:spacing w:after="0"/>
              <w:rPr>
                <w:sz w:val="20"/>
                <w:szCs w:val="20"/>
                <w:color w:val="auto"/>
              </w:rPr>
            </w:pPr>
            <w:r>
              <w:rPr>
                <w:rFonts w:ascii="Arial" w:cs="Arial" w:eastAsia="Arial" w:hAnsi="Arial"/>
                <w:sz w:val="17"/>
                <w:szCs w:val="17"/>
                <w:i w:val="1"/>
                <w:iCs w:val="1"/>
                <w:color w:val="auto"/>
              </w:rPr>
              <w:t>Within two years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64,396</w:t>
            </w:r>
          </w:p>
        </w:tc>
      </w:tr>
      <w:tr>
        <w:trPr>
          <w:trHeight w:val="215"/>
        </w:trPr>
        <w:tc>
          <w:tcPr>
            <w:tcW w:w="4260" w:type="dxa"/>
            <w:vAlign w:val="bottom"/>
          </w:tcPr>
          <w:p>
            <w:pPr>
              <w:ind w:left="340"/>
              <w:spacing w:after="0"/>
              <w:rPr>
                <w:sz w:val="20"/>
                <w:szCs w:val="20"/>
                <w:color w:val="auto"/>
              </w:rPr>
            </w:pPr>
            <w:r>
              <w:rPr>
                <w:rFonts w:ascii="Arial" w:cs="Arial" w:eastAsia="Arial" w:hAnsi="Arial"/>
                <w:sz w:val="17"/>
                <w:szCs w:val="17"/>
                <w:color w:val="auto"/>
              </w:rPr>
              <w:t>Total long-term marketable securities</w:t>
            </w:r>
          </w:p>
        </w:tc>
        <w:tc>
          <w:tcPr>
            <w:tcW w:w="2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64,396</w:t>
            </w:r>
          </w:p>
        </w:tc>
      </w:tr>
      <w:tr>
        <w:trPr>
          <w:trHeight w:val="20"/>
        </w:trPr>
        <w:tc>
          <w:tcPr>
            <w:tcW w:w="4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The cost of securities sold is based upon the specific identification method. Interest receivable related to the marketable securities of $0.5 million and $1.5 million was included within "Prepaid expenses and other current assets" on the Consolidated Balance Sheets as of December 31, 2022 and 2021, respectively.</w:t>
      </w:r>
    </w:p>
    <w:p>
      <w:pPr>
        <w:spacing w:after="0" w:line="139"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Interest income from marketable securities totaled $4.3 million and $0.5 million for the years ended December 31, 2022 and 2021, respectively, and is included in "Investment income (loss)" in the Consolidated Statements of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Future maturities of the Company's marketable securities are $168.6 million in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Restricted Cash</w:t>
      </w:r>
    </w:p>
    <w:p>
      <w:pPr>
        <w:spacing w:after="0" w:line="242" w:lineRule="exact"/>
        <w:rPr>
          <w:sz w:val="20"/>
          <w:szCs w:val="20"/>
          <w:color w:val="auto"/>
        </w:rPr>
      </w:pPr>
    </w:p>
    <w:p>
      <w:pPr>
        <w:ind w:right="500" w:firstLine="470"/>
        <w:spacing w:after="0" w:line="272" w:lineRule="auto"/>
        <w:rPr>
          <w:sz w:val="20"/>
          <w:szCs w:val="20"/>
          <w:color w:val="auto"/>
        </w:rPr>
      </w:pPr>
      <w:r>
        <w:rPr>
          <w:rFonts w:ascii="Arial" w:cs="Arial" w:eastAsia="Arial" w:hAnsi="Arial"/>
          <w:sz w:val="17"/>
          <w:szCs w:val="17"/>
          <w:color w:val="auto"/>
        </w:rPr>
        <w:t>Short-term and long-term restricted cash of $78.3 million consists of amounts held as collateral for letters of credit to provide financing support for development and construction of the NW Iowa RNG and NZ1 projects and interest earned on restricted cash.</w:t>
      </w:r>
    </w:p>
    <w:p>
      <w:pPr>
        <w:spacing w:after="0" w:line="184" w:lineRule="exact"/>
        <w:rPr>
          <w:sz w:val="20"/>
          <w:szCs w:val="20"/>
          <w:color w:val="auto"/>
        </w:rPr>
      </w:pPr>
    </w:p>
    <w:p>
      <w:pPr>
        <w:ind w:right="60" w:firstLine="470"/>
        <w:spacing w:after="0" w:line="262" w:lineRule="auto"/>
        <w:rPr>
          <w:sz w:val="20"/>
          <w:szCs w:val="20"/>
          <w:color w:val="auto"/>
        </w:rPr>
      </w:pPr>
      <w:r>
        <w:rPr>
          <w:rFonts w:ascii="Arial" w:cs="Arial" w:eastAsia="Arial" w:hAnsi="Arial"/>
          <w:sz w:val="16"/>
          <w:szCs w:val="16"/>
          <w:color w:val="auto"/>
        </w:rPr>
        <w:t>The Company entered into an irrevocable direct pay letter of credit (the "Bond Letter of Credit") with Citibank N.A ("Citibank") in April 2021 to support the 2021 Bonds (as defined below) for the development and construction of NW Iowa RNG. See Note 14, Debt, for additional information on the 2021 Bonds. The Bond Letter of Credit has a 0.5% annual fee and expires April 4, 2024 (unless terminated earlier). The Company deposited $71.2 million with Citibank as restricted cash to secure any amounts drawn under the Bond Letter of Credit. The Company is entitled to receive interest income on the restricted cash, and recorded interest income of $0.5 million for the year ended December 31, 2022, included in "Other income, net" in the Consolidated Statements of Operations. As of December 31, 2022, no amounts have been drawn under the Bond Letter of Credit.</w:t>
      </w:r>
    </w:p>
    <w:p>
      <w:pPr>
        <w:spacing w:after="0" w:line="193" w:lineRule="exact"/>
        <w:rPr>
          <w:sz w:val="20"/>
          <w:szCs w:val="20"/>
          <w:color w:val="auto"/>
        </w:rPr>
      </w:pPr>
    </w:p>
    <w:p>
      <w:pPr>
        <w:ind w:right="100" w:firstLine="470"/>
        <w:spacing w:after="0" w:line="256" w:lineRule="auto"/>
        <w:rPr>
          <w:sz w:val="20"/>
          <w:szCs w:val="20"/>
          <w:color w:val="auto"/>
        </w:rPr>
      </w:pPr>
      <w:r>
        <w:rPr>
          <w:rFonts w:ascii="Arial" w:cs="Arial" w:eastAsia="Arial" w:hAnsi="Arial"/>
          <w:sz w:val="17"/>
          <w:szCs w:val="17"/>
          <w:color w:val="auto"/>
        </w:rPr>
        <w:t>The proceeds from issuance of the 2021 Bonds recorded as restricted cash are maintained by the Trustee (as defined below) under the Indenture (as defined below) and are released to the Company to pay costs of the construction of NW Iowa RNG. The Company has used all bond proceeds for the project as of December 31, 2022.</w:t>
      </w:r>
    </w:p>
    <w:p>
      <w:pPr>
        <w:spacing w:after="0" w:line="198" w:lineRule="exact"/>
        <w:rPr>
          <w:sz w:val="20"/>
          <w:szCs w:val="20"/>
          <w:color w:val="auto"/>
        </w:rPr>
      </w:pPr>
    </w:p>
    <w:p>
      <w:pPr>
        <w:ind w:firstLine="470"/>
        <w:spacing w:after="0" w:line="248" w:lineRule="auto"/>
        <w:rPr>
          <w:sz w:val="20"/>
          <w:szCs w:val="20"/>
          <w:color w:val="auto"/>
        </w:rPr>
      </w:pPr>
      <w:r>
        <w:rPr>
          <w:rFonts w:ascii="Arial" w:cs="Arial" w:eastAsia="Arial" w:hAnsi="Arial"/>
          <w:sz w:val="17"/>
          <w:szCs w:val="17"/>
          <w:color w:val="auto"/>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has a 0.3% annual fee and expires September 30, 2024 (unless terminated earlier). As of December 31, 2022, no amounts have been drawn under the Power Letter of Credit.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Prepaid and Other Current Assets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prepaid and other current assets (in thousands) as of:</w:t>
      </w: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630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December 31,</w:t>
            </w:r>
          </w:p>
        </w:tc>
        <w:tc>
          <w:tcPr>
            <w:tcW w:w="1440" w:type="dxa"/>
            <w:vAlign w:val="bottom"/>
            <w:tcBorders>
              <w:bottom w:val="single" w:sz="8" w:color="auto"/>
            </w:tcBorders>
          </w:tcPr>
          <w:p>
            <w:pPr>
              <w:spacing w:after="0"/>
              <w:rPr>
                <w:sz w:val="19"/>
                <w:szCs w:val="19"/>
                <w:color w:val="auto"/>
              </w:rPr>
            </w:pPr>
          </w:p>
        </w:tc>
      </w:tr>
      <w:tr>
        <w:trPr>
          <w:trHeight w:val="235"/>
        </w:trPr>
        <w:tc>
          <w:tcPr>
            <w:tcW w:w="63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rPr>
              <w:t>2021</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22"/>
        </w:trPr>
        <w:tc>
          <w:tcPr>
            <w:tcW w:w="630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1,530</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engineering</w:t>
            </w:r>
          </w:p>
        </w:tc>
        <w:tc>
          <w:tcPr>
            <w:tcW w:w="1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r>
      <w:tr>
        <w:trPr>
          <w:trHeight w:val="222"/>
        </w:trPr>
        <w:tc>
          <w:tcPr>
            <w:tcW w:w="6300" w:type="dxa"/>
            <w:vAlign w:val="bottom"/>
          </w:tcPr>
          <w:p>
            <w:pPr>
              <w:ind w:left="20"/>
              <w:spacing w:after="0"/>
              <w:rPr>
                <w:sz w:val="20"/>
                <w:szCs w:val="20"/>
                <w:color w:val="auto"/>
              </w:rPr>
            </w:pPr>
            <w:r>
              <w:rPr>
                <w:rFonts w:ascii="Arial" w:cs="Arial" w:eastAsia="Arial" w:hAnsi="Arial"/>
                <w:sz w:val="17"/>
                <w:szCs w:val="17"/>
                <w:color w:val="auto"/>
              </w:rPr>
              <w:t>Prepaid feedstock, current</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1,097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other</w:t>
            </w:r>
          </w:p>
        </w:tc>
        <w:tc>
          <w:tcPr>
            <w:tcW w:w="1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r>
      <w:tr>
        <w:trPr>
          <w:trHeight w:val="215"/>
        </w:trPr>
        <w:tc>
          <w:tcPr>
            <w:tcW w:w="6300" w:type="dxa"/>
            <w:vAlign w:val="bottom"/>
          </w:tcPr>
          <w:p>
            <w:pPr>
              <w:ind w:left="220"/>
              <w:spacing w:after="0"/>
              <w:rPr>
                <w:sz w:val="20"/>
                <w:szCs w:val="20"/>
                <w:color w:val="auto"/>
              </w:rPr>
            </w:pPr>
            <w:r>
              <w:rPr>
                <w:rFonts w:ascii="Arial" w:cs="Arial" w:eastAsia="Arial" w:hAnsi="Arial"/>
                <w:sz w:val="17"/>
                <w:szCs w:val="17"/>
                <w:color w:val="auto"/>
              </w:rPr>
              <w:t>Total Prepaid and other current assets</w:t>
            </w:r>
          </w:p>
        </w:tc>
        <w:tc>
          <w:tcPr>
            <w:tcW w:w="1440" w:type="dxa"/>
            <w:vAlign w:val="bottom"/>
            <w:tcBorders>
              <w:bottom w:val="single" w:sz="8" w:color="auto"/>
            </w:tcBorders>
          </w:tcPr>
          <w:p>
            <w:pPr>
              <w:jc w:val="right"/>
              <w:ind w:right="125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3,034</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3,607</w:t>
            </w:r>
          </w:p>
        </w:tc>
      </w:tr>
      <w:tr>
        <w:trPr>
          <w:trHeight w:val="20"/>
        </w:trPr>
        <w:tc>
          <w:tcPr>
            <w:tcW w:w="6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Leases, Right-of-Use Assets and Related Liabilities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is party to an operating lease contract for the Company’s office and research facility in Englewood, Colorado, which expires in January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2029. The lease contains an option to extend the lease which management does not reasonably expect to exercise, so it is not included in the length of the term.</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one production line piece of equipment with an operating lease that expires in 2024.</w:t>
      </w:r>
    </w:p>
    <w:p>
      <w:pPr>
        <w:spacing w:after="0" w:line="237" w:lineRule="exact"/>
        <w:rPr>
          <w:sz w:val="20"/>
          <w:szCs w:val="20"/>
          <w:color w:val="auto"/>
        </w:rPr>
      </w:pPr>
    </w:p>
    <w:p>
      <w:pPr>
        <w:jc w:val="both"/>
        <w:ind w:right="80" w:firstLine="470"/>
        <w:spacing w:after="0" w:line="267" w:lineRule="auto"/>
        <w:rPr>
          <w:sz w:val="20"/>
          <w:szCs w:val="20"/>
          <w:color w:val="auto"/>
        </w:rPr>
      </w:pPr>
      <w:r>
        <w:rPr>
          <w:rFonts w:ascii="Arial" w:cs="Arial" w:eastAsia="Arial" w:hAnsi="Arial"/>
          <w:sz w:val="17"/>
          <w:szCs w:val="17"/>
          <w:color w:val="auto"/>
        </w:rPr>
        <w:t>The Company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upgrades the biogas to pipeline-quality RNG for sale. These leases expire at various dates between 2031 and 2050.</w:t>
      </w:r>
    </w:p>
    <w:p>
      <w:pPr>
        <w:spacing w:after="0" w:line="202"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Effective October 1, 2022, the Company elected to change its accounting policy covering the application of the practical expedient under ASC 842, Leases. Under the new accounting policy, the Company will account for lease components separately from non-lease components for the Company’s dairy lease asset class. Under the previous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660"/>
        <w:spacing w:after="0" w:line="288" w:lineRule="auto"/>
        <w:rPr>
          <w:sz w:val="20"/>
          <w:szCs w:val="20"/>
          <w:color w:val="auto"/>
        </w:rPr>
      </w:pPr>
      <w:r>
        <w:rPr>
          <w:rFonts w:ascii="Arial" w:cs="Arial" w:eastAsia="Arial" w:hAnsi="Arial"/>
          <w:sz w:val="17"/>
          <w:szCs w:val="17"/>
          <w:color w:val="auto"/>
        </w:rPr>
        <w:t>treatment, all amounts paid to the lessor under these arrangements for use of the land, cow manure, and other non-lease services were classified as lease payments and included in the calculation of the right-of-use assets and lease liabilities.</w:t>
      </w:r>
    </w:p>
    <w:p>
      <w:pPr>
        <w:spacing w:after="0" w:line="184" w:lineRule="exact"/>
        <w:rPr>
          <w:sz w:val="20"/>
          <w:szCs w:val="20"/>
          <w:color w:val="auto"/>
        </w:rPr>
      </w:pPr>
    </w:p>
    <w:p>
      <w:pPr>
        <w:ind w:right="200" w:firstLine="470"/>
        <w:spacing w:after="0" w:line="304" w:lineRule="auto"/>
        <w:rPr>
          <w:sz w:val="20"/>
          <w:szCs w:val="20"/>
          <w:color w:val="auto"/>
        </w:rPr>
      </w:pPr>
      <w:r>
        <w:rPr>
          <w:rFonts w:ascii="Arial" w:cs="Arial" w:eastAsia="Arial" w:hAnsi="Arial"/>
          <w:sz w:val="15"/>
          <w:szCs w:val="15"/>
          <w:color w:val="auto"/>
        </w:rPr>
        <w:t>Upon commencement of operations at NW Iowa RNG in the third quarter of 2022, the Company’s dairy lease agreements were evaluated, and it was determined that the practical expedient less accurately reflected the economic substance of the agreements. The Company voluntarily elected this acceptable change in accounting policy effective October 1, 2022. The Company believes the change is preferable as it provides the most useful and transparent financial information and improves comparability and consistency of financial information, resulting in improved financial reporting and alignment with financial information used internally by management. As a result of this change in policy, the Company will retroactively no longer combine lease and non-lease components for all leases in the dairy lease asset class and will account for non-lease components separately and under other, applicable accounting standards.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summary of the impact of the change in accounting policy on the Consolidated Balance Sheets for each of the three months ended June 30, 2021,</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December 31, 2021, March 31, 2022, June 30, 2022, and September 30, 2022, respectively is as follows: a reduction to Finance Right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Use Asset of $27.3 million, $27.4 million, $27.1 million, $26.7 million, $27.3 million, and $26.8 million; a reduction to Finance Lease Liabilities (Current) of</w:t>
      </w:r>
    </w:p>
    <w:p>
      <w:pPr>
        <w:spacing w:after="0" w:line="224" w:lineRule="auto"/>
        <w:rPr>
          <w:sz w:val="20"/>
          <w:szCs w:val="20"/>
          <w:color w:val="auto"/>
        </w:rPr>
      </w:pPr>
      <w:r>
        <w:rPr>
          <w:rFonts w:ascii="Arial" w:cs="Arial" w:eastAsia="Arial" w:hAnsi="Arial"/>
          <w:sz w:val="17"/>
          <w:szCs w:val="17"/>
          <w:color w:val="auto"/>
        </w:rPr>
        <w:t>$4.9 million, $2.7 million, $3.4 million, $4.0 million, $6.2 million, and $2.1 million; a reduction to Finance Lease Liabilities (Long-Term) of $19.5 million,</w:t>
      </w:r>
    </w:p>
    <w:p>
      <w:pPr>
        <w:spacing w:after="0"/>
        <w:rPr>
          <w:sz w:val="20"/>
          <w:szCs w:val="20"/>
          <w:color w:val="auto"/>
        </w:rPr>
      </w:pPr>
      <w:r>
        <w:rPr>
          <w:rFonts w:ascii="Arial" w:cs="Arial" w:eastAsia="Arial" w:hAnsi="Arial"/>
          <w:sz w:val="16"/>
          <w:szCs w:val="16"/>
          <w:color w:val="auto"/>
        </w:rPr>
        <w:t>$19.4 million, $17.6 million, $17.2 million, $16.2 million, and $16.2 million; a reduction to Construction in Progress of $0.8 million, $0.8 million, $0.8 million,</w:t>
      </w:r>
    </w:p>
    <w:p>
      <w:pPr>
        <w:spacing w:after="0"/>
        <w:rPr>
          <w:sz w:val="20"/>
          <w:szCs w:val="20"/>
          <w:color w:val="auto"/>
        </w:rPr>
      </w:pPr>
      <w:r>
        <w:rPr>
          <w:rFonts w:ascii="Arial" w:cs="Arial" w:eastAsia="Arial" w:hAnsi="Arial"/>
          <w:sz w:val="16"/>
          <w:szCs w:val="16"/>
          <w:color w:val="auto"/>
        </w:rPr>
        <w:t>$0.7 million, $0.7 million, and $0.9 million; and an increase to Other Assets of $3.4 million, $6.0 million, $7.4 million, $7.5 million, $7.7 million, and $8.7</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million. The Company further recorded an increase to Prepaid Expenses of $1.1 million and Other Assets of $0.9 million for the three months ended June 30,</w:t>
      </w:r>
    </w:p>
    <w:p>
      <w:pPr>
        <w:spacing w:after="0"/>
        <w:rPr>
          <w:sz w:val="20"/>
          <w:szCs w:val="20"/>
          <w:color w:val="auto"/>
        </w:rPr>
      </w:pPr>
      <w:r>
        <w:rPr>
          <w:rFonts w:ascii="Arial" w:cs="Arial" w:eastAsia="Arial" w:hAnsi="Arial"/>
          <w:sz w:val="17"/>
          <w:szCs w:val="17"/>
          <w:color w:val="auto"/>
        </w:rPr>
        <w:t>2022.</w:t>
      </w:r>
    </w:p>
    <w:p>
      <w:pPr>
        <w:spacing w:after="0" w:line="209" w:lineRule="exact"/>
        <w:rPr>
          <w:sz w:val="20"/>
          <w:szCs w:val="20"/>
          <w:color w:val="auto"/>
        </w:rPr>
      </w:pPr>
    </w:p>
    <w:p>
      <w:pPr>
        <w:ind w:right="140" w:firstLine="470"/>
        <w:spacing w:after="0" w:line="260" w:lineRule="auto"/>
        <w:rPr>
          <w:sz w:val="20"/>
          <w:szCs w:val="20"/>
          <w:color w:val="auto"/>
        </w:rPr>
      </w:pPr>
      <w:r>
        <w:rPr>
          <w:rFonts w:ascii="Arial" w:cs="Arial" w:eastAsia="Arial" w:hAnsi="Arial"/>
          <w:sz w:val="16"/>
          <w:szCs w:val="16"/>
          <w:color w:val="auto"/>
        </w:rPr>
        <w:t>A summary of the impact of the change in accounting policy on the Consolidated Statements of Cash Flows for each of the three months ended September 30, 2021, December 31, 2021, and September 30, 2022, respectively is as follows: an increase in Cash Used in Operating Activities of $3.0 million, $4.5 million, and $4.3 million, and a decrease in Cash Used in Financing Activities of $3.0 million, $4.5 million, and $4.3 million. There was not a material impact on the Consolidated Statements of Cash Flows for the periods ended June 30, 2021, March 31, 2022, and June 30, 2022.</w:t>
      </w:r>
    </w:p>
    <w:p>
      <w:pPr>
        <w:spacing w:after="0" w:line="183" w:lineRule="exact"/>
        <w:rPr>
          <w:sz w:val="20"/>
          <w:szCs w:val="20"/>
          <w:color w:val="auto"/>
        </w:rPr>
      </w:pPr>
    </w:p>
    <w:p>
      <w:pPr>
        <w:ind w:right="200" w:firstLine="470"/>
        <w:spacing w:after="0" w:line="256" w:lineRule="auto"/>
        <w:rPr>
          <w:sz w:val="20"/>
          <w:szCs w:val="20"/>
          <w:color w:val="auto"/>
        </w:rPr>
      </w:pPr>
      <w:r>
        <w:rPr>
          <w:rFonts w:ascii="Arial" w:cs="Arial" w:eastAsia="Arial" w:hAnsi="Arial"/>
          <w:sz w:val="17"/>
          <w:szCs w:val="17"/>
          <w:color w:val="auto"/>
        </w:rPr>
        <w:t>The change in accounting policy did not have an incrementally material impact on the three months ended December 31, 2022 as compared to the three months ended September 30, 2022, and no impact on the Consolidated Statements of Operations for the periods listed above.</w:t>
      </w:r>
    </w:p>
    <w:p>
      <w:pPr>
        <w:spacing w:after="0" w:line="210"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The following tables present the (i) other quantitative information and (ii) future minimum payments under non-cancelable financing and operating leases as they relate to the Company’s leases (in thousands), except for weighted averages: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19"/>
                <w:szCs w:val="19"/>
                <w:color w:val="auto"/>
              </w:rPr>
            </w:pPr>
          </w:p>
        </w:tc>
        <w:tc>
          <w:tcPr>
            <w:tcW w:w="2680" w:type="dxa"/>
            <w:vAlign w:val="bottom"/>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600" w:type="dxa"/>
            <w:vAlign w:val="bottom"/>
          </w:tcPr>
          <w:p>
            <w:pPr>
              <w:spacing w:after="0"/>
              <w:rPr>
                <w:sz w:val="19"/>
                <w:szCs w:val="19"/>
                <w:color w:val="auto"/>
              </w:rPr>
            </w:pPr>
          </w:p>
        </w:tc>
      </w:tr>
      <w:tr>
        <w:trPr>
          <w:trHeight w:val="26"/>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5"/>
        </w:trPr>
        <w:tc>
          <w:tcPr>
            <w:tcW w:w="79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20"/>
                <w:szCs w:val="20"/>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Information</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42"/>
        </w:trPr>
        <w:tc>
          <w:tcPr>
            <w:tcW w:w="7960" w:type="dxa"/>
            <w:vAlign w:val="bottom"/>
          </w:tcPr>
          <w:p>
            <w:pPr>
              <w:ind w:left="28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5"/>
        </w:trPr>
        <w:tc>
          <w:tcPr>
            <w:tcW w:w="7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cash flows from finance leases</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15</w:t>
            </w:r>
          </w:p>
        </w:tc>
      </w:tr>
      <w:tr>
        <w:trPr>
          <w:trHeight w:val="248"/>
        </w:trPr>
        <w:tc>
          <w:tcPr>
            <w:tcW w:w="7960" w:type="dxa"/>
            <w:vAlign w:val="bottom"/>
          </w:tcPr>
          <w:p>
            <w:pPr>
              <w:ind w:left="440"/>
              <w:spacing w:after="0"/>
              <w:rPr>
                <w:sz w:val="20"/>
                <w:szCs w:val="20"/>
                <w:color w:val="auto"/>
              </w:rPr>
            </w:pPr>
            <w:r>
              <w:rPr>
                <w:rFonts w:ascii="Arial" w:cs="Arial" w:eastAsia="Arial" w:hAnsi="Arial"/>
                <w:sz w:val="17"/>
                <w:szCs w:val="17"/>
                <w:color w:val="auto"/>
              </w:rPr>
              <w:t>Operating cash flows from operating leases</w:t>
            </w:r>
          </w:p>
        </w:tc>
        <w:tc>
          <w:tcPr>
            <w:tcW w:w="1040" w:type="dxa"/>
            <w:vAlign w:val="bottom"/>
          </w:tcPr>
          <w:p>
            <w:pPr>
              <w:spacing w:after="0"/>
              <w:rPr>
                <w:sz w:val="21"/>
                <w:szCs w:val="21"/>
                <w:color w:val="auto"/>
              </w:rPr>
            </w:pP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804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245</w:t>
            </w:r>
          </w:p>
        </w:tc>
      </w:tr>
      <w:tr>
        <w:trPr>
          <w:trHeight w:val="248"/>
        </w:trPr>
        <w:tc>
          <w:tcPr>
            <w:tcW w:w="7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Finance cash flows from finance leases</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w:t>
            </w:r>
          </w:p>
        </w:tc>
      </w:tr>
      <w:tr>
        <w:trPr>
          <w:trHeight w:val="248"/>
        </w:trPr>
        <w:tc>
          <w:tcPr>
            <w:tcW w:w="7960" w:type="dxa"/>
            <w:vAlign w:val="bottom"/>
          </w:tcPr>
          <w:p>
            <w:pPr>
              <w:ind w:left="240"/>
              <w:spacing w:after="0"/>
              <w:rPr>
                <w:sz w:val="20"/>
                <w:szCs w:val="20"/>
                <w:color w:val="auto"/>
              </w:rPr>
            </w:pPr>
            <w:r>
              <w:rPr>
                <w:rFonts w:ascii="Arial" w:cs="Arial" w:eastAsia="Arial" w:hAnsi="Arial"/>
                <w:sz w:val="17"/>
                <w:szCs w:val="17"/>
                <w:color w:val="auto"/>
              </w:rPr>
              <w:t>Right-of-use asset obtained in exchange for new finance lease liabilities</w:t>
            </w:r>
          </w:p>
        </w:tc>
        <w:tc>
          <w:tcPr>
            <w:tcW w:w="104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245</w:t>
            </w:r>
          </w:p>
        </w:tc>
      </w:tr>
      <w:tr>
        <w:trPr>
          <w:trHeight w:val="248"/>
        </w:trPr>
        <w:tc>
          <w:tcPr>
            <w:tcW w:w="7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Right-of-use asset obtained in exchange for new operating lease liabilities</w:t>
            </w:r>
          </w:p>
        </w:tc>
        <w:tc>
          <w:tcPr>
            <w:tcW w:w="10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9"/>
              </w:rPr>
              <w:t>1,611</w:t>
            </w:r>
          </w:p>
        </w:tc>
      </w:tr>
      <w:tr>
        <w:trPr>
          <w:trHeight w:val="248"/>
        </w:trPr>
        <w:tc>
          <w:tcPr>
            <w:tcW w:w="7960" w:type="dxa"/>
            <w:vAlign w:val="bottom"/>
          </w:tcPr>
          <w:p>
            <w:pPr>
              <w:ind w:left="240"/>
              <w:spacing w:after="0"/>
              <w:rPr>
                <w:sz w:val="20"/>
                <w:szCs w:val="20"/>
                <w:color w:val="auto"/>
              </w:rPr>
            </w:pPr>
            <w:r>
              <w:rPr>
                <w:rFonts w:ascii="Arial" w:cs="Arial" w:eastAsia="Arial" w:hAnsi="Arial"/>
                <w:sz w:val="17"/>
                <w:szCs w:val="17"/>
                <w:color w:val="auto"/>
              </w:rPr>
              <w:t>Weighted-average remaining lease term, finance lease (months)</w:t>
            </w:r>
          </w:p>
        </w:tc>
        <w:tc>
          <w:tcPr>
            <w:tcW w:w="104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317</w:t>
            </w:r>
          </w:p>
        </w:tc>
      </w:tr>
      <w:tr>
        <w:trPr>
          <w:trHeight w:val="248"/>
        </w:trPr>
        <w:tc>
          <w:tcPr>
            <w:tcW w:w="7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Weighted-average remaining lease term, operating leases (months)</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63</w:t>
            </w:r>
          </w:p>
        </w:tc>
      </w:tr>
      <w:tr>
        <w:trPr>
          <w:trHeight w:val="248"/>
        </w:trPr>
        <w:tc>
          <w:tcPr>
            <w:tcW w:w="7960" w:type="dxa"/>
            <w:vAlign w:val="bottom"/>
          </w:tcPr>
          <w:p>
            <w:pPr>
              <w:ind w:left="240"/>
              <w:spacing w:after="0" w:line="248" w:lineRule="exact"/>
              <w:rPr>
                <w:sz w:val="20"/>
                <w:szCs w:val="20"/>
                <w:color w:val="auto"/>
              </w:rPr>
            </w:pPr>
            <w:r>
              <w:rPr>
                <w:rFonts w:ascii="Arial" w:cs="Arial" w:eastAsia="Arial" w:hAnsi="Arial"/>
                <w:sz w:val="17"/>
                <w:szCs w:val="17"/>
                <w:color w:val="auto"/>
              </w:rPr>
              <w:t xml:space="preserve">Weighted-average discount rate - finance leases </w:t>
            </w:r>
            <w:r>
              <w:rPr>
                <w:rFonts w:ascii="Arial" w:cs="Arial" w:eastAsia="Arial" w:hAnsi="Arial"/>
                <w:sz w:val="22"/>
                <w:szCs w:val="22"/>
                <w:color w:val="auto"/>
                <w:vertAlign w:val="superscript"/>
              </w:rPr>
              <w:t>(1)</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48"/>
        </w:trPr>
        <w:tc>
          <w:tcPr>
            <w:tcW w:w="7960" w:type="dxa"/>
            <w:vAlign w:val="bottom"/>
            <w:shd w:val="clear" w:color="auto" w:fill="CCEEFF"/>
          </w:tcPr>
          <w:p>
            <w:pPr>
              <w:ind w:left="240"/>
              <w:spacing w:after="0" w:line="248" w:lineRule="exact"/>
              <w:rPr>
                <w:sz w:val="20"/>
                <w:szCs w:val="20"/>
                <w:color w:val="auto"/>
              </w:rPr>
            </w:pPr>
            <w:r>
              <w:rPr>
                <w:rFonts w:ascii="Arial" w:cs="Arial" w:eastAsia="Arial" w:hAnsi="Arial"/>
                <w:sz w:val="17"/>
                <w:szCs w:val="17"/>
                <w:color w:val="auto"/>
              </w:rPr>
              <w:t xml:space="preserve">Weighted-average discount rate - operating leases </w:t>
            </w:r>
            <w:r>
              <w:rPr>
                <w:rFonts w:ascii="Arial" w:cs="Arial" w:eastAsia="Arial" w:hAnsi="Arial"/>
                <w:sz w:val="22"/>
                <w:szCs w:val="22"/>
                <w:color w:val="auto"/>
                <w:vertAlign w:val="superscript"/>
              </w:rPr>
              <w:t>(1)</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bl>
    <w:p>
      <w:pPr>
        <w:spacing w:after="0" w:line="301" w:lineRule="exact"/>
        <w:rPr>
          <w:sz w:val="20"/>
          <w:szCs w:val="20"/>
          <w:color w:val="auto"/>
        </w:rPr>
      </w:pPr>
    </w:p>
    <w:p>
      <w:pPr>
        <w:ind w:left="320" w:right="20" w:hanging="315"/>
        <w:spacing w:after="0" w:line="267" w:lineRule="auto"/>
        <w:tabs>
          <w:tab w:leader="none" w:pos="3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leases do not provide an implicit interest rate, and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Operating Leases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w w:val="91"/>
              </w:rPr>
              <w:t>Financing Leases</w:t>
            </w:r>
          </w:p>
        </w:tc>
        <w:tc>
          <w:tcPr>
            <w:tcW w:w="0" w:type="dxa"/>
            <w:vAlign w:val="bottom"/>
          </w:tcPr>
          <w:p>
            <w:pPr>
              <w:spacing w:after="0"/>
              <w:rPr>
                <w:sz w:val="1"/>
                <w:szCs w:val="1"/>
                <w:color w:val="auto"/>
              </w:rPr>
            </w:pPr>
          </w:p>
        </w:tc>
      </w:tr>
      <w:tr>
        <w:trPr>
          <w:trHeight w:val="248"/>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42"/>
        </w:trPr>
        <w:tc>
          <w:tcPr>
            <w:tcW w:w="740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55"/>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42"/>
        </w:trPr>
        <w:tc>
          <w:tcPr>
            <w:tcW w:w="740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55"/>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42"/>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2028 and thereafter</w:t>
            </w: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48"/>
        </w:trPr>
        <w:tc>
          <w:tcPr>
            <w:tcW w:w="7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42"/>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Amounts representing present value discounts</w:t>
            </w: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48"/>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 lease liabilities</w:t>
            </w: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42"/>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current portion</w:t>
            </w: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68"/>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portion</w:t>
            </w:r>
          </w:p>
        </w:tc>
        <w:tc>
          <w:tcPr>
            <w:tcW w:w="68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7"/>
                <w:szCs w:val="17"/>
                <w:b w:val="1"/>
                <w:bCs w:val="1"/>
                <w:color w:val="auto"/>
              </w:rPr>
              <w:t>10</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Inventories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75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8520" w:type="dxa"/>
            <w:vAlign w:val="bottom"/>
            <w:gridSpan w:val="4"/>
          </w:tcPr>
          <w:p>
            <w:pPr>
              <w:ind w:left="480"/>
              <w:spacing w:after="0"/>
              <w:rPr>
                <w:sz w:val="20"/>
                <w:szCs w:val="20"/>
                <w:color w:val="auto"/>
              </w:rPr>
            </w:pPr>
            <w:r>
              <w:rPr>
                <w:rFonts w:ascii="Arial" w:cs="Arial" w:eastAsia="Arial" w:hAnsi="Arial"/>
                <w:sz w:val="17"/>
                <w:szCs w:val="17"/>
                <w:color w:val="auto"/>
              </w:rPr>
              <w:t>The following table sets forth the components of the Company’s inventory balances (in thousands) as of:</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3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500" w:type="dxa"/>
            <w:vAlign w:val="bottom"/>
            <w:gridSpan w:val="2"/>
          </w:tcPr>
          <w:p>
            <w:pPr>
              <w:ind w:left="140"/>
              <w:spacing w:after="0"/>
              <w:rPr>
                <w:sz w:val="20"/>
                <w:szCs w:val="20"/>
                <w:color w:val="auto"/>
              </w:rPr>
            </w:pPr>
            <w:r>
              <w:rPr>
                <w:rFonts w:ascii="Arial" w:cs="Arial" w:eastAsia="Arial" w:hAnsi="Arial"/>
                <w:sz w:val="17"/>
                <w:szCs w:val="17"/>
                <w:color w:val="auto"/>
              </w:rPr>
              <w:t>Corn</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55"/>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Consumables</w:t>
            </w: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42"/>
        </w:trPr>
        <w:tc>
          <w:tcPr>
            <w:tcW w:w="7500" w:type="dxa"/>
            <w:vAlign w:val="bottom"/>
            <w:gridSpan w:val="2"/>
          </w:tcPr>
          <w:p>
            <w:pPr>
              <w:ind w:left="140"/>
              <w:spacing w:after="0"/>
              <w:rPr>
                <w:sz w:val="20"/>
                <w:szCs w:val="20"/>
                <w:color w:val="auto"/>
              </w:rPr>
            </w:pPr>
            <w:r>
              <w:rPr>
                <w:rFonts w:ascii="Arial" w:cs="Arial" w:eastAsia="Arial" w:hAnsi="Arial"/>
                <w:sz w:val="17"/>
                <w:szCs w:val="17"/>
                <w:color w:val="auto"/>
              </w:rPr>
              <w:t>Catalyst</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5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500" w:type="dxa"/>
            <w:vAlign w:val="bottom"/>
            <w:gridSpan w:val="2"/>
          </w:tcPr>
          <w:p>
            <w:pPr>
              <w:ind w:left="140"/>
              <w:spacing w:after="0"/>
              <w:rPr>
                <w:sz w:val="20"/>
                <w:szCs w:val="20"/>
                <w:color w:val="auto"/>
              </w:rPr>
            </w:pPr>
            <w:r>
              <w:rPr>
                <w:rFonts w:ascii="Arial" w:cs="Arial" w:eastAsia="Arial" w:hAnsi="Arial"/>
                <w:sz w:val="17"/>
                <w:szCs w:val="17"/>
                <w:color w:val="auto"/>
              </w:rPr>
              <w:t>SAF, isooctane and isooctene</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1,457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55"/>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Isobutanol</w:t>
            </w: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42"/>
        </w:trPr>
        <w:tc>
          <w:tcPr>
            <w:tcW w:w="7500" w:type="dxa"/>
            <w:vAlign w:val="bottom"/>
            <w:gridSpan w:val="2"/>
          </w:tcPr>
          <w:p>
            <w:pPr>
              <w:ind w:left="140"/>
              <w:spacing w:after="0"/>
              <w:rPr>
                <w:sz w:val="20"/>
                <w:szCs w:val="20"/>
                <w:color w:val="auto"/>
              </w:rPr>
            </w:pPr>
            <w:r>
              <w:rPr>
                <w:rFonts w:ascii="Arial" w:cs="Arial" w:eastAsia="Arial" w:hAnsi="Arial"/>
                <w:sz w:val="17"/>
                <w:szCs w:val="17"/>
                <w:color w:val="auto"/>
              </w:rPr>
              <w:t>Ethanol</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55"/>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Work in process</w:t>
            </w: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500" w:type="dxa"/>
            <w:vAlign w:val="bottom"/>
            <w:gridSpan w:val="2"/>
          </w:tcPr>
          <w:p>
            <w:pPr>
              <w:ind w:left="140"/>
              <w:spacing w:after="0"/>
              <w:rPr>
                <w:sz w:val="20"/>
                <w:szCs w:val="20"/>
                <w:color w:val="auto"/>
              </w:rPr>
            </w:pPr>
            <w:r>
              <w:rPr>
                <w:rFonts w:ascii="Arial" w:cs="Arial" w:eastAsia="Arial" w:hAnsi="Arial"/>
                <w:sz w:val="17"/>
                <w:szCs w:val="17"/>
                <w:color w:val="auto"/>
              </w:rPr>
              <w:t>Isobutanol</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55"/>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Jet fuel</w:t>
            </w: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7500" w:type="dxa"/>
            <w:vAlign w:val="bottom"/>
            <w:gridSpan w:val="2"/>
          </w:tcPr>
          <w:p>
            <w:pPr>
              <w:ind w:left="20"/>
              <w:spacing w:after="0"/>
              <w:rPr>
                <w:sz w:val="20"/>
                <w:szCs w:val="20"/>
                <w:color w:val="auto"/>
              </w:rPr>
            </w:pPr>
            <w:r>
              <w:rPr>
                <w:rFonts w:ascii="Arial" w:cs="Arial" w:eastAsia="Arial" w:hAnsi="Arial"/>
                <w:sz w:val="17"/>
                <w:szCs w:val="17"/>
                <w:color w:val="auto"/>
              </w:rPr>
              <w:t>Spare parts, net</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354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1,262</w:t>
            </w:r>
          </w:p>
        </w:tc>
        <w:tc>
          <w:tcPr>
            <w:tcW w:w="0" w:type="dxa"/>
            <w:vAlign w:val="bottom"/>
          </w:tcPr>
          <w:p>
            <w:pPr>
              <w:spacing w:after="0"/>
              <w:rPr>
                <w:sz w:val="1"/>
                <w:szCs w:val="1"/>
                <w:color w:val="auto"/>
              </w:rPr>
            </w:pPr>
          </w:p>
        </w:tc>
      </w:tr>
      <w:tr>
        <w:trPr>
          <w:trHeight w:val="248"/>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Environmental attributes</w:t>
            </w:r>
          </w:p>
        </w:tc>
        <w:tc>
          <w:tcPr>
            <w:tcW w:w="6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4,193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7500" w:type="dxa"/>
            <w:vAlign w:val="bottom"/>
            <w:gridSpan w:val="2"/>
          </w:tcPr>
          <w:p>
            <w:pPr>
              <w:ind w:left="260"/>
              <w:spacing w:after="0"/>
              <w:rPr>
                <w:sz w:val="20"/>
                <w:szCs w:val="20"/>
                <w:color w:val="auto"/>
              </w:rPr>
            </w:pPr>
            <w:r>
              <w:rPr>
                <w:rFonts w:ascii="Arial" w:cs="Arial" w:eastAsia="Arial" w:hAnsi="Arial"/>
                <w:sz w:val="17"/>
                <w:szCs w:val="17"/>
                <w:color w:val="auto"/>
              </w:rPr>
              <w:t>Total inventories</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6,347</w:t>
            </w:r>
          </w:p>
        </w:tc>
        <w:tc>
          <w:tcPr>
            <w:tcW w:w="6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2,751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Environmental attributes represent distinguishable and material output from our NW Iowa RNG operations. The Company started allocating the cost of production to the sales value of RNG, credits from California's LCFS program and RINs credits. The value of the environmental attributes is reviewed for potential write-downs based on the net realizable value methodology. During the year ended December 31, 2022 the Company adjusted its environmental attribute inventory to net realizable value and recorded a loss of $0.4 million in cost of production.</w:t>
      </w:r>
    </w:p>
    <w:p>
      <w:pPr>
        <w:spacing w:after="0" w:line="202"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During the year ended December 31, 2022 and 2021, the Company adjusted its finished goods and work in process inventory to net realizable value and recorded a loss of $0.8 million and $5.2 million, respectively, in cost of production.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11</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Property, Plant and Equipment</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property, plant and equipment by classification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Useful Life (in</w:t>
            </w: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35"/>
        </w:trPr>
        <w:tc>
          <w:tcPr>
            <w:tcW w:w="66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years)</w:t>
            </w:r>
          </w:p>
        </w:tc>
        <w:tc>
          <w:tcPr>
            <w:tcW w:w="340" w:type="dxa"/>
            <w:vAlign w:val="bottom"/>
          </w:tcPr>
          <w:p>
            <w:pPr>
              <w:spacing w:after="0"/>
              <w:rPr>
                <w:sz w:val="20"/>
                <w:szCs w:val="20"/>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3"/>
              <w:spacing w:after="0"/>
              <w:rPr>
                <w:sz w:val="20"/>
                <w:szCs w:val="20"/>
                <w:color w:val="auto"/>
              </w:rPr>
            </w:pPr>
            <w:r>
              <w:rPr>
                <w:rFonts w:ascii="Arial" w:cs="Arial" w:eastAsia="Arial" w:hAnsi="Arial"/>
                <w:sz w:val="17"/>
                <w:szCs w:val="17"/>
                <w:b w:val="1"/>
                <w:bCs w:val="1"/>
                <w:color w:val="auto"/>
              </w:rPr>
              <w:t>2021</w:t>
            </w:r>
          </w:p>
        </w:tc>
      </w:tr>
      <w:tr>
        <w:trPr>
          <w:trHeight w:val="248"/>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6,452</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42"/>
        </w:trPr>
        <w:tc>
          <w:tcPr>
            <w:tcW w:w="6600" w:type="dxa"/>
            <w:vAlign w:val="bottom"/>
          </w:tcPr>
          <w:p>
            <w:pPr>
              <w:ind w:left="20"/>
              <w:spacing w:after="0"/>
              <w:rPr>
                <w:sz w:val="20"/>
                <w:szCs w:val="20"/>
                <w:color w:val="auto"/>
              </w:rPr>
            </w:pPr>
            <w:r>
              <w:rPr>
                <w:rFonts w:ascii="Arial" w:cs="Arial" w:eastAsia="Arial" w:hAnsi="Arial"/>
                <w:sz w:val="17"/>
                <w:szCs w:val="17"/>
                <w:color w:val="auto"/>
              </w:rPr>
              <w:t>Plant facilities and infrastructure</w:t>
            </w: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5 to 20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84,117</w:t>
            </w:r>
          </w:p>
        </w:tc>
      </w:tr>
      <w:tr>
        <w:trPr>
          <w:trHeight w:val="25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5 to 20</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87,248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25,369</w:t>
            </w:r>
          </w:p>
        </w:tc>
      </w:tr>
      <w:tr>
        <w:trPr>
          <w:trHeight w:val="242"/>
        </w:trPr>
        <w:tc>
          <w:tcPr>
            <w:tcW w:w="6600" w:type="dxa"/>
            <w:vAlign w:val="bottom"/>
          </w:tcPr>
          <w:p>
            <w:pPr>
              <w:ind w:left="20"/>
              <w:spacing w:after="0"/>
              <w:rPr>
                <w:sz w:val="20"/>
                <w:szCs w:val="20"/>
                <w:color w:val="auto"/>
              </w:rPr>
            </w:pPr>
            <w:r>
              <w:rPr>
                <w:rFonts w:ascii="Arial" w:cs="Arial" w:eastAsia="Arial" w:hAnsi="Arial"/>
                <w:sz w:val="17"/>
                <w:szCs w:val="17"/>
                <w:color w:val="auto"/>
              </w:rPr>
              <w:t>Furniture and office equipment</w:t>
            </w: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3 to 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2,550</w:t>
            </w:r>
          </w:p>
        </w:tc>
      </w:tr>
      <w:tr>
        <w:trPr>
          <w:trHeight w:val="25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3 to 6</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r>
      <w:tr>
        <w:trPr>
          <w:trHeight w:val="24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72,717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87,591</w:t>
            </w:r>
          </w:p>
        </w:tc>
      </w:tr>
      <w:tr>
        <w:trPr>
          <w:trHeight w:val="248"/>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plant and equipment</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201,601</w:t>
            </w:r>
          </w:p>
        </w:tc>
      </w:tr>
      <w:tr>
        <w:trPr>
          <w:trHeight w:val="24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(71,639)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(63,859)</w:t>
            </w:r>
          </w:p>
        </w:tc>
      </w:tr>
      <w:tr>
        <w:trPr>
          <w:trHeight w:val="27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176,872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137,742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recorded depreciation expenses of $6.5 million and $4.8 million for the years ended December 31, 2022 and 2021, respectively.</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 December 31, 2022, construction in progress included accruals of $13.8 million.</w:t>
      </w:r>
    </w:p>
    <w:p>
      <w:pPr>
        <w:spacing w:after="0" w:line="249"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Construction in progress includes $25.9 million for Gevo, $11.4 million for Agri-Energy related to a fractionation and hydrocarbon skid, $1.0 million for NW Iowa RNG and $34.4 million for NZ1 at December 31, 2022. Construction in progress includes $0.4 million for Gevo, $9.1 million for Agri-Energy, $55.5 million for NW Iowa RNG and $22.5 million for NZ1 at December 31, 2021. Construction in progress is not subject to depreciation until the assets are placed into service.</w:t>
      </w:r>
    </w:p>
    <w:p>
      <w:pPr>
        <w:spacing w:after="0" w:line="202"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i w:val="1"/>
          <w:iCs w:val="1"/>
          <w:color w:val="auto"/>
        </w:rPr>
        <w:t xml:space="preserve">Borrowing costs. </w:t>
      </w:r>
      <w:r>
        <w:rPr>
          <w:rFonts w:ascii="Arial" w:cs="Arial" w:eastAsia="Arial" w:hAnsi="Arial"/>
          <w:sz w:val="17"/>
          <w:szCs w:val="17"/>
          <w:color w:val="auto"/>
        </w:rPr>
        <w:t>Borrowing costs directly attributable to acquisition and construction of an asset are capitalized until it is completed and ready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use, and thereafter are recognized in profit or loss for the current period. The Company capitalized $0.3 million and nil of interest expense for the years ended December 31,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Intangible Assets</w:t>
      </w:r>
    </w:p>
    <w:p>
      <w:pPr>
        <w:spacing w:after="0" w:line="255" w:lineRule="exact"/>
        <w:rPr>
          <w:sz w:val="20"/>
          <w:szCs w:val="20"/>
          <w:color w:val="auto"/>
        </w:rPr>
      </w:pPr>
    </w:p>
    <w:p>
      <w:pPr>
        <w:ind w:right="40" w:firstLine="470"/>
        <w:spacing w:after="0" w:line="302" w:lineRule="auto"/>
        <w:rPr>
          <w:sz w:val="20"/>
          <w:szCs w:val="20"/>
          <w:color w:val="auto"/>
        </w:rPr>
      </w:pPr>
      <w:r>
        <w:rPr>
          <w:rFonts w:ascii="Arial" w:cs="Arial" w:eastAsia="Arial" w:hAnsi="Arial"/>
          <w:sz w:val="15"/>
          <w:szCs w:val="15"/>
          <w:color w:val="auto"/>
        </w:rPr>
        <w:t>On September 21, 2021, the Company entered into an asset purchase agreement with Butamax Advanced Biofuels LLC and its affiliate, Danisco US Inc. (collectively, "Butamax"), pursuant to which the Company purchased all of Butamax’s rights, title and interests in certain U.S. and foreign patents and patent applications, subject to specified conditions and encumbrances, relating to the production, recovery and use of biobutanol that were owned by Butamax, for $9.2 million, including $0.2 million of legal fees. Management evaluated the patents to determine whether the patents (i) supported current products; (ii) supported planned research and development; or (iii) prevent others from competing with Gevo's products. Based on the Company's estimated purchase price allocation, approximately $4.3 million of the purchase price was allocated to the purchase of patents to support current products and planned product research and $4.9 million for patents purchased for defensive purposes. The patents are included in "Intangible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Identifiable intangible assets were comprised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7"/>
                <w:szCs w:val="17"/>
                <w:b w:val="1"/>
                <w:bCs w:val="1"/>
                <w:color w:val="auto"/>
              </w:rPr>
              <w:t>December 31, 2022</w:t>
            </w: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04"/>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7"/>
                <w:szCs w:val="17"/>
                <w:b w:val="1"/>
                <w:bCs w:val="1"/>
                <w:color w:val="auto"/>
              </w:rPr>
              <w:t>Gross Carrying</w:t>
            </w: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b w:val="1"/>
                <w:bCs w:val="1"/>
                <w:color w:val="auto"/>
              </w:rPr>
              <w:t>Accumulated</w:t>
            </w:r>
          </w:p>
        </w:tc>
        <w:tc>
          <w:tcPr>
            <w:tcW w:w="260" w:type="dxa"/>
            <w:vAlign w:val="bottom"/>
          </w:tcPr>
          <w:p>
            <w:pPr>
              <w:spacing w:after="0"/>
              <w:rPr>
                <w:sz w:val="17"/>
                <w:szCs w:val="17"/>
                <w:color w:val="auto"/>
              </w:rPr>
            </w:pPr>
          </w:p>
        </w:tc>
        <w:tc>
          <w:tcPr>
            <w:tcW w:w="1440" w:type="dxa"/>
            <w:vAlign w:val="bottom"/>
          </w:tcPr>
          <w:p>
            <w:pPr>
              <w:jc w:val="right"/>
              <w:ind w:right="333"/>
              <w:spacing w:after="0"/>
              <w:rPr>
                <w:sz w:val="20"/>
                <w:szCs w:val="20"/>
                <w:color w:val="auto"/>
              </w:rPr>
            </w:pPr>
            <w:r>
              <w:rPr>
                <w:rFonts w:ascii="Arial" w:cs="Arial" w:eastAsia="Arial" w:hAnsi="Arial"/>
                <w:sz w:val="17"/>
                <w:szCs w:val="17"/>
                <w:b w:val="1"/>
                <w:bCs w:val="1"/>
                <w:color w:val="auto"/>
              </w:rPr>
              <w:t>Identifiable</w:t>
            </w:r>
          </w:p>
        </w:tc>
        <w:tc>
          <w:tcPr>
            <w:tcW w:w="80" w:type="dxa"/>
            <w:vAlign w:val="bottom"/>
          </w:tcPr>
          <w:p>
            <w:pPr>
              <w:spacing w:after="0"/>
              <w:rPr>
                <w:sz w:val="17"/>
                <w:szCs w:val="17"/>
                <w:color w:val="auto"/>
              </w:rPr>
            </w:pPr>
          </w:p>
        </w:tc>
        <w:tc>
          <w:tcPr>
            <w:tcW w:w="1700" w:type="dxa"/>
            <w:vAlign w:val="bottom"/>
          </w:tcPr>
          <w:p>
            <w:pPr>
              <w:jc w:val="right"/>
              <w:ind w:right="73"/>
              <w:spacing w:after="0"/>
              <w:rPr>
                <w:sz w:val="20"/>
                <w:szCs w:val="20"/>
                <w:color w:val="auto"/>
              </w:rPr>
            </w:pPr>
            <w:r>
              <w:rPr>
                <w:rFonts w:ascii="Arial" w:cs="Arial" w:eastAsia="Arial" w:hAnsi="Arial"/>
                <w:sz w:val="17"/>
                <w:szCs w:val="17"/>
                <w:b w:val="1"/>
                <w:bCs w:val="1"/>
                <w:color w:val="auto"/>
              </w:rPr>
              <w:t>Weighted-Average</w:t>
            </w:r>
          </w:p>
        </w:tc>
      </w:tr>
      <w:tr>
        <w:trPr>
          <w:trHeight w:val="247"/>
        </w:trPr>
        <w:tc>
          <w:tcPr>
            <w:tcW w:w="4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Intangible Assets, net</w:t>
            </w: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Life (Years)</w:t>
            </w:r>
          </w:p>
        </w:tc>
      </w:tr>
      <w:tr>
        <w:trPr>
          <w:trHeight w:val="248"/>
        </w:trPr>
        <w:tc>
          <w:tcPr>
            <w:tcW w:w="4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42"/>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Defensive assets</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8.4</w:t>
            </w:r>
          </w:p>
        </w:tc>
      </w:tr>
      <w:tr>
        <w:trPr>
          <w:trHeight w:val="273"/>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Identifiable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7,691</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7"/>
                <w:szCs w:val="17"/>
                <w:b w:val="1"/>
                <w:bCs w:val="1"/>
                <w:color w:val="auto"/>
              </w:rPr>
              <w:t>December 31, 2021</w:t>
            </w:r>
          </w:p>
        </w:tc>
        <w:tc>
          <w:tcPr>
            <w:tcW w:w="1780" w:type="dxa"/>
            <w:vAlign w:val="bottom"/>
            <w:tcBorders>
              <w:bottom w:val="single" w:sz="8" w:color="auto"/>
            </w:tcBorders>
          </w:tcPr>
          <w:p>
            <w:pPr>
              <w:spacing w:after="0"/>
              <w:rPr>
                <w:sz w:val="20"/>
                <w:szCs w:val="20"/>
                <w:color w:val="auto"/>
              </w:rPr>
            </w:pPr>
          </w:p>
        </w:tc>
      </w:tr>
      <w:tr>
        <w:trPr>
          <w:trHeight w:val="204"/>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Gross Carrying</w:t>
            </w: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b w:val="1"/>
                <w:bCs w:val="1"/>
                <w:color w:val="auto"/>
              </w:rPr>
              <w:t>Accumulated</w:t>
            </w:r>
          </w:p>
        </w:tc>
        <w:tc>
          <w:tcPr>
            <w:tcW w:w="260" w:type="dxa"/>
            <w:vAlign w:val="bottom"/>
          </w:tcPr>
          <w:p>
            <w:pPr>
              <w:spacing w:after="0"/>
              <w:rPr>
                <w:sz w:val="17"/>
                <w:szCs w:val="17"/>
                <w:color w:val="auto"/>
              </w:rPr>
            </w:pPr>
          </w:p>
        </w:tc>
        <w:tc>
          <w:tcPr>
            <w:tcW w:w="1440" w:type="dxa"/>
            <w:vAlign w:val="bottom"/>
          </w:tcPr>
          <w:p>
            <w:pPr>
              <w:jc w:val="right"/>
              <w:ind w:right="333"/>
              <w:spacing w:after="0"/>
              <w:rPr>
                <w:sz w:val="20"/>
                <w:szCs w:val="20"/>
                <w:color w:val="auto"/>
              </w:rPr>
            </w:pPr>
            <w:r>
              <w:rPr>
                <w:rFonts w:ascii="Arial" w:cs="Arial" w:eastAsia="Arial" w:hAnsi="Arial"/>
                <w:sz w:val="17"/>
                <w:szCs w:val="17"/>
                <w:b w:val="1"/>
                <w:bCs w:val="1"/>
                <w:color w:val="auto"/>
              </w:rPr>
              <w:t>Identifiable</w:t>
            </w:r>
          </w:p>
        </w:tc>
        <w:tc>
          <w:tcPr>
            <w:tcW w:w="1780" w:type="dxa"/>
            <w:vAlign w:val="bottom"/>
          </w:tcPr>
          <w:p>
            <w:pPr>
              <w:jc w:val="right"/>
              <w:ind w:right="73"/>
              <w:spacing w:after="0"/>
              <w:rPr>
                <w:sz w:val="20"/>
                <w:szCs w:val="20"/>
                <w:color w:val="auto"/>
              </w:rPr>
            </w:pPr>
            <w:r>
              <w:rPr>
                <w:rFonts w:ascii="Arial" w:cs="Arial" w:eastAsia="Arial" w:hAnsi="Arial"/>
                <w:sz w:val="17"/>
                <w:szCs w:val="17"/>
                <w:b w:val="1"/>
                <w:bCs w:val="1"/>
                <w:color w:val="auto"/>
              </w:rPr>
              <w:t>Weighted-Average</w:t>
            </w:r>
          </w:p>
        </w:tc>
      </w:tr>
      <w:tr>
        <w:trPr>
          <w:trHeight w:val="247"/>
        </w:trPr>
        <w:tc>
          <w:tcPr>
            <w:tcW w:w="4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Amount</w:t>
            </w:r>
          </w:p>
        </w:tc>
        <w:tc>
          <w:tcPr>
            <w:tcW w:w="24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Amortization</w:t>
            </w:r>
          </w:p>
        </w:tc>
        <w:tc>
          <w:tcPr>
            <w:tcW w:w="1700" w:type="dxa"/>
            <w:vAlign w:val="bottom"/>
            <w:gridSpan w:val="2"/>
          </w:tcPr>
          <w:p>
            <w:pPr>
              <w:jc w:val="right"/>
              <w:spacing w:after="0"/>
              <w:rPr>
                <w:sz w:val="20"/>
                <w:szCs w:val="20"/>
                <w:color w:val="auto"/>
              </w:rPr>
            </w:pPr>
            <w:r>
              <w:rPr>
                <w:rFonts w:ascii="Arial" w:cs="Arial" w:eastAsia="Arial" w:hAnsi="Arial"/>
                <w:sz w:val="17"/>
                <w:szCs w:val="17"/>
                <w:b w:val="1"/>
                <w:bCs w:val="1"/>
                <w:color w:val="auto"/>
                <w:w w:val="92"/>
              </w:rPr>
              <w:t>Intangible Assets, net</w:t>
            </w:r>
          </w:p>
        </w:tc>
        <w:tc>
          <w:tcPr>
            <w:tcW w:w="1780" w:type="dxa"/>
            <w:vAlign w:val="bottom"/>
          </w:tcPr>
          <w:p>
            <w:pPr>
              <w:jc w:val="right"/>
              <w:ind w:right="313"/>
              <w:spacing w:after="0"/>
              <w:rPr>
                <w:sz w:val="20"/>
                <w:szCs w:val="20"/>
                <w:color w:val="auto"/>
              </w:rPr>
            </w:pPr>
            <w:r>
              <w:rPr>
                <w:rFonts w:ascii="Arial" w:cs="Arial" w:eastAsia="Arial" w:hAnsi="Arial"/>
                <w:sz w:val="17"/>
                <w:szCs w:val="17"/>
                <w:b w:val="1"/>
                <w:bCs w:val="1"/>
                <w:color w:val="auto"/>
              </w:rPr>
              <w:t>Life (Years)</w:t>
            </w:r>
          </w:p>
        </w:tc>
      </w:tr>
      <w:tr>
        <w:trPr>
          <w:trHeight w:val="25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4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Defensive assets</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8.4</w:t>
            </w:r>
          </w:p>
        </w:tc>
      </w:tr>
      <w:tr>
        <w:trPr>
          <w:trHeight w:val="273"/>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Identifiable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8,938</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recorded amortization expense of $1.3 million and $0.3 million for the years ended December 31, 2022 and 2021, respectively.</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details the estimated amortization of identifiable intangible assets as of December 31, 2022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38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7"/>
                <w:szCs w:val="17"/>
                <w:b w:val="1"/>
                <w:bCs w:val="1"/>
                <w:color w:val="auto"/>
              </w:rPr>
              <w:t>Patents</w:t>
            </w: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Defensive Assets</w:t>
            </w:r>
          </w:p>
        </w:tc>
        <w:tc>
          <w:tcPr>
            <w:tcW w:w="420" w:type="dxa"/>
            <w:vAlign w:val="bottom"/>
          </w:tcPr>
          <w:p>
            <w:pPr>
              <w:spacing w:after="0"/>
              <w:rPr>
                <w:sz w:val="20"/>
                <w:szCs w:val="20"/>
                <w:color w:val="auto"/>
              </w:rPr>
            </w:pPr>
          </w:p>
        </w:tc>
        <w:tc>
          <w:tcPr>
            <w:tcW w:w="1400" w:type="dxa"/>
            <w:vAlign w:val="bottom"/>
          </w:tcPr>
          <w:p>
            <w:pPr>
              <w:jc w:val="right"/>
              <w:ind w:right="633"/>
              <w:spacing w:after="0"/>
              <w:rPr>
                <w:sz w:val="20"/>
                <w:szCs w:val="20"/>
                <w:color w:val="auto"/>
              </w:rPr>
            </w:pPr>
            <w:r>
              <w:rPr>
                <w:rFonts w:ascii="Arial" w:cs="Arial" w:eastAsia="Arial" w:hAnsi="Arial"/>
                <w:sz w:val="17"/>
                <w:szCs w:val="17"/>
                <w:b w:val="1"/>
                <w:bCs w:val="1"/>
                <w:color w:val="auto"/>
              </w:rPr>
              <w:t>Total</w:t>
            </w:r>
          </w:p>
        </w:tc>
      </w:tr>
      <w:tr>
        <w:trPr>
          <w:trHeight w:val="248"/>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42"/>
        </w:trPr>
        <w:tc>
          <w:tcPr>
            <w:tcW w:w="548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1,168</w:t>
            </w:r>
          </w:p>
        </w:tc>
      </w:tr>
      <w:tr>
        <w:trPr>
          <w:trHeight w:val="255"/>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42"/>
        </w:trPr>
        <w:tc>
          <w:tcPr>
            <w:tcW w:w="548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1,164</w:t>
            </w:r>
          </w:p>
        </w:tc>
      </w:tr>
      <w:tr>
        <w:trPr>
          <w:trHeight w:val="255"/>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42"/>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2028 and thereafter</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w:t>
            </w:r>
          </w:p>
        </w:tc>
      </w:tr>
      <w:tr>
        <w:trPr>
          <w:trHeight w:val="273"/>
        </w:trPr>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Deposits and Other Assets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deposits and other assets (in thousands) as of: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7"/>
                <w:szCs w:val="17"/>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41"/>
        </w:trPr>
        <w:tc>
          <w:tcPr>
            <w:tcW w:w="70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20"/>
                <w:szCs w:val="20"/>
                <w:color w:val="auto"/>
              </w:rPr>
            </w:pP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Deposits </w:t>
            </w:r>
            <w:r>
              <w:rPr>
                <w:rFonts w:ascii="Arial" w:cs="Arial" w:eastAsia="Arial" w:hAnsi="Arial"/>
                <w:sz w:val="22"/>
                <w:szCs w:val="22"/>
                <w:color w:val="auto"/>
                <w:vertAlign w:val="superscript"/>
              </w:rPr>
              <w:t>(1)</w:t>
            </w: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22"/>
        </w:trPr>
        <w:tc>
          <w:tcPr>
            <w:tcW w:w="70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Prepaid feedstock </w:t>
            </w:r>
            <w:r>
              <w:rPr>
                <w:rFonts w:ascii="Arial" w:cs="Arial" w:eastAsia="Arial" w:hAnsi="Arial"/>
                <w:sz w:val="22"/>
                <w:szCs w:val="22"/>
                <w:color w:val="auto"/>
                <w:vertAlign w:val="superscript"/>
              </w:rPr>
              <w:t>(2)</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Equity interest </w:t>
            </w:r>
            <w:r>
              <w:rPr>
                <w:rFonts w:ascii="Arial" w:cs="Arial" w:eastAsia="Arial" w:hAnsi="Arial"/>
                <w:sz w:val="22"/>
                <w:szCs w:val="22"/>
                <w:color w:val="auto"/>
                <w:vertAlign w:val="superscript"/>
              </w:rPr>
              <w:t>(3)</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22"/>
        </w:trPr>
        <w:tc>
          <w:tcPr>
            <w:tcW w:w="70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Exclusivity fees </w:t>
            </w:r>
            <w:r>
              <w:rPr>
                <w:rFonts w:ascii="Arial" w:cs="Arial" w:eastAsia="Arial" w:hAnsi="Arial"/>
                <w:sz w:val="22"/>
                <w:szCs w:val="22"/>
                <w:color w:val="auto"/>
                <w:vertAlign w:val="superscript"/>
              </w:rPr>
              <w:t>(4)</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3,250</w:t>
            </w: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Deposits receivable </w:t>
            </w:r>
            <w:r>
              <w:rPr>
                <w:rFonts w:ascii="Arial" w:cs="Arial" w:eastAsia="Arial" w:hAnsi="Arial"/>
                <w:sz w:val="22"/>
                <w:szCs w:val="22"/>
                <w:color w:val="auto"/>
                <w:vertAlign w:val="superscript"/>
              </w:rPr>
              <w:t>(5)</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Other assets, net </w:t>
            </w:r>
            <w:r>
              <w:rPr>
                <w:rFonts w:ascii="Arial" w:cs="Arial" w:eastAsia="Arial" w:hAnsi="Arial"/>
                <w:sz w:val="22"/>
                <w:szCs w:val="22"/>
                <w:color w:val="auto"/>
                <w:vertAlign w:val="superscript"/>
              </w:rPr>
              <w:t>(6)</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7,365</w:t>
            </w:r>
          </w:p>
        </w:tc>
      </w:tr>
      <w:tr>
        <w:trPr>
          <w:trHeight w:val="24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Deposits and Other Assets</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Deposits for legal services and products for NZ1.</w:t>
      </w:r>
    </w:p>
    <w:p>
      <w:pPr>
        <w:spacing w:after="0" w:line="25" w:lineRule="exact"/>
        <w:rPr>
          <w:rFonts w:ascii="Arial" w:cs="Arial" w:eastAsia="Arial" w:hAnsi="Arial"/>
          <w:sz w:val="17"/>
          <w:szCs w:val="17"/>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Prepaid feedstock fees, non-current, for the production of RNG.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left="320" w:right="40" w:hanging="315"/>
        <w:spacing w:after="0" w:line="259" w:lineRule="auto"/>
        <w:tabs>
          <w:tab w:leader="none" w:pos="3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directly holds a 4.6% interest in the Series A Preferred Stock of Zero6 Clean Energy Assets, Inc. ("Zero6"), formerly Juhl Clean Energy Assets, Inc., which is not a publicly listed entity with a readily determinable fair value. The Company therefore measures the securities at cost, which is deemed to be the value indicated by the last observable transaction in Zero6's stock, subject to impairment. The equity interest in Zero6 is also pledged as collateral against two future obligations to Rock County Wind Fuel, LLC ("RCWF"), a Zero6 subsidiary, see Note 19, Commitments and Contingencies, for additional information.</w:t>
      </w:r>
    </w:p>
    <w:p>
      <w:pPr>
        <w:spacing w:after="0" w:line="2" w:lineRule="exact"/>
        <w:rPr>
          <w:rFonts w:ascii="Arial" w:cs="Arial" w:eastAsia="Arial" w:hAnsi="Arial"/>
          <w:sz w:val="17"/>
          <w:szCs w:val="17"/>
          <w:color w:val="auto"/>
        </w:rPr>
      </w:pPr>
    </w:p>
    <w:p>
      <w:pPr>
        <w:ind w:left="320" w:right="260" w:hanging="315"/>
        <w:spacing w:after="0" w:line="256" w:lineRule="auto"/>
        <w:tabs>
          <w:tab w:leader="none" w:pos="3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Axens North America, Inc. ("Axens") will provide certain alcohol-to-SAF technologies and services exclusively provided to the Company which may be offset against future license fees subject to the delivery of a process design package.</w:t>
      </w:r>
    </w:p>
    <w:p>
      <w:pPr>
        <w:spacing w:after="0" w:line="1" w:lineRule="exact"/>
        <w:rPr>
          <w:rFonts w:ascii="Arial" w:cs="Arial" w:eastAsia="Arial" w:hAnsi="Arial"/>
          <w:sz w:val="17"/>
          <w:szCs w:val="17"/>
          <w:color w:val="auto"/>
        </w:rPr>
      </w:pPr>
    </w:p>
    <w:p>
      <w:pPr>
        <w:ind w:left="320" w:right="240" w:hanging="315"/>
        <w:spacing w:after="0" w:line="256" w:lineRule="auto"/>
        <w:tabs>
          <w:tab w:leader="none" w:pos="3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Deposits provided to a developer of certain wind-farm projects and power utility contractor to induce to design and construct the power generation, transmission and distribution facilities that will serve NZ1, $5.5 million of which will be either reimbursed or used as an investment into wind generation facility and the remaining $2.8 million is expected to be fully reimbursed upon completion of the project. Gevo has contractual priority liens against the equipment and constructed facilities under the contracts.</w:t>
      </w:r>
    </w:p>
    <w:p>
      <w:pPr>
        <w:spacing w:after="0" w:line="2" w:lineRule="exact"/>
        <w:rPr>
          <w:rFonts w:ascii="Arial" w:cs="Arial" w:eastAsia="Arial" w:hAnsi="Arial"/>
          <w:sz w:val="17"/>
          <w:szCs w:val="17"/>
          <w:color w:val="auto"/>
        </w:rPr>
      </w:pPr>
    </w:p>
    <w:p>
      <w:pPr>
        <w:ind w:left="320" w:right="40" w:hanging="315"/>
        <w:spacing w:after="0" w:line="273" w:lineRule="auto"/>
        <w:tabs>
          <w:tab w:leader="none" w:pos="3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Payments which were allocated to the non-lease fuel supply, primarily related to sand separation systems, to support NW Iowa RNG fuel supply agreements prior to commencement of operations, being amortized over the life of the project.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Accounts Payable and Accrued Liabilities</w:t>
      </w:r>
    </w:p>
    <w:p>
      <w:pPr>
        <w:spacing w:after="0" w:line="255" w:lineRule="exact"/>
        <w:rPr>
          <w:sz w:val="20"/>
          <w:szCs w:val="20"/>
          <w:color w:val="auto"/>
        </w:rPr>
      </w:pPr>
    </w:p>
    <w:p>
      <w:pPr>
        <w:ind w:right="740" w:firstLine="470"/>
        <w:spacing w:after="0" w:line="288" w:lineRule="auto"/>
        <w:rPr>
          <w:sz w:val="20"/>
          <w:szCs w:val="20"/>
          <w:color w:val="auto"/>
        </w:rPr>
      </w:pPr>
      <w:r>
        <w:rPr>
          <w:rFonts w:ascii="Arial" w:cs="Arial" w:eastAsia="Arial" w:hAnsi="Arial"/>
          <w:sz w:val="17"/>
          <w:szCs w:val="17"/>
          <w:color w:val="auto"/>
        </w:rPr>
        <w:t>The following table sets forth the components of the Company’s accounts payable and accrued liabilities in the Consolidated Balance Sheets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41"/>
        </w:trPr>
        <w:tc>
          <w:tcPr>
            <w:tcW w:w="8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20"/>
                <w:szCs w:val="20"/>
                <w:color w:val="auto"/>
              </w:rPr>
            </w:pP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r>
      <w:tr>
        <w:trPr>
          <w:trHeight w:val="242"/>
        </w:trPr>
        <w:tc>
          <w:tcPr>
            <w:tcW w:w="818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12,594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18,642</w:t>
            </w:r>
          </w:p>
        </w:tc>
      </w:tr>
      <w:tr>
        <w:trPr>
          <w:trHeight w:val="255"/>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and related benefits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w:t>
            </w:r>
          </w:p>
        </w:tc>
      </w:tr>
      <w:tr>
        <w:trPr>
          <w:trHeight w:val="24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sales and use tax</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2,052</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7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accounts payable and accrued liabilities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24,760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28,150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Bond Issuance</w:t>
      </w:r>
    </w:p>
    <w:p>
      <w:pPr>
        <w:spacing w:after="0" w:line="255"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bonds were issued under a Trust Indenture dated April 1, 2021 (the "Indenture") between the Authority and Citibank, N.A. as trustee (the "Trustee"). The 2021 Bonds mature April 1, 2042. The bonds bear interest at 1.5% per annum during the Initial Term Rate Period, (as defined in the Indenture), payable semi-annually on January 1 and July 1 of each year. The effective interest rate is 1.0%. The bonds are supported by the $71.2 million Bond Letter of Credit; see Note 7, Restricted Cash. The Trustee can draw sufficient amounts on the Bond Letter of Credit to pay the principal and interest until the first mandatory tender date of April 1, 2024. The bonds are callable and re-marketable on or after October 1, 2022. If the bonds have not been called and re-marketed by the first mandatory tender date, the Trustee may draw on the Bond Letter of Credit to repay the bonds in their entirety at the purchase price. As of December 31, 2022, no amounts have been drawn under the Bond Letter of Credit.</w:t>
      </w:r>
    </w:p>
    <w:p>
      <w:pPr>
        <w:spacing w:after="0" w:line="209" w:lineRule="exact"/>
        <w:rPr>
          <w:sz w:val="20"/>
          <w:szCs w:val="20"/>
          <w:color w:val="auto"/>
        </w:rPr>
      </w:pPr>
    </w:p>
    <w:p>
      <w:pPr>
        <w:jc w:val="both"/>
        <w:ind w:right="100" w:firstLine="470"/>
        <w:spacing w:after="0" w:line="324" w:lineRule="auto"/>
        <w:rPr>
          <w:sz w:val="20"/>
          <w:szCs w:val="20"/>
          <w:color w:val="auto"/>
        </w:rPr>
      </w:pPr>
      <w:r>
        <w:rPr>
          <w:rFonts w:ascii="Arial" w:cs="Arial" w:eastAsia="Arial" w:hAnsi="Arial"/>
          <w:sz w:val="15"/>
          <w:szCs w:val="15"/>
          <w:color w:val="auto"/>
        </w:rPr>
        <w:t>The 2021 Bonds were issued at a premium of $0.8 million and debt issuance costs were $3.0 million. The bond debt is classified as long-term debt and is presented net of the premium and issuance costs, which are being amortized over the life of the bonds using the interest method. As of December 31, 2022 and 2021, the premium balance and the debt issuance cost net of amortization were $0.4 million, $0.7 million, $1.3 million and $2.3 million,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Loans Payable - Other</w:t>
      </w:r>
    </w:p>
    <w:p>
      <w:pPr>
        <w:spacing w:after="0" w:line="249"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SBA PPP totaling $1.0 million in the aggregate (the "SBA Loans").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April 2021, the entire balance of $0.5 million of the Company's and $0.1 million of Agri-Energy's loans and accrued interest obtained through the SBA</w:t>
      </w:r>
    </w:p>
    <w:p>
      <w:pPr>
        <w:spacing w:after="0" w:line="37" w:lineRule="exact"/>
        <w:rPr>
          <w:sz w:val="20"/>
          <w:szCs w:val="20"/>
          <w:color w:val="auto"/>
        </w:rPr>
      </w:pPr>
    </w:p>
    <w:p>
      <w:pPr>
        <w:ind w:right="620" w:firstLine="5"/>
        <w:spacing w:after="0" w:line="305" w:lineRule="auto"/>
        <w:tabs>
          <w:tab w:leader="none" w:pos="3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were forgiven. The remaining SBA Loan for Agri-Energy totals $0.3 million, bears interest at 1.0% per annum and matures in April 2025. Monthly payments of $8,230, including interest, began on June 5, 2021 and are payable through April 2025.</w:t>
      </w:r>
    </w:p>
    <w:p>
      <w:pPr>
        <w:spacing w:after="0" w:line="174" w:lineRule="exact"/>
        <w:rPr>
          <w:sz w:val="20"/>
          <w:szCs w:val="20"/>
          <w:color w:val="auto"/>
        </w:rPr>
      </w:pPr>
    </w:p>
    <w:p>
      <w:pPr>
        <w:jc w:val="both"/>
        <w:ind w:right="220" w:firstLine="470"/>
        <w:spacing w:after="0" w:line="272" w:lineRule="auto"/>
        <w:rPr>
          <w:sz w:val="20"/>
          <w:szCs w:val="20"/>
          <w:color w:val="auto"/>
        </w:rPr>
      </w:pPr>
      <w:r>
        <w:rPr>
          <w:rFonts w:ascii="Arial" w:cs="Arial" w:eastAsia="Arial" w:hAnsi="Arial"/>
          <w:sz w:val="17"/>
          <w:szCs w:val="17"/>
          <w:color w:val="auto"/>
        </w:rPr>
        <w:t>The SBA Loans are treated as debt on the Consolidated Balance Sheets and classified as "Loans payable – other (current)" and "Loans payable – other (long-term)". The Consolidated Statements of Operations classifies the interest as "Interest expense" and the loan forgiveness as "Gain on forgiveness of SBA Loans".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80" w:type="dxa"/>
            <w:vAlign w:val="bottom"/>
            <w:gridSpan w:val="5"/>
          </w:tcPr>
          <w:p>
            <w:pPr>
              <w:jc w:val="center"/>
              <w:ind w:left="273"/>
              <w:spacing w:after="0"/>
              <w:rPr>
                <w:sz w:val="20"/>
                <w:szCs w:val="20"/>
                <w:color w:val="auto"/>
              </w:rPr>
            </w:pPr>
            <w:r>
              <w:rPr>
                <w:rFonts w:ascii="Arial" w:cs="Arial" w:eastAsia="Arial" w:hAnsi="Arial"/>
                <w:sz w:val="17"/>
                <w:szCs w:val="17"/>
                <w:color w:val="auto"/>
                <w:w w:val="93"/>
              </w:rPr>
              <w:t>The summary of the Company's long-term debt is as follows (in thousands) as of:</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35"/>
        </w:trPr>
        <w:tc>
          <w:tcPr>
            <w:tcW w:w="25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393"/>
              <w:spacing w:after="0"/>
              <w:rPr>
                <w:sz w:val="20"/>
                <w:szCs w:val="20"/>
                <w:color w:val="auto"/>
              </w:rPr>
            </w:pPr>
            <w:r>
              <w:rPr>
                <w:rFonts w:ascii="Arial" w:cs="Arial" w:eastAsia="Arial" w:hAnsi="Arial"/>
                <w:sz w:val="17"/>
                <w:szCs w:val="17"/>
                <w:b w:val="1"/>
                <w:bCs w:val="1"/>
                <w:color w:val="auto"/>
                <w:w w:val="93"/>
              </w:rPr>
              <w:t>Interest Rate</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Maturity Date</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2"/>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Bonds</w:t>
            </w:r>
          </w:p>
        </w:tc>
        <w:tc>
          <w:tcPr>
            <w:tcW w:w="1600" w:type="dxa"/>
            <w:vAlign w:val="bottom"/>
            <w:shd w:val="clear" w:color="auto" w:fill="CCEEFF"/>
          </w:tcPr>
          <w:p>
            <w:pPr>
              <w:jc w:val="center"/>
              <w:ind w:left="393"/>
              <w:spacing w:after="0"/>
              <w:rPr>
                <w:sz w:val="20"/>
                <w:szCs w:val="20"/>
                <w:color w:val="auto"/>
              </w:rPr>
            </w:pPr>
            <w:r>
              <w:rPr>
                <w:rFonts w:ascii="Arial" w:cs="Arial" w:eastAsia="Arial" w:hAnsi="Arial"/>
                <w:sz w:val="17"/>
                <w:szCs w:val="17"/>
                <w:color w:val="auto"/>
                <w:w w:val="92"/>
              </w:rPr>
              <w:t>1.5%</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jc w:val="center"/>
              <w:ind w:right="100"/>
              <w:spacing w:after="0"/>
              <w:rPr>
                <w:sz w:val="20"/>
                <w:szCs w:val="20"/>
                <w:color w:val="auto"/>
              </w:rPr>
            </w:pPr>
            <w:r>
              <w:rPr>
                <w:rFonts w:ascii="Arial" w:cs="Arial" w:eastAsia="Arial" w:hAnsi="Arial"/>
                <w:sz w:val="17"/>
                <w:szCs w:val="17"/>
                <w:color w:val="auto"/>
                <w:w w:val="89"/>
              </w:rPr>
              <w:t>January 2042</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67,223</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66,486</w:t>
            </w:r>
          </w:p>
        </w:tc>
        <w:tc>
          <w:tcPr>
            <w:tcW w:w="0" w:type="dxa"/>
            <w:vAlign w:val="bottom"/>
          </w:tcPr>
          <w:p>
            <w:pPr>
              <w:spacing w:after="0"/>
              <w:rPr>
                <w:sz w:val="1"/>
                <w:szCs w:val="1"/>
                <w:color w:val="auto"/>
              </w:rPr>
            </w:pPr>
          </w:p>
        </w:tc>
      </w:tr>
      <w:tr>
        <w:trPr>
          <w:trHeight w:val="222"/>
        </w:trPr>
        <w:tc>
          <w:tcPr>
            <w:tcW w:w="2560" w:type="dxa"/>
            <w:vAlign w:val="bottom"/>
          </w:tcPr>
          <w:p>
            <w:pPr>
              <w:ind w:left="20"/>
              <w:spacing w:after="0"/>
              <w:rPr>
                <w:sz w:val="20"/>
                <w:szCs w:val="20"/>
                <w:color w:val="auto"/>
              </w:rPr>
            </w:pPr>
            <w:r>
              <w:rPr>
                <w:rFonts w:ascii="Arial" w:cs="Arial" w:eastAsia="Arial" w:hAnsi="Arial"/>
                <w:sz w:val="17"/>
                <w:szCs w:val="17"/>
                <w:color w:val="auto"/>
              </w:rPr>
              <w:t>SBA Loans</w:t>
            </w:r>
          </w:p>
        </w:tc>
        <w:tc>
          <w:tcPr>
            <w:tcW w:w="1600" w:type="dxa"/>
            <w:vAlign w:val="bottom"/>
          </w:tcPr>
          <w:p>
            <w:pPr>
              <w:jc w:val="center"/>
              <w:ind w:left="393"/>
              <w:spacing w:after="0"/>
              <w:rPr>
                <w:sz w:val="20"/>
                <w:szCs w:val="20"/>
                <w:color w:val="auto"/>
              </w:rPr>
            </w:pPr>
            <w:r>
              <w:rPr>
                <w:rFonts w:ascii="Arial" w:cs="Arial" w:eastAsia="Arial" w:hAnsi="Arial"/>
                <w:sz w:val="17"/>
                <w:szCs w:val="17"/>
                <w:color w:val="auto"/>
                <w:w w:val="92"/>
              </w:rPr>
              <w:t>1.0%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center"/>
              <w:ind w:left="1233"/>
              <w:spacing w:after="0"/>
              <w:rPr>
                <w:sz w:val="20"/>
                <w:szCs w:val="20"/>
                <w:color w:val="auto"/>
              </w:rPr>
            </w:pPr>
            <w:r>
              <w:rPr>
                <w:rFonts w:ascii="Arial" w:cs="Arial" w:eastAsia="Arial" w:hAnsi="Arial"/>
                <w:sz w:val="17"/>
                <w:szCs w:val="17"/>
                <w:color w:val="auto"/>
                <w:w w:val="99"/>
              </w:rPr>
              <w:t>April 2025</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22"/>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1600" w:type="dxa"/>
            <w:vAlign w:val="bottom"/>
            <w:shd w:val="clear" w:color="auto" w:fill="CCEEFF"/>
          </w:tcPr>
          <w:p>
            <w:pPr>
              <w:jc w:val="center"/>
              <w:ind w:right="13"/>
              <w:spacing w:after="0"/>
              <w:rPr>
                <w:sz w:val="20"/>
                <w:szCs w:val="20"/>
                <w:color w:val="auto"/>
              </w:rPr>
            </w:pPr>
            <w:r>
              <w:rPr>
                <w:rFonts w:ascii="Arial" w:cs="Arial" w:eastAsia="Arial" w:hAnsi="Arial"/>
                <w:sz w:val="17"/>
                <w:szCs w:val="17"/>
                <w:color w:val="auto"/>
              </w:rPr>
              <w:t>4.0 %  to</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February 2022</w:t>
            </w:r>
          </w:p>
        </w:tc>
        <w:tc>
          <w:tcPr>
            <w:tcW w:w="560" w:type="dxa"/>
            <w:vAlign w:val="bottom"/>
            <w:shd w:val="clear" w:color="auto" w:fill="CCEEFF"/>
          </w:tcPr>
          <w:p>
            <w:pPr>
              <w:jc w:val="center"/>
              <w:ind w:right="113"/>
              <w:spacing w:after="0"/>
              <w:rPr>
                <w:sz w:val="20"/>
                <w:szCs w:val="20"/>
                <w:color w:val="auto"/>
              </w:rPr>
            </w:pPr>
            <w:r>
              <w:rPr>
                <w:rFonts w:ascii="Arial" w:cs="Arial" w:eastAsia="Arial" w:hAnsi="Arial"/>
                <w:sz w:val="17"/>
                <w:szCs w:val="17"/>
                <w:color w:val="auto"/>
                <w:w w:val="84"/>
              </w:rPr>
              <w:t>to</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2024</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15"/>
        </w:trPr>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loans payable - other</w:t>
            </w:r>
          </w:p>
        </w:tc>
        <w:tc>
          <w:tcPr>
            <w:tcW w:w="16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67,541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66,962</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1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7"/>
                <w:szCs w:val="17"/>
                <w:color w:val="auto"/>
              </w:rPr>
              <w:t>Long-term portion</w:t>
            </w: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67,382</w:t>
            </w:r>
          </w:p>
        </w:tc>
        <w:tc>
          <w:tcPr>
            <w:tcW w:w="3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66,804</w:t>
            </w:r>
          </w:p>
        </w:tc>
        <w:tc>
          <w:tcPr>
            <w:tcW w:w="0" w:type="dxa"/>
            <w:vAlign w:val="bottom"/>
          </w:tcPr>
          <w:p>
            <w:pPr>
              <w:spacing w:after="0"/>
              <w:rPr>
                <w:sz w:val="1"/>
                <w:szCs w:val="1"/>
                <w:color w:val="auto"/>
              </w:rPr>
            </w:pPr>
          </w:p>
        </w:tc>
      </w:tr>
      <w:tr>
        <w:trPr>
          <w:trHeight w:val="20"/>
        </w:trPr>
        <w:tc>
          <w:tcPr>
            <w:tcW w:w="6280" w:type="dxa"/>
            <w:vAlign w:val="bottom"/>
            <w:gridSpan w:val="5"/>
            <w:vMerge w:val="restart"/>
          </w:tcPr>
          <w:p>
            <w:pPr>
              <w:jc w:val="center"/>
              <w:ind w:left="253"/>
              <w:spacing w:after="0"/>
              <w:rPr>
                <w:sz w:val="20"/>
                <w:szCs w:val="20"/>
                <w:color w:val="auto"/>
              </w:rPr>
            </w:pPr>
            <w:r>
              <w:rPr>
                <w:rFonts w:ascii="Arial" w:cs="Arial" w:eastAsia="Arial" w:hAnsi="Arial"/>
                <w:sz w:val="17"/>
                <w:szCs w:val="17"/>
                <w:color w:val="auto"/>
                <w:w w:val="92"/>
              </w:rPr>
              <w:t>Future payments for the Company's long-term debt are as follows (in thousands):</w:t>
            </w: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80" w:type="dxa"/>
            <w:vAlign w:val="bottom"/>
            <w:gridSpan w:val="5"/>
            <w:vMerge w:val="continue"/>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16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Total Debt</w:t>
            </w:r>
          </w:p>
        </w:tc>
        <w:tc>
          <w:tcPr>
            <w:tcW w:w="0" w:type="dxa"/>
            <w:vAlign w:val="bottom"/>
          </w:tcPr>
          <w:p>
            <w:pPr>
              <w:spacing w:after="0"/>
              <w:rPr>
                <w:sz w:val="1"/>
                <w:szCs w:val="1"/>
                <w:color w:val="auto"/>
              </w:rPr>
            </w:pPr>
          </w:p>
        </w:tc>
      </w:tr>
      <w:tr>
        <w:trPr>
          <w:trHeight w:val="248"/>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42"/>
        </w:trPr>
        <w:tc>
          <w:tcPr>
            <w:tcW w:w="2560" w:type="dxa"/>
            <w:vAlign w:val="bottom"/>
          </w:tcPr>
          <w:p>
            <w:pPr>
              <w:ind w:left="20"/>
              <w:spacing w:after="0"/>
              <w:rPr>
                <w:sz w:val="20"/>
                <w:szCs w:val="20"/>
                <w:color w:val="auto"/>
              </w:rPr>
            </w:pPr>
            <w:r>
              <w:rPr>
                <w:rFonts w:ascii="Arial" w:cs="Arial" w:eastAsia="Arial" w:hAnsi="Arial"/>
                <w:sz w:val="17"/>
                <w:szCs w:val="17"/>
                <w:color w:val="auto"/>
              </w:rPr>
              <w:t>2024</w:t>
            </w:r>
          </w:p>
        </w:tc>
        <w:tc>
          <w:tcPr>
            <w:tcW w:w="1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67,352</w:t>
            </w:r>
          </w:p>
        </w:tc>
        <w:tc>
          <w:tcPr>
            <w:tcW w:w="0" w:type="dxa"/>
            <w:vAlign w:val="bottom"/>
          </w:tcPr>
          <w:p>
            <w:pPr>
              <w:spacing w:after="0"/>
              <w:rPr>
                <w:sz w:val="1"/>
                <w:szCs w:val="1"/>
                <w:color w:val="auto"/>
              </w:rPr>
            </w:pPr>
          </w:p>
        </w:tc>
      </w:tr>
      <w:tr>
        <w:trPr>
          <w:trHeight w:val="248"/>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2560" w:type="dxa"/>
            <w:vAlign w:val="bottom"/>
          </w:tcPr>
          <w:p>
            <w:pPr>
              <w:ind w:left="260"/>
              <w:spacing w:after="0"/>
              <w:rPr>
                <w:sz w:val="20"/>
                <w:szCs w:val="20"/>
                <w:color w:val="auto"/>
              </w:rPr>
            </w:pPr>
            <w:r>
              <w:rPr>
                <w:rFonts w:ascii="Arial" w:cs="Arial" w:eastAsia="Arial" w:hAnsi="Arial"/>
                <w:sz w:val="17"/>
                <w:szCs w:val="17"/>
                <w:color w:val="auto"/>
              </w:rPr>
              <w:t>Total loans payable - other</w:t>
            </w:r>
          </w:p>
        </w:tc>
        <w:tc>
          <w:tcPr>
            <w:tcW w:w="1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67,541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255"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i w:val="1"/>
          <w:iCs w:val="1"/>
          <w:color w:val="auto"/>
        </w:rPr>
        <w:t>Equity incentive plans</w:t>
      </w:r>
      <w:r>
        <w:rPr>
          <w:rFonts w:ascii="Arial" w:cs="Arial" w:eastAsia="Arial" w:hAnsi="Arial"/>
          <w:sz w:val="17"/>
          <w:szCs w:val="17"/>
          <w:color w:val="auto"/>
        </w:rPr>
        <w:t>. In February 2011, the Company’s stockholders approved the Gevo, Inc. 2010 Stock Incentive Plan (as amended and restated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"2010 Plan") and the Employee Stock Purchase Plan.</w:t>
      </w:r>
    </w:p>
    <w:p>
      <w:pPr>
        <w:spacing w:after="0" w:line="184"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The 2010 Plan provides for the grant of non-qualified stock options, incentive stock options, stock appreciation rights, restricted stock awards, restricted stock units and other equity awards to employees and directors of the Company. In June 2021, upon approval of the shareholders at the 2021 Annual Meeting of Stockholders, the 2010 Plan was amended and restated, which increased the number of shares of common stock reserved for issuance under the 2010 Plan to 22,980,074 shares. At December 31, 2022, 4,221,225 shares were available for future issuance under the 2010 Plan.</w:t>
      </w:r>
    </w:p>
    <w:p>
      <w:pPr>
        <w:spacing w:after="0" w:line="188"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 The Company records stock-based compensation expense during the requisite service period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employees and non-employees.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stock-based compensation expense for the periods indicated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r>
      <w:tr>
        <w:trPr>
          <w:trHeight w:val="235"/>
        </w:trPr>
        <w:tc>
          <w:tcPr>
            <w:tcW w:w="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20"/>
                <w:szCs w:val="20"/>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94"/>
              </w:rPr>
              <w:t>Equity Classified Awards</w:t>
            </w:r>
          </w:p>
        </w:tc>
        <w:tc>
          <w:tcPr>
            <w:tcW w:w="6380" w:type="dxa"/>
            <w:vAlign w:val="bottom"/>
            <w:tcBorders>
              <w:bottom w:val="single" w:sz="8" w:color="CCEEFF"/>
            </w:tcBorders>
            <w:gridSpan w:val="2"/>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160" w:type="dxa"/>
            <w:vAlign w:val="bottom"/>
            <w:gridSpan w:val="3"/>
          </w:tcPr>
          <w:p>
            <w:pPr>
              <w:ind w:left="220"/>
              <w:spacing w:after="0"/>
              <w:rPr>
                <w:sz w:val="20"/>
                <w:szCs w:val="20"/>
                <w:color w:val="auto"/>
              </w:rPr>
            </w:pPr>
            <w:r>
              <w:rPr>
                <w:rFonts w:ascii="Arial" w:cs="Arial" w:eastAsia="Arial" w:hAnsi="Arial"/>
                <w:sz w:val="17"/>
                <w:szCs w:val="17"/>
                <w:color w:val="auto"/>
              </w:rPr>
              <w:t>Cost of production</w:t>
            </w:r>
          </w:p>
        </w:tc>
        <w:tc>
          <w:tcPr>
            <w:tcW w:w="920" w:type="dxa"/>
            <w:vAlign w:val="bottom"/>
          </w:tcPr>
          <w:p>
            <w:pPr>
              <w:jc w:val="right"/>
              <w:ind w:right="73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1"/>
                <w:szCs w:val="21"/>
                <w:color w:val="auto"/>
              </w:rPr>
            </w:pPr>
          </w:p>
        </w:tc>
        <w:tc>
          <w:tcPr>
            <w:tcW w:w="980" w:type="dxa"/>
            <w:vAlign w:val="bottom"/>
          </w:tcPr>
          <w:p>
            <w:pPr>
              <w:jc w:val="right"/>
              <w:ind w:right="773"/>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55"/>
        </w:trPr>
        <w:tc>
          <w:tcPr>
            <w:tcW w:w="20" w:type="dxa"/>
            <w:vAlign w:val="bottom"/>
            <w:shd w:val="clear" w:color="auto" w:fill="CCEEFF"/>
          </w:tcPr>
          <w:p>
            <w:pPr>
              <w:spacing w:after="0"/>
              <w:rPr>
                <w:sz w:val="22"/>
                <w:szCs w:val="22"/>
                <w:color w:val="auto"/>
              </w:rPr>
            </w:pPr>
          </w:p>
        </w:tc>
        <w:tc>
          <w:tcPr>
            <w:tcW w:w="81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14,342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5,631</w:t>
            </w:r>
          </w:p>
        </w:tc>
      </w:tr>
      <w:tr>
        <w:trPr>
          <w:trHeight w:val="242"/>
        </w:trPr>
        <w:tc>
          <w:tcPr>
            <w:tcW w:w="20" w:type="dxa"/>
            <w:vAlign w:val="bottom"/>
            <w:tcBorders>
              <w:bottom w:val="single" w:sz="8" w:color="CCEEFF"/>
            </w:tcBorders>
          </w:tcPr>
          <w:p>
            <w:pPr>
              <w:spacing w:after="0"/>
              <w:rPr>
                <w:sz w:val="21"/>
                <w:szCs w:val="21"/>
                <w:color w:val="auto"/>
              </w:rPr>
            </w:pPr>
          </w:p>
        </w:tc>
        <w:tc>
          <w:tcPr>
            <w:tcW w:w="816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2,618</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2,026</w:t>
            </w:r>
          </w:p>
        </w:tc>
      </w:tr>
      <w:tr>
        <w:trPr>
          <w:trHeight w:val="248"/>
        </w:trPr>
        <w:tc>
          <w:tcPr>
            <w:tcW w:w="20" w:type="dxa"/>
            <w:vAlign w:val="bottom"/>
            <w:shd w:val="clear" w:color="auto" w:fill="CCEEFF"/>
          </w:tcPr>
          <w:p>
            <w:pPr>
              <w:spacing w:after="0"/>
              <w:rPr>
                <w:sz w:val="21"/>
                <w:szCs w:val="21"/>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equity classified awards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16,935</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7,700</w:t>
            </w:r>
          </w:p>
        </w:tc>
      </w:tr>
      <w:tr>
        <w:trPr>
          <w:trHeight w:val="176"/>
        </w:trPr>
        <w:tc>
          <w:tcPr>
            <w:tcW w:w="20" w:type="dxa"/>
            <w:vAlign w:val="bottom"/>
          </w:tcPr>
          <w:p>
            <w:pPr>
              <w:spacing w:after="0"/>
              <w:rPr>
                <w:sz w:val="15"/>
                <w:szCs w:val="15"/>
                <w:color w:val="auto"/>
              </w:rPr>
            </w:pPr>
          </w:p>
        </w:tc>
        <w:tc>
          <w:tcPr>
            <w:tcW w:w="8160" w:type="dxa"/>
            <w:vAlign w:val="bottom"/>
            <w:gridSpan w:val="3"/>
          </w:tcPr>
          <w:p>
            <w:pPr>
              <w:spacing w:after="0" w:line="176" w:lineRule="exact"/>
              <w:rPr>
                <w:sz w:val="20"/>
                <w:szCs w:val="20"/>
                <w:color w:val="auto"/>
              </w:rPr>
            </w:pPr>
            <w:r>
              <w:rPr>
                <w:rFonts w:ascii="Arial" w:cs="Arial" w:eastAsia="Arial" w:hAnsi="Arial"/>
                <w:sz w:val="17"/>
                <w:szCs w:val="17"/>
                <w:color w:val="auto"/>
              </w:rPr>
              <w:t>Liability Classified Awards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8"/>
        </w:trPr>
        <w:tc>
          <w:tcPr>
            <w:tcW w:w="20" w:type="dxa"/>
            <w:vAlign w:val="bottom"/>
            <w:shd w:val="clear" w:color="auto" w:fill="CCEEFF"/>
          </w:tcPr>
          <w:p>
            <w:pPr>
              <w:spacing w:after="0"/>
              <w:rPr>
                <w:sz w:val="21"/>
                <w:szCs w:val="21"/>
                <w:color w:val="auto"/>
              </w:rPr>
            </w:pPr>
          </w:p>
        </w:tc>
        <w:tc>
          <w:tcPr>
            <w:tcW w:w="81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2,165</w:t>
            </w:r>
          </w:p>
        </w:tc>
      </w:tr>
      <w:tr>
        <w:trPr>
          <w:trHeight w:val="242"/>
        </w:trPr>
        <w:tc>
          <w:tcPr>
            <w:tcW w:w="20" w:type="dxa"/>
            <w:vAlign w:val="bottom"/>
            <w:tcBorders>
              <w:bottom w:val="single" w:sz="8" w:color="CCEEFF"/>
            </w:tcBorders>
          </w:tcPr>
          <w:p>
            <w:pPr>
              <w:spacing w:after="0"/>
              <w:rPr>
                <w:sz w:val="21"/>
                <w:szCs w:val="21"/>
                <w:color w:val="auto"/>
              </w:rPr>
            </w:pPr>
          </w:p>
        </w:tc>
        <w:tc>
          <w:tcPr>
            <w:tcW w:w="816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41"/>
        </w:trPr>
        <w:tc>
          <w:tcPr>
            <w:tcW w:w="20" w:type="dxa"/>
            <w:vAlign w:val="bottom"/>
            <w:shd w:val="clear" w:color="auto" w:fill="CCEEFF"/>
          </w:tcPr>
          <w:p>
            <w:pPr>
              <w:spacing w:after="0"/>
              <w:rPr>
                <w:sz w:val="20"/>
                <w:szCs w:val="20"/>
                <w:color w:val="auto"/>
              </w:rPr>
            </w:pPr>
          </w:p>
        </w:tc>
        <w:tc>
          <w:tcPr>
            <w:tcW w:w="81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liability classified awards</w:t>
            </w:r>
          </w:p>
        </w:tc>
        <w:tc>
          <w:tcPr>
            <w:tcW w:w="9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2,174</w:t>
            </w:r>
          </w:p>
        </w:tc>
      </w:tr>
      <w:tr>
        <w:trPr>
          <w:trHeight w:val="248"/>
        </w:trPr>
        <w:tc>
          <w:tcPr>
            <w:tcW w:w="20" w:type="dxa"/>
            <w:vAlign w:val="bottom"/>
          </w:tcPr>
          <w:p>
            <w:pPr>
              <w:spacing w:after="0"/>
              <w:rPr>
                <w:sz w:val="21"/>
                <w:szCs w:val="21"/>
                <w:color w:val="auto"/>
              </w:rPr>
            </w:pPr>
          </w:p>
        </w:tc>
        <w:tc>
          <w:tcPr>
            <w:tcW w:w="8160" w:type="dxa"/>
            <w:vAlign w:val="bottom"/>
            <w:gridSpan w:val="3"/>
          </w:tcPr>
          <w:p>
            <w:pPr>
              <w:ind w:left="520"/>
              <w:spacing w:after="0"/>
              <w:rPr>
                <w:sz w:val="20"/>
                <w:szCs w:val="20"/>
                <w:color w:val="auto"/>
              </w:rPr>
            </w:pPr>
            <w:r>
              <w:rPr>
                <w:rFonts w:ascii="Arial" w:cs="Arial" w:eastAsia="Arial" w:hAnsi="Arial"/>
                <w:sz w:val="17"/>
                <w:szCs w:val="17"/>
                <w:color w:val="auto"/>
              </w:rPr>
              <w:t>Total stock-based compensation</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16,935</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9,874</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i w:val="1"/>
          <w:iCs w:val="1"/>
          <w:color w:val="auto"/>
        </w:rPr>
        <w:t>Stock option award activity</w:t>
      </w:r>
      <w:r>
        <w:rPr>
          <w:rFonts w:ascii="Arial" w:cs="Arial" w:eastAsia="Arial" w:hAnsi="Arial"/>
          <w:sz w:val="17"/>
          <w:szCs w:val="17"/>
          <w:color w:val="auto"/>
        </w:rPr>
        <w:t>. Stock option activity under the Company’s stock incentive plans and changes during the year ended December 31, 2022 were</w:t>
      </w:r>
      <w:r>
        <w:rPr>
          <w:rFonts w:ascii="Arial" w:cs="Arial" w:eastAsia="Arial" w:hAnsi="Arial"/>
          <w:sz w:val="17"/>
          <w:szCs w:val="17"/>
          <w:i w:val="1"/>
          <w:iCs w:val="1"/>
          <w:color w:val="auto"/>
        </w:rPr>
        <w:t xml:space="preserve"> </w:t>
      </w:r>
      <w:r>
        <w:rPr>
          <w:rFonts w:ascii="Arial" w:cs="Arial" w:eastAsia="Arial" w:hAnsi="Arial"/>
          <w:sz w:val="17"/>
          <w:szCs w:val="17"/>
          <w:color w:val="auto"/>
        </w:rPr>
        <w:t>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 Average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Remaining</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3"/>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313"/>
              <w:spacing w:after="0" w:line="194" w:lineRule="exact"/>
              <w:rPr>
                <w:sz w:val="20"/>
                <w:szCs w:val="20"/>
                <w:color w:val="auto"/>
              </w:rPr>
            </w:pPr>
            <w:r>
              <w:rPr>
                <w:rFonts w:ascii="Arial" w:cs="Arial" w:eastAsia="Arial" w:hAnsi="Arial"/>
                <w:sz w:val="17"/>
                <w:szCs w:val="17"/>
                <w:b w:val="1"/>
                <w:bCs w:val="1"/>
                <w:color w:val="auto"/>
                <w:w w:val="91"/>
              </w:rPr>
              <w:t>Exercise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line="194" w:lineRule="exact"/>
              <w:rPr>
                <w:sz w:val="20"/>
                <w:szCs w:val="20"/>
                <w:color w:val="auto"/>
              </w:rPr>
            </w:pPr>
            <w:r>
              <w:rPr>
                <w:rFonts w:ascii="Arial" w:cs="Arial" w:eastAsia="Arial" w:hAnsi="Arial"/>
                <w:sz w:val="17"/>
                <w:szCs w:val="17"/>
                <w:b w:val="1"/>
                <w:bCs w:val="1"/>
                <w:color w:val="auto"/>
                <w:w w:val="95"/>
              </w:rPr>
              <w:t>Contractual Term</w:t>
            </w:r>
          </w:p>
        </w:tc>
        <w:tc>
          <w:tcPr>
            <w:tcW w:w="160" w:type="dxa"/>
            <w:vAlign w:val="bottom"/>
          </w:tcPr>
          <w:p>
            <w:pPr>
              <w:spacing w:after="0"/>
              <w:rPr>
                <w:sz w:val="16"/>
                <w:szCs w:val="16"/>
                <w:color w:val="auto"/>
              </w:rPr>
            </w:pPr>
          </w:p>
        </w:tc>
        <w:tc>
          <w:tcPr>
            <w:tcW w:w="1320" w:type="dxa"/>
            <w:vAlign w:val="bottom"/>
          </w:tcPr>
          <w:p>
            <w:pPr>
              <w:jc w:val="center"/>
              <w:ind w:right="73"/>
              <w:spacing w:after="0" w:line="194" w:lineRule="exact"/>
              <w:rPr>
                <w:sz w:val="20"/>
                <w:szCs w:val="20"/>
                <w:color w:val="auto"/>
              </w:rPr>
            </w:pPr>
            <w:r>
              <w:rPr>
                <w:rFonts w:ascii="Arial" w:cs="Arial" w:eastAsia="Arial" w:hAnsi="Arial"/>
                <w:sz w:val="17"/>
                <w:szCs w:val="17"/>
                <w:b w:val="1"/>
                <w:bCs w:val="1"/>
                <w:color w:val="auto"/>
                <w:w w:val="90"/>
              </w:rPr>
              <w:t>Aggregate</w:t>
            </w:r>
          </w:p>
        </w:tc>
      </w:tr>
      <w:tr>
        <w:trPr>
          <w:trHeight w:val="257"/>
        </w:trPr>
        <w:tc>
          <w:tcPr>
            <w:tcW w:w="50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Number of Options</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ind w:left="313"/>
              <w:spacing w:after="0"/>
              <w:rPr>
                <w:sz w:val="20"/>
                <w:szCs w:val="20"/>
                <w:color w:val="auto"/>
              </w:rPr>
            </w:pPr>
            <w:r>
              <w:rPr>
                <w:rFonts w:ascii="Arial" w:cs="Arial" w:eastAsia="Arial" w:hAnsi="Arial"/>
                <w:sz w:val="17"/>
                <w:szCs w:val="17"/>
                <w:b w:val="1"/>
                <w:bCs w:val="1"/>
                <w:color w:val="auto"/>
                <w:w w:val="87"/>
              </w:rPr>
              <w:t xml:space="preserve">Price </w:t>
            </w:r>
            <w:r>
              <w:rPr>
                <w:rFonts w:ascii="Arial" w:cs="Arial" w:eastAsia="Arial" w:hAnsi="Arial"/>
                <w:sz w:val="22"/>
                <w:szCs w:val="22"/>
                <w:b w:val="1"/>
                <w:bCs w:val="1"/>
                <w:color w:val="auto"/>
                <w:w w:val="87"/>
                <w:vertAlign w:val="superscript"/>
              </w:rPr>
              <w:t>(1)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(years)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4"/>
              </w:rPr>
              <w:t>Intrinsic Value</w:t>
            </w:r>
          </w:p>
        </w:tc>
      </w:tr>
      <w:tr>
        <w:trPr>
          <w:trHeight w:val="24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4,746,368</w:t>
            </w:r>
          </w:p>
        </w:tc>
        <w:tc>
          <w:tcPr>
            <w:tcW w:w="1180" w:type="dxa"/>
            <w:vAlign w:val="bottom"/>
            <w:gridSpan w:val="2"/>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42"/>
        </w:trPr>
        <w:tc>
          <w:tcPr>
            <w:tcW w:w="5020" w:type="dxa"/>
            <w:vAlign w:val="bottom"/>
          </w:tcPr>
          <w:p>
            <w:pPr>
              <w:ind w:left="14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1,627,683</w:t>
            </w:r>
          </w:p>
        </w:tc>
        <w:tc>
          <w:tcPr>
            <w:tcW w:w="1180" w:type="dxa"/>
            <w:vAlign w:val="bottom"/>
            <w:gridSpan w:val="2"/>
          </w:tcPr>
          <w:p>
            <w:pPr>
              <w:jc w:val="right"/>
              <w:ind w:right="893"/>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6"/>
              </w:rPr>
              <w:t>3.45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5"/>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Canceled or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(428,730)</w:t>
            </w:r>
          </w:p>
        </w:tc>
        <w:tc>
          <w:tcPr>
            <w:tcW w:w="1180" w:type="dxa"/>
            <w:vAlign w:val="bottom"/>
            <w:gridSpan w:val="2"/>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5.49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2"/>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tcPr>
          <w:p>
            <w:pPr>
              <w:jc w:val="right"/>
              <w:ind w:right="89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r>
      <w:tr>
        <w:trPr>
          <w:trHeight w:val="27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5,945,321</w:t>
            </w:r>
          </w:p>
        </w:tc>
        <w:tc>
          <w:tcPr>
            <w:tcW w:w="1180" w:type="dxa"/>
            <w:vAlign w:val="bottom"/>
            <w:tcBorders>
              <w:bottom w:val="single" w:sz="8" w:color="CCEEFF"/>
            </w:tcBorders>
            <w:gridSpan w:val="2"/>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21"/>
        </w:trPr>
        <w:tc>
          <w:tcPr>
            <w:tcW w:w="5020" w:type="dxa"/>
            <w:vAlign w:val="bottom"/>
          </w:tcPr>
          <w:p>
            <w:pPr>
              <w:ind w:left="20"/>
              <w:spacing w:after="0"/>
              <w:rPr>
                <w:sz w:val="20"/>
                <w:szCs w:val="20"/>
                <w:color w:val="auto"/>
              </w:rPr>
            </w:pPr>
            <w:r>
              <w:rPr>
                <w:rFonts w:ascii="Arial" w:cs="Arial" w:eastAsia="Arial" w:hAnsi="Arial"/>
                <w:sz w:val="17"/>
                <w:szCs w:val="17"/>
                <w:color w:val="auto"/>
              </w:rPr>
              <w:t>Options vested and expected to vest at December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1,512,054</w:t>
            </w:r>
          </w:p>
        </w:tc>
        <w:tc>
          <w:tcPr>
            <w:tcW w:w="1180" w:type="dxa"/>
            <w:vAlign w:val="bottom"/>
            <w:gridSpan w:val="2"/>
          </w:tcPr>
          <w:p>
            <w:pPr>
              <w:jc w:val="right"/>
              <w:ind w:right="893"/>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6"/>
              </w:rPr>
              <w:t>5.32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right="360" w:hanging="315"/>
        <w:spacing w:after="0" w:line="304" w:lineRule="auto"/>
        <w:tabs>
          <w:tab w:leader="none" w:pos="3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Exercise price of options outstanding range from $2.42 to $11,340 as of December 31, 2022. The higher end of the range is due to the impact of several reverse stock splits during the years 2015 to 2018, subsequent to certain option grants, and relates to awards that expire during 2023.</w:t>
      </w:r>
    </w:p>
    <w:p>
      <w:pPr>
        <w:spacing w:after="0" w:line="161"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During the year ended December 31, 2022, 1.5 million stock options vested. As of December 31, 2022, the total unrecognized compensation expense, net of estimated forfeitures, relating to stock options was $13.5 million, which is expected to be recognized over the remaining weighted-average period of approximately 2.4 years.</w:t>
      </w:r>
    </w:p>
    <w:p>
      <w:pPr>
        <w:spacing w:after="0" w:line="198"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The following table sets forth the weighted average Black-Scholes option pricing model assumptions (no dividends were expected) and resulting grant date fair value for the stock options granted during the years ended December 31, 2022 and 2021:</w:t>
      </w:r>
    </w:p>
    <w:p>
      <w:pPr>
        <w:spacing w:after="0" w:line="8" w:lineRule="exact"/>
        <w:rPr>
          <w:sz w:val="20"/>
          <w:szCs w:val="20"/>
          <w:color w:val="auto"/>
        </w:rPr>
      </w:pPr>
    </w:p>
    <w:p>
      <w:pPr>
        <w:ind w:left="86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b w:val="1"/>
                <w:bCs w:val="1"/>
                <w:color w:val="auto"/>
              </w:rPr>
              <w:t>2021</w:t>
            </w:r>
          </w:p>
        </w:tc>
      </w:tr>
      <w:tr>
        <w:trPr>
          <w:trHeight w:val="241"/>
        </w:trPr>
        <w:tc>
          <w:tcPr>
            <w:tcW w:w="79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2.90 %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0.92 %</w:t>
            </w:r>
          </w:p>
        </w:tc>
      </w:tr>
      <w:tr>
        <w:trPr>
          <w:trHeight w:val="25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 factor</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141 %</w:t>
            </w:r>
          </w:p>
        </w:tc>
      </w:tr>
      <w:tr>
        <w:trPr>
          <w:trHeight w:val="242"/>
        </w:trPr>
        <w:tc>
          <w:tcPr>
            <w:tcW w:w="7960" w:type="dxa"/>
            <w:vAlign w:val="bottom"/>
          </w:tcPr>
          <w:p>
            <w:pPr>
              <w:ind w:left="20"/>
              <w:spacing w:after="0"/>
              <w:rPr>
                <w:sz w:val="20"/>
                <w:szCs w:val="20"/>
                <w:color w:val="auto"/>
              </w:rPr>
            </w:pPr>
            <w:r>
              <w:rPr>
                <w:rFonts w:ascii="Arial" w:cs="Arial" w:eastAsia="Arial" w:hAnsi="Arial"/>
                <w:sz w:val="17"/>
                <w:szCs w:val="17"/>
                <w:color w:val="auto"/>
              </w:rPr>
              <w:t>Expected option life (years)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2.18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There is a maximum contractual term of ten years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spacing w:after="0" w:line="198"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The Company periodically grants restricted stock awards to employees and directors. The vesting period for restricted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may be based upon a service period or based upon the attainment of performance objectives. The Company recognizes stock-based compensation over the vesting period, generally two to three years, for awards that vest based upon a service period.</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Non-vested restricted stock awards at December 31, 2022 and changes during the year ended December 31, 2022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Weighted-Average</w:t>
            </w:r>
          </w:p>
        </w:tc>
      </w:tr>
      <w:tr>
        <w:trPr>
          <w:trHeight w:val="196"/>
        </w:trPr>
        <w:tc>
          <w:tcPr>
            <w:tcW w:w="8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13"/>
              <w:spacing w:after="0"/>
              <w:rPr>
                <w:sz w:val="20"/>
                <w:szCs w:val="20"/>
                <w:color w:val="auto"/>
              </w:rPr>
            </w:pPr>
            <w:r>
              <w:rPr>
                <w:rFonts w:ascii="Arial" w:cs="Arial" w:eastAsia="Arial" w:hAnsi="Arial"/>
                <w:sz w:val="17"/>
                <w:szCs w:val="17"/>
                <w:b w:val="1"/>
                <w:bCs w:val="1"/>
                <w:color w:val="auto"/>
                <w:w w:val="98"/>
              </w:rPr>
              <w:t>Grant-Date Fair</w:t>
            </w:r>
          </w:p>
        </w:tc>
      </w:tr>
      <w:tr>
        <w:trPr>
          <w:trHeight w:val="247"/>
        </w:trPr>
        <w:tc>
          <w:tcPr>
            <w:tcW w:w="81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Number of Shares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92"/>
              </w:rPr>
              <w:t>Value</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6,882,502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242"/>
        </w:trPr>
        <w:tc>
          <w:tcPr>
            <w:tcW w:w="8180" w:type="dxa"/>
            <w:vAlign w:val="bottom"/>
          </w:tcPr>
          <w:p>
            <w:pPr>
              <w:ind w:left="28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2,360,605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2.57</w:t>
            </w:r>
          </w:p>
        </w:tc>
      </w:tr>
      <w:tr>
        <w:trPr>
          <w:trHeight w:val="255"/>
        </w:trPr>
        <w:tc>
          <w:tcPr>
            <w:tcW w:w="81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42"/>
        </w:trPr>
        <w:tc>
          <w:tcPr>
            <w:tcW w:w="81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Canceled or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(426,771)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4.83</w:t>
            </w:r>
          </w:p>
        </w:tc>
      </w:tr>
      <w:tr>
        <w:trPr>
          <w:trHeight w:val="27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5,254,457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The total fair value of restricted stock that vested during the years ended December 31, 2022 and 2021 was $10.2 million and $2.8 million, respectively. As of December 31, 2022, the total unrecognized compensation expense, net of estimated forfeitures, relating to restricted stock awards was $16.7 million, which is expected to be recognized over the remaining weighted-average period of approximately 2.3 years. As of December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there are no unvested liability-classified restricted stock awards</w:t>
      </w:r>
      <w:r>
        <w:rPr>
          <w:rFonts w:ascii="Arial" w:cs="Arial" w:eastAsia="Arial" w:hAnsi="Arial"/>
          <w:sz w:val="17"/>
          <w:szCs w:val="17"/>
          <w:i w:val="1"/>
          <w:i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Income Taxes</w:t>
      </w:r>
    </w:p>
    <w:p>
      <w:pPr>
        <w:spacing w:after="0" w:line="255" w:lineRule="exact"/>
        <w:rPr>
          <w:sz w:val="20"/>
          <w:szCs w:val="20"/>
          <w:color w:val="auto"/>
        </w:rPr>
      </w:pPr>
    </w:p>
    <w:p>
      <w:pPr>
        <w:ind w:right="60" w:firstLine="470"/>
        <w:spacing w:after="0" w:line="280" w:lineRule="auto"/>
        <w:rPr>
          <w:sz w:val="20"/>
          <w:szCs w:val="20"/>
          <w:color w:val="auto"/>
        </w:rPr>
      </w:pPr>
      <w:r>
        <w:rPr>
          <w:rFonts w:ascii="Arial" w:cs="Arial" w:eastAsia="Arial" w:hAnsi="Arial"/>
          <w:sz w:val="16"/>
          <w:szCs w:val="16"/>
          <w:color w:val="auto"/>
        </w:rPr>
        <w:t>As of December 31, 2022, the Company has a federal and state net operating loss (“NOL”) carryover of approximately $170.6 million and $90.4 million, respectively, available to offset future income for income tax reporting purposes. Of our federal net operating carryovers, $1.4 million would expire between the years 2025-2037 and $50.4 million for state, which would expire between the years 2027-2042. The Company’s ability to use the carryover net operating loss may be substantially limited or eliminated pursuant to Internal Revenue Code Section 382. A limitation may apply to the use of the net operation loss and credit carryforwards, under provisions of the Internal Revenue Code that are applicable if we experience an “ownership change”. That may occur, for example, as a result of trading in our stock by significant investors as well as issuance of new equity. Should these limitations apply, the carryforwards would be subject to an annual limitation resulting in a substantial reduction in the gross deferred tax asset.</w:t>
      </w:r>
    </w:p>
    <w:p>
      <w:pPr>
        <w:spacing w:after="0" w:line="196" w:lineRule="exact"/>
        <w:rPr>
          <w:sz w:val="20"/>
          <w:szCs w:val="20"/>
          <w:color w:val="auto"/>
        </w:rPr>
      </w:pPr>
    </w:p>
    <w:p>
      <w:pPr>
        <w:ind w:right="100" w:firstLine="470"/>
        <w:spacing w:after="0" w:line="282" w:lineRule="auto"/>
        <w:rPr>
          <w:sz w:val="20"/>
          <w:szCs w:val="20"/>
          <w:color w:val="auto"/>
        </w:rPr>
      </w:pPr>
      <w:r>
        <w:rPr>
          <w:rFonts w:ascii="Arial" w:cs="Arial" w:eastAsia="Arial" w:hAnsi="Arial"/>
          <w:sz w:val="16"/>
          <w:szCs w:val="16"/>
          <w:color w:val="auto"/>
        </w:rPr>
        <w:t>We periodically evaluate our NOL carryforwards and whether certain changes in ownership have occurred that would limit our ability to utilize a portion of our NOL and tax credit carryforwards. We have evaluated whether we experienced an ownership change, as defined under Section 382, and determined that an ownership change did occur as of July 9, 2020 and January 22, 2021. NOL carryovers of approximately $66.2 million subject to the July 9, 2020 ownership change date are subject to a base $0.1 million annual limitation for each year following said ownership change. The Company will be able to utilize the annual limitation of the NOL carryforwards to offset future taxable incomes. NOL carryovers of approximately $17.9 million that occurred between the July 9, 2020 and January 22, 2021 ownership change dates are subject to a base $11.9 million annual limitation for each year following said ownership change.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 following table sets forth the tax effects of temporary differences that give rise to significant portions of the Company’s net deferred tax assets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Pr>
          <w:p>
            <w:pPr>
              <w:spacing w:after="0"/>
              <w:rPr>
                <w:sz w:val="19"/>
                <w:szCs w:val="19"/>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5"/>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2021</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2"/>
        </w:trPr>
        <w:tc>
          <w:tcPr>
            <w:tcW w:w="8180" w:type="dxa"/>
            <w:vAlign w:val="bottom"/>
          </w:tcPr>
          <w:p>
            <w:pPr>
              <w:ind w:left="240"/>
              <w:spacing w:after="0"/>
              <w:rPr>
                <w:sz w:val="20"/>
                <w:szCs w:val="20"/>
                <w:color w:val="auto"/>
              </w:rPr>
            </w:pPr>
            <w:r>
              <w:rPr>
                <w:rFonts w:ascii="Arial" w:cs="Arial" w:eastAsia="Arial" w:hAnsi="Arial"/>
                <w:sz w:val="17"/>
                <w:szCs w:val="17"/>
                <w:color w:val="auto"/>
              </w:rPr>
              <w:t>Net operating loss carryforwards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40,511</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29,398</w:t>
            </w:r>
          </w:p>
        </w:tc>
      </w:tr>
      <w:tr>
        <w:trPr>
          <w:trHeight w:val="255"/>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Operating lease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w:t>
            </w:r>
          </w:p>
        </w:tc>
      </w:tr>
      <w:tr>
        <w:trPr>
          <w:trHeight w:val="242"/>
        </w:trPr>
        <w:tc>
          <w:tcPr>
            <w:tcW w:w="8180" w:type="dxa"/>
            <w:vAlign w:val="bottom"/>
          </w:tcPr>
          <w:p>
            <w:pPr>
              <w:ind w:left="240"/>
              <w:spacing w:after="0"/>
              <w:rPr>
                <w:sz w:val="20"/>
                <w:szCs w:val="20"/>
                <w:color w:val="auto"/>
              </w:rPr>
            </w:pPr>
            <w:r>
              <w:rPr>
                <w:rFonts w:ascii="Arial" w:cs="Arial" w:eastAsia="Arial" w:hAnsi="Arial"/>
                <w:sz w:val="17"/>
                <w:szCs w:val="17"/>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1,489</w:t>
            </w:r>
          </w:p>
        </w:tc>
      </w:tr>
      <w:tr>
        <w:trPr>
          <w:trHeight w:val="255"/>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Depreciation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w:t>
            </w:r>
          </w:p>
        </w:tc>
      </w:tr>
      <w:tr>
        <w:trPr>
          <w:trHeight w:val="242"/>
        </w:trPr>
        <w:tc>
          <w:tcPr>
            <w:tcW w:w="8180" w:type="dxa"/>
            <w:vAlign w:val="bottom"/>
          </w:tcPr>
          <w:p>
            <w:pPr>
              <w:ind w:left="240"/>
              <w:spacing w:after="0"/>
              <w:rPr>
                <w:sz w:val="20"/>
                <w:szCs w:val="20"/>
                <w:color w:val="auto"/>
              </w:rPr>
            </w:pPr>
            <w:r>
              <w:rPr>
                <w:rFonts w:ascii="Arial" w:cs="Arial" w:eastAsia="Arial" w:hAnsi="Arial"/>
                <w:sz w:val="17"/>
                <w:szCs w:val="17"/>
                <w:color w:val="auto"/>
              </w:rPr>
              <w:t>Stock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1,146</w:t>
            </w:r>
          </w:p>
        </w:tc>
      </w:tr>
      <w:tr>
        <w:trPr>
          <w:trHeight w:val="255"/>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Business 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r>
      <w:tr>
        <w:trPr>
          <w:trHeight w:val="242"/>
        </w:trPr>
        <w:tc>
          <w:tcPr>
            <w:tcW w:w="8180" w:type="dxa"/>
            <w:vAlign w:val="bottom"/>
          </w:tcPr>
          <w:p>
            <w:pPr>
              <w:ind w:left="240"/>
              <w:spacing w:after="0"/>
              <w:rPr>
                <w:sz w:val="20"/>
                <w:szCs w:val="20"/>
                <w:color w:val="auto"/>
              </w:rPr>
            </w:pPr>
            <w:r>
              <w:rPr>
                <w:rFonts w:ascii="Arial" w:cs="Arial" w:eastAsia="Arial" w:hAnsi="Arial"/>
                <w:sz w:val="17"/>
                <w:szCs w:val="17"/>
                <w:color w:val="auto"/>
              </w:rPr>
              <w:t>Capitalized research cost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8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temporary differences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w:t>
            </w:r>
          </w:p>
        </w:tc>
      </w:tr>
      <w:tr>
        <w:trPr>
          <w:trHeight w:val="241"/>
        </w:trPr>
        <w:tc>
          <w:tcPr>
            <w:tcW w:w="8180" w:type="dxa"/>
            <w:vAlign w:val="bottom"/>
          </w:tcPr>
          <w:p>
            <w:pPr>
              <w:ind w:left="440"/>
              <w:spacing w:after="0"/>
              <w:rPr>
                <w:sz w:val="20"/>
                <w:szCs w:val="20"/>
                <w:color w:val="auto"/>
              </w:rPr>
            </w:pPr>
            <w:r>
              <w:rPr>
                <w:rFonts w:ascii="Arial" w:cs="Arial" w:eastAsia="Arial" w:hAnsi="Arial"/>
                <w:sz w:val="17"/>
                <w:szCs w:val="17"/>
                <w:color w:val="auto"/>
              </w:rPr>
              <w:t>Deferred tax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56,780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36,519</w:t>
            </w:r>
          </w:p>
        </w:tc>
      </w:tr>
      <w:tr>
        <w:trPr>
          <w:trHeight w:val="24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(56,780)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(36,519)</w:t>
            </w:r>
          </w:p>
        </w:tc>
      </w:tr>
      <w:tr>
        <w:trPr>
          <w:trHeight w:val="248"/>
        </w:trPr>
        <w:tc>
          <w:tcPr>
            <w:tcW w:w="818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360" w:firstLine="470"/>
        <w:spacing w:after="0" w:line="264" w:lineRule="auto"/>
        <w:rPr>
          <w:sz w:val="20"/>
          <w:szCs w:val="20"/>
          <w:color w:val="auto"/>
        </w:rPr>
      </w:pPr>
      <w:r>
        <w:rPr>
          <w:rFonts w:ascii="Arial" w:cs="Arial" w:eastAsia="Arial" w:hAnsi="Arial"/>
          <w:sz w:val="17"/>
          <w:szCs w:val="17"/>
          <w:color w:val="auto"/>
        </w:rPr>
        <w:t>The Company had a change in accounting principle (discussed in Note 9 above) effective as of December 31, 2022, resulting in the de-election of the practical expedient to combine lease and non-lease components under ASC 842. The company has adjusted the December 31, 2021 balance to reflect the modified retrospective treatment the deferred tax table has been updated to reflect the modified retrospective treatment. To reflect the update, the Company reduced the operating lease asset deferred tax liability by $6.5 million, a reduction to the operating lease liability deferred tax asset of $6.6 million, and an increase in the net operating loss deferred tax asset of $0.1 million.</w:t>
      </w:r>
    </w:p>
    <w:p>
      <w:pPr>
        <w:spacing w:after="0" w:line="206" w:lineRule="exact"/>
        <w:rPr>
          <w:sz w:val="20"/>
          <w:szCs w:val="20"/>
          <w:color w:val="auto"/>
        </w:rPr>
      </w:pPr>
    </w:p>
    <w:p>
      <w:pPr>
        <w:ind w:right="180" w:firstLine="470"/>
        <w:spacing w:after="0" w:line="272" w:lineRule="auto"/>
        <w:rPr>
          <w:sz w:val="20"/>
          <w:szCs w:val="20"/>
          <w:color w:val="auto"/>
        </w:rPr>
      </w:pPr>
      <w:r>
        <w:rPr>
          <w:rFonts w:ascii="Arial" w:cs="Arial" w:eastAsia="Arial" w:hAnsi="Arial"/>
          <w:sz w:val="17"/>
          <w:szCs w:val="17"/>
          <w:color w:val="auto"/>
        </w:rPr>
        <w:t>Beginning in 2022, the Tax Cuts and Jobs Act of 2017 eliminated the option to deduct research and development expenditures in the current year and requires taxpayers to amortize them over five years pursuant to IRC Section 174. The mandatory capitalization requirement increases the deferred tax asset for Capitalized Research Costs by $3.3 million for the year ended December 31, 2022.</w:t>
      </w:r>
    </w:p>
    <w:p>
      <w:pPr>
        <w:spacing w:after="0" w:line="198" w:lineRule="exact"/>
        <w:rPr>
          <w:sz w:val="20"/>
          <w:szCs w:val="20"/>
          <w:color w:val="auto"/>
        </w:rPr>
      </w:pPr>
    </w:p>
    <w:p>
      <w:pPr>
        <w:ind w:right="400" w:firstLine="470"/>
        <w:spacing w:after="0" w:line="313" w:lineRule="auto"/>
        <w:rPr>
          <w:sz w:val="20"/>
          <w:szCs w:val="20"/>
          <w:color w:val="auto"/>
        </w:rPr>
      </w:pPr>
      <w:r>
        <w:rPr>
          <w:rFonts w:ascii="Arial" w:cs="Arial" w:eastAsia="Arial" w:hAnsi="Arial"/>
          <w:sz w:val="15"/>
          <w:szCs w:val="15"/>
          <w:color w:val="auto"/>
        </w:rPr>
        <w:t xml:space="preserve">ASC 740, </w:t>
      </w:r>
      <w:r>
        <w:rPr>
          <w:rFonts w:ascii="Arial" w:cs="Arial" w:eastAsia="Arial" w:hAnsi="Arial"/>
          <w:sz w:val="15"/>
          <w:szCs w:val="15"/>
          <w:i w:val="1"/>
          <w:iCs w:val="1"/>
          <w:color w:val="auto"/>
        </w:rPr>
        <w:t>Income Taxes</w:t>
      </w:r>
      <w:r>
        <w:rPr>
          <w:rFonts w:ascii="Arial" w:cs="Arial" w:eastAsia="Arial" w:hAnsi="Arial"/>
          <w:sz w:val="15"/>
          <w:szCs w:val="15"/>
          <w:color w:val="auto"/>
        </w:rPr>
        <w:t>, provides for the recognition of deferred tax assets if realization of such assets is more likely than not to occur. Based on management’s review of both the positive and negative evidence, which includes our historical operating performance, reported cumulative net losses since inception and difficulty in accurately forecasting results, we have concluded that it is not more likely than not that we will be able to realize all of our U.S. deferred tax assets. Therefore, we have provided a full valuation allowance against deferred tax assets at December 31, 2022 and 2021, respectively.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reconciling items from income tax computed at the statutory federal rate:</w:t>
      </w:r>
    </w:p>
    <w:p>
      <w:pPr>
        <w:spacing w:after="0" w:line="295" w:lineRule="exact"/>
        <w:rPr>
          <w:sz w:val="20"/>
          <w:szCs w:val="20"/>
          <w:color w:val="auto"/>
        </w:rPr>
      </w:pPr>
    </w:p>
    <w:p>
      <w:pPr>
        <w:ind w:left="862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28575</wp:posOffset>
            </wp:positionV>
            <wp:extent cx="20910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r>
      <w:tr>
        <w:trPr>
          <w:trHeight w:val="248"/>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 income tax at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42"/>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State income taxes, net of federal benefits</w:t>
            </w:r>
          </w:p>
        </w:tc>
        <w:tc>
          <w:tcPr>
            <w:tcW w:w="60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3.8 %</w:t>
            </w:r>
          </w:p>
        </w:tc>
      </w:tr>
      <w:tr>
        <w:trPr>
          <w:trHeight w:val="255"/>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Permanent deductions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r>
      <w:tr>
        <w:trPr>
          <w:trHeight w:val="24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(20.4)%</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r>
      <w:tr>
        <w:trPr>
          <w:trHeight w:val="268"/>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80" w:firstLine="470"/>
        <w:spacing w:after="0" w:line="297" w:lineRule="auto"/>
        <w:rPr>
          <w:sz w:val="20"/>
          <w:szCs w:val="20"/>
          <w:color w:val="auto"/>
        </w:rPr>
      </w:pPr>
      <w:r>
        <w:rPr>
          <w:rFonts w:ascii="Arial" w:cs="Arial" w:eastAsia="Arial" w:hAnsi="Arial"/>
          <w:sz w:val="16"/>
          <w:szCs w:val="16"/>
          <w:color w:val="auto"/>
        </w:rPr>
        <w:t>Accounting literature regarding liabilities for unrecognized tax benefits provides guidance for the recognition and measurement in financial statements of uncertain tax positions taken or expected to be taken in a tax return. The Company’s evaluation was performed for the tax periods from inception to December 31, 2022. The Company is subject to examination by major tax jurisdictions for the years ended December 31, 2016 to 2022.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The Company recognizes uncertain tax positions net, against any operating losses or applicable research credits as they arise. Currently, there are no uncertain tax positions recognized at December 31, 2022 and 2021, respectively.</w:t>
      </w:r>
    </w:p>
    <w:p>
      <w:pPr>
        <w:spacing w:after="0" w:line="184" w:lineRule="exact"/>
        <w:rPr>
          <w:sz w:val="20"/>
          <w:szCs w:val="20"/>
          <w:color w:val="auto"/>
        </w:rPr>
      </w:pPr>
    </w:p>
    <w:p>
      <w:pPr>
        <w:jc w:val="both"/>
        <w:ind w:right="20" w:firstLine="470"/>
        <w:spacing w:after="0" w:line="267" w:lineRule="auto"/>
        <w:rPr>
          <w:sz w:val="20"/>
          <w:szCs w:val="20"/>
          <w:color w:val="auto"/>
        </w:rPr>
      </w:pPr>
      <w:r>
        <w:rPr>
          <w:rFonts w:ascii="Arial" w:cs="Arial" w:eastAsia="Arial" w:hAnsi="Arial"/>
          <w:sz w:val="17"/>
          <w:szCs w:val="17"/>
          <w:color w:val="auto"/>
        </w:rPr>
        <w:t>On August 16, 2022, the Inflation Reduction Act of 2022 (“IRA”) was enacted into law and is effective for taxable years beginning after December 31, 2022. The IRA includes multiple incentives to promote clean energy and remains subject to additional guidance releases. While the clean energy provisions in the IRA are expected to have a material impact on the Company, there are no significant current tax expense impacts with the newly enacted law during the year ended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Employee Benefit Plan</w:t>
      </w:r>
    </w:p>
    <w:p>
      <w:pPr>
        <w:spacing w:after="0" w:line="255"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The Company sponsors the Gevo, Inc. 401(k) Plan (the "401(k) Plan") under Section 401(k) of the Internal Revenue Code. Subject to certain eligibility requirements, the 401(k) Plan covers substantially all employees beginning the month after employment. Employee contributions are deposited by the Company into the 401(k) Plan and may not exceed the maximum statutory contribution amount. The Company may make matching and/or discretionary contributions to the 401(k) Plan. The Company did not provide an employer match during the years ended December 31, 2022 and 2021. Beginning January 1, 2023, the 401(k) Plan was amended to require matching contributions to the 401(k) Plan by the Company on behalf of the participants, with the Company matching 100 percent up to three percent, and an additional 50 percent on up to two percent of an employee's elective contributions, computed on a per pay period basis. The matching contributions will be made in shares of the Company's common stock and vest immediately.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Commitments and Contingencies</w:t>
      </w:r>
    </w:p>
    <w:p>
      <w:pPr>
        <w:spacing w:after="0" w:line="255" w:lineRule="exact"/>
        <w:rPr>
          <w:sz w:val="20"/>
          <w:szCs w:val="20"/>
          <w:color w:val="auto"/>
        </w:rPr>
      </w:pPr>
    </w:p>
    <w:p>
      <w:pPr>
        <w:ind w:right="280" w:firstLine="470"/>
        <w:spacing w:after="0" w:line="272" w:lineRule="auto"/>
        <w:rPr>
          <w:sz w:val="20"/>
          <w:szCs w:val="20"/>
          <w:color w:val="auto"/>
        </w:rPr>
      </w:pPr>
      <w:r>
        <w:rPr>
          <w:rFonts w:ascii="Arial" w:cs="Arial" w:eastAsia="Arial" w:hAnsi="Arial"/>
          <w:sz w:val="17"/>
          <w:szCs w:val="17"/>
          <w:i w:val="1"/>
          <w:iCs w:val="1"/>
          <w:color w:val="auto"/>
        </w:rPr>
        <w:t xml:space="preserve">Legal Matters. </w:t>
      </w:r>
      <w:r>
        <w:rPr>
          <w:rFonts w:ascii="Arial" w:cs="Arial" w:eastAsia="Arial" w:hAnsi="Arial"/>
          <w:sz w:val="17"/>
          <w:szCs w:val="17"/>
          <w:color w:val="auto"/>
        </w:rPr>
        <w:t>From time to time, the Company has been and may again become involved in legal proceedings arising in the ordinary course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98" w:lineRule="exact"/>
        <w:rPr>
          <w:sz w:val="20"/>
          <w:szCs w:val="20"/>
          <w:color w:val="auto"/>
        </w:rPr>
      </w:pPr>
    </w:p>
    <w:p>
      <w:pPr>
        <w:ind w:right="300" w:firstLine="470"/>
        <w:spacing w:after="0" w:line="321"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December 31, 2022 and 2021, the Company did not have any liabilities associated with indemnities.</w:t>
      </w:r>
    </w:p>
    <w:p>
      <w:pPr>
        <w:spacing w:after="0" w:line="161"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spacing w:after="0" w:line="206" w:lineRule="exact"/>
        <w:rPr>
          <w:sz w:val="20"/>
          <w:szCs w:val="20"/>
          <w:color w:val="auto"/>
        </w:rPr>
      </w:pPr>
    </w:p>
    <w:p>
      <w:pPr>
        <w:ind w:right="120" w:firstLine="470"/>
        <w:spacing w:after="0" w:line="26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2022.</w:t>
      </w:r>
    </w:p>
    <w:p>
      <w:pPr>
        <w:spacing w:after="0" w:line="205"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i w:val="1"/>
          <w:iCs w:val="1"/>
          <w:color w:val="auto"/>
        </w:rPr>
        <w:t xml:space="preserve">Fuel Supply Commitment. </w:t>
      </w:r>
      <w:r>
        <w:rPr>
          <w:rFonts w:ascii="Arial" w:cs="Arial" w:eastAsia="Arial" w:hAnsi="Arial"/>
          <w:sz w:val="17"/>
          <w:szCs w:val="17"/>
          <w:color w:val="auto"/>
        </w:rPr>
        <w:t>The Company has three long-term fuel supply contracts to source feedstock for the anaerobic digesters at the NW Iowa RNG</w:t>
      </w:r>
      <w:r>
        <w:rPr>
          <w:rFonts w:ascii="Arial" w:cs="Arial" w:eastAsia="Arial" w:hAnsi="Arial"/>
          <w:sz w:val="17"/>
          <w:szCs w:val="17"/>
          <w:i w:val="1"/>
          <w:iCs w:val="1"/>
          <w:color w:val="auto"/>
        </w:rPr>
        <w:t xml:space="preserve"> </w:t>
      </w:r>
      <w:r>
        <w:rPr>
          <w:rFonts w:ascii="Arial" w:cs="Arial" w:eastAsia="Arial" w:hAnsi="Arial"/>
          <w:sz w:val="17"/>
          <w:szCs w:val="17"/>
          <w:color w:val="auto"/>
        </w:rPr>
        <w:t>project. These contracts provide an annual amount of feedstock to be used in the production of RNG.</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 xml:space="preserve">Praj Commitment. </w:t>
      </w:r>
      <w:r>
        <w:rPr>
          <w:rFonts w:ascii="Arial" w:cs="Arial" w:eastAsia="Arial" w:hAnsi="Arial"/>
          <w:sz w:val="16"/>
          <w:szCs w:val="16"/>
          <w:color w:val="auto"/>
        </w:rPr>
        <w:t>In June 2021 the Company contracted with a manufacturer in India to build a fractionation and hydrocarbon skid for $10.2 million.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remaining commitment for the contract is $3.6 million as of December 31, 2022, which is expected to be completed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i w:val="1"/>
          <w:iCs w:val="1"/>
          <w:color w:val="auto"/>
        </w:rPr>
        <w:t xml:space="preserve">Zero6 Commitments. </w:t>
      </w:r>
      <w:r>
        <w:rPr>
          <w:rFonts w:ascii="Arial" w:cs="Arial" w:eastAsia="Arial" w:hAnsi="Arial"/>
          <w:sz w:val="17"/>
          <w:szCs w:val="17"/>
          <w:color w:val="auto"/>
        </w:rPr>
        <w:t>In September 2022, the Company entered into a development agreement with Zero6 to construct and operate a wind project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electric energy for NZ1.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w:t>
      </w:r>
    </w:p>
    <w:p>
      <w:pPr>
        <w:spacing w:after="0" w:line="206" w:lineRule="exact"/>
        <w:rPr>
          <w:sz w:val="20"/>
          <w:szCs w:val="20"/>
          <w:color w:val="auto"/>
        </w:rPr>
      </w:pPr>
    </w:p>
    <w:p>
      <w:pPr>
        <w:jc w:val="both"/>
        <w:ind w:right="240" w:firstLine="470"/>
        <w:spacing w:after="0" w:line="272" w:lineRule="auto"/>
        <w:rPr>
          <w:sz w:val="20"/>
          <w:szCs w:val="20"/>
          <w:color w:val="auto"/>
        </w:rPr>
      </w:pPr>
      <w:r>
        <w:rPr>
          <w:rFonts w:ascii="Arial" w:cs="Arial" w:eastAsia="Arial" w:hAnsi="Arial"/>
          <w:sz w:val="17"/>
          <w:szCs w:val="17"/>
          <w:color w:val="auto"/>
        </w:rPr>
        <w:t>Additionally, the Company's investment in Zero6, see Note 13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estimated commitments as of December 31, 2022, and thereafter are shown below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ind w:left="420"/>
              <w:spacing w:after="0"/>
              <w:rPr>
                <w:sz w:val="20"/>
                <w:szCs w:val="20"/>
                <w:color w:val="auto"/>
              </w:rPr>
            </w:pPr>
            <w:r>
              <w:rPr>
                <w:rFonts w:ascii="Arial" w:cs="Arial" w:eastAsia="Arial" w:hAnsi="Arial"/>
                <w:sz w:val="17"/>
                <w:szCs w:val="17"/>
                <w:b w:val="1"/>
                <w:bCs w:val="1"/>
                <w:color w:val="auto"/>
              </w:rPr>
              <w:t>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7"/>
        </w:trPr>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2028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7"/>
        </w:trPr>
        <w:tc>
          <w:tcPr>
            <w:tcW w:w="22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9"/>
              </w:rPr>
              <w:t>thereafter</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Total</w:t>
            </w:r>
          </w:p>
        </w:tc>
      </w:tr>
      <w:tr>
        <w:trPr>
          <w:trHeight w:val="235"/>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Fuel Supply Payments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39,571</w:t>
            </w:r>
          </w:p>
        </w:tc>
      </w:tr>
      <w:tr>
        <w:trPr>
          <w:trHeight w:val="248"/>
        </w:trPr>
        <w:tc>
          <w:tcPr>
            <w:tcW w:w="2200" w:type="dxa"/>
            <w:vAlign w:val="bottom"/>
          </w:tcPr>
          <w:p>
            <w:pPr>
              <w:ind w:left="20"/>
              <w:spacing w:after="0"/>
              <w:rPr>
                <w:sz w:val="20"/>
                <w:szCs w:val="20"/>
                <w:color w:val="auto"/>
              </w:rPr>
            </w:pPr>
            <w:r>
              <w:rPr>
                <w:rFonts w:ascii="Arial" w:cs="Arial" w:eastAsia="Arial" w:hAnsi="Arial"/>
                <w:sz w:val="17"/>
                <w:szCs w:val="17"/>
                <w:color w:val="auto"/>
              </w:rPr>
              <w:t>Zero6 Commitment</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7,376</w:t>
            </w:r>
          </w:p>
        </w:tc>
      </w:tr>
      <w:tr>
        <w:trPr>
          <w:trHeight w:val="248"/>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Praj Commitment</w:t>
            </w: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r>
      <w:tr>
        <w:trPr>
          <w:trHeight w:val="248"/>
        </w:trPr>
        <w:tc>
          <w:tcPr>
            <w:tcW w:w="2200" w:type="dxa"/>
            <w:vAlign w:val="bottom"/>
          </w:tcPr>
          <w:p>
            <w:pPr>
              <w:ind w:left="20"/>
              <w:spacing w:after="0"/>
              <w:rPr>
                <w:sz w:val="20"/>
                <w:szCs w:val="20"/>
                <w:color w:val="auto"/>
              </w:rPr>
            </w:pPr>
            <w:r>
              <w:rPr>
                <w:rFonts w:ascii="Arial" w:cs="Arial" w:eastAsia="Arial" w:hAnsi="Arial"/>
                <w:sz w:val="17"/>
                <w:szCs w:val="17"/>
                <w:color w:val="auto"/>
              </w:rPr>
              <w:t>Renewable Energy Credits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2,572</w:t>
            </w:r>
          </w:p>
        </w:tc>
      </w:tr>
      <w:tr>
        <w:trPr>
          <w:trHeight w:val="248"/>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Electricity Above Use (Est.)</w:t>
            </w:r>
          </w:p>
        </w:tc>
        <w:tc>
          <w:tcPr>
            <w:tcW w:w="6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6,173</w:t>
            </w:r>
          </w:p>
        </w:tc>
      </w:tr>
      <w:tr>
        <w:trPr>
          <w:trHeight w:val="215"/>
        </w:trPr>
        <w:tc>
          <w:tcPr>
            <w:tcW w:w="2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 xml:space="preserve">Total </w:t>
            </w: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7,992</w:t>
            </w:r>
          </w:p>
        </w:tc>
        <w:tc>
          <w:tcPr>
            <w:tcW w:w="1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8,901</w:t>
            </w:r>
          </w:p>
        </w:tc>
        <w:tc>
          <w:tcPr>
            <w:tcW w:w="8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2,154</w:t>
            </w:r>
          </w:p>
        </w:tc>
        <w:tc>
          <w:tcPr>
            <w:tcW w:w="8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34,892</w:t>
            </w:r>
          </w:p>
        </w:tc>
        <w:tc>
          <w:tcPr>
            <w:tcW w:w="80" w:type="dxa"/>
            <w:vAlign w:val="bottom"/>
          </w:tcPr>
          <w:p>
            <w:pPr>
              <w:spacing w:after="0"/>
              <w:rPr>
                <w:sz w:val="18"/>
                <w:szCs w:val="18"/>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59,292</w:t>
            </w:r>
          </w:p>
        </w:tc>
      </w:tr>
      <w:tr>
        <w:trPr>
          <w:trHeight w:val="20"/>
        </w:trPr>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Fair Value Measurements</w:t>
      </w:r>
    </w:p>
    <w:p>
      <w:pPr>
        <w:spacing w:after="0" w:line="255"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 inputs include quoted market prices in an active market for identical assets or liabilities.</w:t>
      </w:r>
    </w:p>
    <w:p>
      <w:pPr>
        <w:spacing w:after="0" w:line="249" w:lineRule="exact"/>
        <w:rPr>
          <w:sz w:val="20"/>
          <w:szCs w:val="20"/>
          <w:color w:val="auto"/>
        </w:rPr>
      </w:pPr>
    </w:p>
    <w:p>
      <w:pPr>
        <w:ind w:right="460" w:firstLine="470"/>
        <w:spacing w:after="0" w:line="321"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 – inputs are unobservable and corroborated by little or no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460" w:firstLine="470"/>
        <w:spacing w:after="0" w:line="288" w:lineRule="auto"/>
        <w:rPr>
          <w:sz w:val="20"/>
          <w:szCs w:val="20"/>
          <w:color w:val="auto"/>
        </w:rPr>
      </w:pPr>
      <w:r>
        <w:rPr>
          <w:rFonts w:ascii="Arial" w:cs="Arial" w:eastAsia="Arial" w:hAnsi="Arial"/>
          <w:sz w:val="17"/>
          <w:szCs w:val="17"/>
          <w:color w:val="auto"/>
        </w:rPr>
        <w:t>The carrying value and fair value, by fair value hierarchy, of the Company's financial instruments at December 31, 2022 and 2021 are as follows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7"/>
                <w:szCs w:val="17"/>
                <w:b w:val="1"/>
                <w:bCs w:val="1"/>
                <w:color w:val="auto"/>
                <w:w w:val="92"/>
              </w:rPr>
              <w:t>Fair Value Measurements at December 31, 2022</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Quoted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Prices in</w:t>
            </w:r>
          </w:p>
        </w:tc>
        <w:tc>
          <w:tcPr>
            <w:tcW w:w="240" w:type="dxa"/>
            <w:vAlign w:val="bottom"/>
          </w:tcPr>
          <w:p>
            <w:pPr>
              <w:spacing w:after="0"/>
              <w:rPr>
                <w:sz w:val="18"/>
                <w:szCs w:val="18"/>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1"/>
              </w:rPr>
              <w:t>Significant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40"/>
              <w:spacing w:after="0" w:line="183" w:lineRule="exact"/>
              <w:rPr>
                <w:sz w:val="20"/>
                <w:szCs w:val="20"/>
                <w:color w:val="auto"/>
              </w:rPr>
            </w:pPr>
            <w:r>
              <w:rPr>
                <w:rFonts w:ascii="Arial" w:cs="Arial" w:eastAsia="Arial" w:hAnsi="Arial"/>
                <w:sz w:val="17"/>
                <w:szCs w:val="17"/>
                <w:b w:val="1"/>
                <w:bCs w:val="1"/>
                <w:color w:val="auto"/>
                <w:w w:val="93"/>
              </w:rPr>
              <w:t>Active</w:t>
            </w: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Markets for</w:t>
            </w: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8"/>
                <w:szCs w:val="18"/>
                <w:color w:val="auto"/>
              </w:rPr>
            </w:pPr>
          </w:p>
        </w:tc>
        <w:tc>
          <w:tcPr>
            <w:tcW w:w="138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Identical</w:t>
            </w: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Observable</w:t>
            </w:r>
          </w:p>
        </w:tc>
        <w:tc>
          <w:tcPr>
            <w:tcW w:w="200" w:type="dxa"/>
            <w:vAlign w:val="bottom"/>
          </w:tcPr>
          <w:p>
            <w:pPr>
              <w:spacing w:after="0"/>
              <w:rPr>
                <w:sz w:val="17"/>
                <w:szCs w:val="17"/>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Fair Value at</w:t>
            </w: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Assets</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Inputs</w:t>
            </w:r>
          </w:p>
        </w:tc>
        <w:tc>
          <w:tcPr>
            <w:tcW w:w="200" w:type="dxa"/>
            <w:vAlign w:val="bottom"/>
          </w:tcPr>
          <w:p>
            <w:pPr>
              <w:spacing w:after="0"/>
              <w:rPr>
                <w:sz w:val="17"/>
                <w:szCs w:val="17"/>
                <w:color w:val="auto"/>
              </w:rPr>
            </w:pPr>
          </w:p>
        </w:tc>
        <w:tc>
          <w:tcPr>
            <w:tcW w:w="1380" w:type="dxa"/>
            <w:vAlign w:val="bottom"/>
          </w:tcPr>
          <w:p>
            <w:pPr>
              <w:jc w:val="center"/>
              <w:ind w:right="93"/>
              <w:spacing w:after="0"/>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47"/>
        </w:trPr>
        <w:tc>
          <w:tcPr>
            <w:tcW w:w="4600" w:type="dxa"/>
            <w:vAlign w:val="bottom"/>
          </w:tcPr>
          <w:p>
            <w:pPr>
              <w:spacing w:after="0"/>
              <w:rPr>
                <w:sz w:val="21"/>
                <w:szCs w:val="21"/>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December 31, 2022</w:t>
            </w:r>
          </w:p>
        </w:tc>
        <w:tc>
          <w:tcPr>
            <w:tcW w:w="2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(Level 1)</w:t>
            </w: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Pr>
          <w:p>
            <w:pPr>
              <w:spacing w:after="0"/>
              <w:rPr>
                <w:sz w:val="21"/>
                <w:szCs w:val="21"/>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(Level 3)</w:t>
            </w:r>
          </w:p>
        </w:tc>
        <w:tc>
          <w:tcPr>
            <w:tcW w:w="0" w:type="dxa"/>
            <w:vAlign w:val="bottom"/>
          </w:tcPr>
          <w:p>
            <w:pPr>
              <w:spacing w:after="0"/>
              <w:rPr>
                <w:sz w:val="1"/>
                <w:szCs w:val="1"/>
                <w:color w:val="auto"/>
              </w:rPr>
            </w:pPr>
          </w:p>
        </w:tc>
      </w:tr>
      <w:tr>
        <w:trPr>
          <w:trHeight w:val="24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20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00" w:type="dxa"/>
            <w:vAlign w:val="bottom"/>
          </w:tcPr>
          <w:p>
            <w:pPr>
              <w:jc w:val="center"/>
              <w:ind w:right="2553"/>
              <w:spacing w:after="0"/>
              <w:rPr>
                <w:sz w:val="20"/>
                <w:szCs w:val="20"/>
                <w:color w:val="auto"/>
              </w:rPr>
            </w:pPr>
            <w:r>
              <w:rPr>
                <w:rFonts w:ascii="Arial" w:cs="Arial" w:eastAsia="Arial" w:hAnsi="Arial"/>
                <w:sz w:val="17"/>
                <w:szCs w:val="17"/>
                <w:color w:val="auto"/>
                <w:w w:val="92"/>
              </w:rPr>
              <w:t>Marketable securities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Treasury notes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U.S. Government sponsored enterprise securities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111,334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111,334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shd w:val="clear" w:color="auto" w:fill="CCEEFF"/>
          </w:tcPr>
          <w:p>
            <w:pPr>
              <w:jc w:val="center"/>
              <w:ind w:right="2593"/>
              <w:spacing w:after="0"/>
              <w:rPr>
                <w:sz w:val="20"/>
                <w:szCs w:val="20"/>
                <w:color w:val="auto"/>
              </w:rPr>
            </w:pPr>
            <w:r>
              <w:rPr>
                <w:rFonts w:ascii="Arial" w:cs="Arial" w:eastAsia="Arial" w:hAnsi="Arial"/>
                <w:sz w:val="17"/>
                <w:szCs w:val="17"/>
                <w:color w:val="auto"/>
                <w:w w:val="94"/>
              </w:rPr>
              <w:t>Total recurring</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167,408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167,408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7"/>
                <w:szCs w:val="17"/>
                <w:b w:val="1"/>
                <w:bCs w:val="1"/>
                <w:color w:val="auto"/>
                <w:w w:val="92"/>
              </w:rPr>
              <w:t>Fair Value Measurements at December 31, 2021</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Quoted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Prices in</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Active</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Significant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Markets for</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7"/>
                <w:szCs w:val="17"/>
                <w:color w:val="auto"/>
              </w:rPr>
            </w:pPr>
          </w:p>
        </w:tc>
        <w:tc>
          <w:tcPr>
            <w:tcW w:w="138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Identical</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Observable</w:t>
            </w:r>
          </w:p>
        </w:tc>
        <w:tc>
          <w:tcPr>
            <w:tcW w:w="200" w:type="dxa"/>
            <w:vAlign w:val="bottom"/>
          </w:tcPr>
          <w:p>
            <w:pPr>
              <w:spacing w:after="0"/>
              <w:rPr>
                <w:sz w:val="18"/>
                <w:szCs w:val="18"/>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Fair Value at</w:t>
            </w: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Assets</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Inputs</w:t>
            </w:r>
          </w:p>
        </w:tc>
        <w:tc>
          <w:tcPr>
            <w:tcW w:w="200" w:type="dxa"/>
            <w:vAlign w:val="bottom"/>
          </w:tcPr>
          <w:p>
            <w:pPr>
              <w:spacing w:after="0"/>
              <w:rPr>
                <w:sz w:val="17"/>
                <w:szCs w:val="17"/>
                <w:color w:val="auto"/>
              </w:rPr>
            </w:pPr>
          </w:p>
        </w:tc>
        <w:tc>
          <w:tcPr>
            <w:tcW w:w="1380" w:type="dxa"/>
            <w:vAlign w:val="bottom"/>
          </w:tcPr>
          <w:p>
            <w:pPr>
              <w:jc w:val="center"/>
              <w:ind w:right="93"/>
              <w:spacing w:after="0"/>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47"/>
        </w:trPr>
        <w:tc>
          <w:tcPr>
            <w:tcW w:w="4600" w:type="dxa"/>
            <w:vAlign w:val="bottom"/>
          </w:tcPr>
          <w:p>
            <w:pPr>
              <w:spacing w:after="0"/>
              <w:rPr>
                <w:sz w:val="21"/>
                <w:szCs w:val="21"/>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December 31, 2021</w:t>
            </w:r>
          </w:p>
        </w:tc>
        <w:tc>
          <w:tcPr>
            <w:tcW w:w="2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(Level 1)</w:t>
            </w: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Pr>
          <w:p>
            <w:pPr>
              <w:spacing w:after="0"/>
              <w:rPr>
                <w:sz w:val="21"/>
                <w:szCs w:val="21"/>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(Level 3)</w:t>
            </w:r>
          </w:p>
        </w:tc>
        <w:tc>
          <w:tcPr>
            <w:tcW w:w="0" w:type="dxa"/>
            <w:vAlign w:val="bottom"/>
          </w:tcPr>
          <w:p>
            <w:pPr>
              <w:spacing w:after="0"/>
              <w:rPr>
                <w:sz w:val="1"/>
                <w:szCs w:val="1"/>
                <w:color w:val="auto"/>
              </w:rPr>
            </w:pPr>
          </w:p>
        </w:tc>
      </w:tr>
      <w:tr>
        <w:trPr>
          <w:trHeight w:val="235"/>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00" w:type="dxa"/>
            <w:vAlign w:val="bottom"/>
          </w:tcPr>
          <w:p>
            <w:pPr>
              <w:jc w:val="center"/>
              <w:ind w:right="2553"/>
              <w:spacing w:after="0"/>
              <w:rPr>
                <w:sz w:val="20"/>
                <w:szCs w:val="20"/>
                <w:color w:val="auto"/>
              </w:rPr>
            </w:pPr>
            <w:r>
              <w:rPr>
                <w:rFonts w:ascii="Arial" w:cs="Arial" w:eastAsia="Arial" w:hAnsi="Arial"/>
                <w:sz w:val="17"/>
                <w:szCs w:val="17"/>
                <w:color w:val="auto"/>
                <w:w w:val="92"/>
              </w:rPr>
              <w:t>Marketable securities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Treasury notes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600" w:type="dxa"/>
            <w:vAlign w:val="bottom"/>
          </w:tcPr>
          <w:p>
            <w:pPr>
              <w:ind w:left="340"/>
              <w:spacing w:after="0"/>
              <w:rPr>
                <w:sz w:val="20"/>
                <w:szCs w:val="20"/>
                <w:color w:val="auto"/>
              </w:rPr>
            </w:pPr>
            <w:r>
              <w:rPr>
                <w:rFonts w:ascii="Arial" w:cs="Arial" w:eastAsia="Arial" w:hAnsi="Arial"/>
                <w:sz w:val="17"/>
                <w:szCs w:val="17"/>
                <w:color w:val="auto"/>
              </w:rPr>
              <w:t>U.S. Government sponsored enterprise securities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113,944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113,944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Liability-classified restricted stock awards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4600" w:type="dxa"/>
            <w:vAlign w:val="bottom"/>
            <w:shd w:val="clear" w:color="auto" w:fill="CCEEFF"/>
          </w:tcPr>
          <w:p>
            <w:pPr>
              <w:jc w:val="center"/>
              <w:ind w:right="2593"/>
              <w:spacing w:after="0"/>
              <w:rPr>
                <w:sz w:val="20"/>
                <w:szCs w:val="20"/>
                <w:color w:val="auto"/>
              </w:rPr>
            </w:pPr>
            <w:r>
              <w:rPr>
                <w:rFonts w:ascii="Arial" w:cs="Arial" w:eastAsia="Arial" w:hAnsi="Arial"/>
                <w:sz w:val="17"/>
                <w:szCs w:val="17"/>
                <w:color w:val="auto"/>
                <w:w w:val="94"/>
              </w:rPr>
              <w:t>Total recurring</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no transfers of assets or liabilities between fair value hierarchy levels during the years ended December 31, 2022 and 2021.</w:t>
      </w:r>
    </w:p>
    <w:p>
      <w:pPr>
        <w:spacing w:after="0" w:line="249"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December 31, 2022 are summarized as follows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Carrying Value</w:t>
            </w:r>
          </w:p>
        </w:tc>
        <w:tc>
          <w:tcPr>
            <w:tcW w:w="140" w:type="dxa"/>
            <w:vAlign w:val="bottom"/>
          </w:tcPr>
          <w:p>
            <w:pPr>
              <w:spacing w:after="0"/>
              <w:rPr>
                <w:sz w:val="18"/>
                <w:szCs w:val="18"/>
                <w:color w:val="auto"/>
              </w:rPr>
            </w:pPr>
          </w:p>
        </w:tc>
        <w:tc>
          <w:tcPr>
            <w:tcW w:w="1340" w:type="dxa"/>
            <w:vAlign w:val="bottom"/>
          </w:tcPr>
          <w:p>
            <w:pPr>
              <w:jc w:val="center"/>
              <w:ind w:right="53"/>
              <w:spacing w:after="0"/>
              <w:rPr>
                <w:sz w:val="20"/>
                <w:szCs w:val="20"/>
                <w:color w:val="auto"/>
              </w:rPr>
            </w:pPr>
            <w:r>
              <w:rPr>
                <w:rFonts w:ascii="Arial" w:cs="Arial" w:eastAsia="Arial" w:hAnsi="Arial"/>
                <w:sz w:val="17"/>
                <w:szCs w:val="17"/>
                <w:b w:val="1"/>
                <w:bCs w:val="1"/>
                <w:color w:val="auto"/>
                <w:w w:val="95"/>
              </w:rPr>
              <w:t>Estimated Fair</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3"/>
              <w:spacing w:after="0"/>
              <w:rPr>
                <w:sz w:val="20"/>
                <w:szCs w:val="20"/>
                <w:color w:val="auto"/>
              </w:rPr>
            </w:pPr>
            <w:r>
              <w:rPr>
                <w:rFonts w:ascii="Arial" w:cs="Arial" w:eastAsia="Arial" w:hAnsi="Arial"/>
                <w:sz w:val="17"/>
                <w:szCs w:val="17"/>
                <w:b w:val="1"/>
                <w:bCs w:val="1"/>
                <w:color w:val="auto"/>
                <w:w w:val="92"/>
              </w:rPr>
              <w:t>Value</w:t>
            </w:r>
          </w:p>
        </w:tc>
        <w:tc>
          <w:tcPr>
            <w:tcW w:w="0" w:type="dxa"/>
            <w:vAlign w:val="bottom"/>
          </w:tcPr>
          <w:p>
            <w:pPr>
              <w:spacing w:after="0"/>
              <w:rPr>
                <w:sz w:val="1"/>
                <w:szCs w:val="1"/>
                <w:color w:val="auto"/>
              </w:rPr>
            </w:pPr>
          </w:p>
        </w:tc>
      </w:tr>
      <w:tr>
        <w:trPr>
          <w:trHeight w:val="267"/>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Bonds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65,438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80" w:right="9400" w:hanging="475"/>
        <w:spacing w:after="0" w:line="622" w:lineRule="auto"/>
        <w:tabs>
          <w:tab w:leader="none" w:pos="271"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Shareholders' Equity Share Issuances</w:t>
      </w:r>
    </w:p>
    <w:p>
      <w:pPr>
        <w:spacing w:after="0" w:line="1"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February 2018, the Company commenced an at-the-market offering program, which allows it to sell and issue shares of its common stock from time to time. In 2021, the at-the-market offering program was amended to provide a total capacity of $500.0 million. During the year ended December 31, 2021, the Company issued 24,420,579 shares of common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stock under the at-the-market offering program for total proceeds of $135.8 million, net of commissions and other offering related expenses totaling $3.6 million. As of December 31, 2022, the Company has remaining capacity to issue up to approximately $360.6 million of common stock under the at-the-market offering program.</w:t>
      </w:r>
    </w:p>
    <w:p>
      <w:pPr>
        <w:spacing w:after="0" w:line="133" w:lineRule="exact"/>
        <w:rPr>
          <w:sz w:val="20"/>
          <w:szCs w:val="20"/>
          <w:color w:val="auto"/>
        </w:rPr>
      </w:pPr>
    </w:p>
    <w:p>
      <w:pPr>
        <w:ind w:right="360" w:firstLine="470"/>
        <w:spacing w:after="0" w:line="288" w:lineRule="auto"/>
        <w:rPr>
          <w:sz w:val="20"/>
          <w:szCs w:val="20"/>
          <w:color w:val="auto"/>
        </w:rPr>
      </w:pPr>
      <w:r>
        <w:rPr>
          <w:rFonts w:ascii="Arial" w:cs="Arial" w:eastAsia="Arial" w:hAnsi="Arial"/>
          <w:sz w:val="16"/>
          <w:szCs w:val="16"/>
          <w:color w:val="auto"/>
        </w:rPr>
        <w:t>On January 19, 2021, the Company completed a registered direct offering pursuant to a securities purchase agreement with certain institutional and accredited investors providing for the issuance and sale by the Company of an aggregate of 43,750,000 shares of the Company’s common stock at a price of $8.00 per share (the "January 2021 Offering"). The net proceeds to the Company from the January 2021 Offering were approximately $321.7 million, after deducting placement agent fees and other estimated offering expenses payable by the Company.</w:t>
      </w:r>
    </w:p>
    <w:p>
      <w:pPr>
        <w:spacing w:after="0" w:line="188"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On June 8,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December 31, 2022, none of the Series 2022-A Warrants had been exercised.</w:t>
      </w:r>
    </w:p>
    <w:p>
      <w:pPr>
        <w:spacing w:after="0" w:line="206" w:lineRule="exact"/>
        <w:rPr>
          <w:sz w:val="20"/>
          <w:szCs w:val="20"/>
          <w:color w:val="auto"/>
        </w:rPr>
      </w:pPr>
    </w:p>
    <w:p>
      <w:pPr>
        <w:jc w:val="both"/>
        <w:ind w:right="440" w:firstLine="470"/>
        <w:spacing w:after="0" w:line="324" w:lineRule="auto"/>
        <w:rPr>
          <w:sz w:val="20"/>
          <w:szCs w:val="20"/>
          <w:color w:val="auto"/>
        </w:rPr>
      </w:pPr>
      <w:r>
        <w:rPr>
          <w:rFonts w:ascii="Arial" w:cs="Arial" w:eastAsia="Arial" w:hAnsi="Arial"/>
          <w:sz w:val="15"/>
          <w:szCs w:val="15"/>
          <w:color w:val="auto"/>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fund capital projects, working capital and for general corporate purposes.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55" w:lineRule="exact"/>
        <w:rPr>
          <w:sz w:val="20"/>
          <w:szCs w:val="20"/>
          <w:color w:val="auto"/>
        </w:rPr>
      </w:pPr>
    </w:p>
    <w:p>
      <w:pPr>
        <w:ind w:right="420" w:firstLine="470"/>
        <w:spacing w:after="0" w:line="267" w:lineRule="auto"/>
        <w:rPr>
          <w:sz w:val="20"/>
          <w:szCs w:val="20"/>
          <w:color w:val="auto"/>
        </w:rPr>
      </w:pPr>
      <w:r>
        <w:rPr>
          <w:rFonts w:ascii="Arial" w:cs="Arial" w:eastAsia="Arial" w:hAnsi="Arial"/>
          <w:sz w:val="17"/>
          <w:szCs w:val="17"/>
          <w:color w:val="auto"/>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spacing w:after="0" w:line="149"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During the year ended December 31, 2021, the Company received notices of exercise from holders of our Series 2020-A Warrants to issue an aggregate of 1,866,558 shares of common stock for total gross proceeds of approximately $1.1 million. As of December 31, 2022, there were 85,931 Series 2020-A Warrants outstanding.</w:t>
      </w:r>
    </w:p>
    <w:p>
      <w:pPr>
        <w:spacing w:after="0" w:line="198"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 $8.3 million with the key inputs to the valuation model including a weighted average volatility of 130%, a risk-free rate of 0.30% and an expected term of five years.</w:t>
      </w:r>
    </w:p>
    <w:p>
      <w:pPr>
        <w:spacing w:after="0" w:line="197" w:lineRule="exact"/>
        <w:rPr>
          <w:sz w:val="20"/>
          <w:szCs w:val="20"/>
          <w:color w:val="auto"/>
        </w:rPr>
      </w:pPr>
    </w:p>
    <w:p>
      <w:pPr>
        <w:ind w:firstLine="470"/>
        <w:spacing w:after="0" w:line="358" w:lineRule="auto"/>
        <w:rPr>
          <w:sz w:val="20"/>
          <w:szCs w:val="20"/>
          <w:color w:val="auto"/>
        </w:rPr>
      </w:pPr>
      <w:r>
        <w:rPr>
          <w:rFonts w:ascii="Arial" w:cs="Arial" w:eastAsia="Arial" w:hAnsi="Arial"/>
          <w:sz w:val="15"/>
          <w:szCs w:val="15"/>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February 17, 2022, the remaining Series K warrants expired with 7,126 unexercised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pertaining to shares issued upon the exercise of warrants: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 Issued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8"/>
              </w:rPr>
              <w:t>Exercise Price as</w:t>
            </w:r>
          </w:p>
        </w:tc>
        <w:tc>
          <w:tcPr>
            <w:tcW w:w="144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88"/>
              </w:rPr>
              <w:t>Shares</w:t>
            </w:r>
          </w:p>
        </w:tc>
        <w:tc>
          <w:tcPr>
            <w:tcW w:w="146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97"/>
              </w:rPr>
              <w:t>upon Warrant</w:t>
            </w:r>
          </w:p>
        </w:tc>
        <w:tc>
          <w:tcPr>
            <w:tcW w:w="146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1"/>
              </w:rPr>
              <w:t>Shares Underlying</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40" w:type="dxa"/>
            <w:vAlign w:val="bottom"/>
            <w:gridSpan w:val="2"/>
          </w:tcPr>
          <w:p>
            <w:pPr>
              <w:jc w:val="center"/>
              <w:ind w:right="80"/>
              <w:spacing w:after="0" w:line="170" w:lineRule="exact"/>
              <w:rPr>
                <w:sz w:val="20"/>
                <w:szCs w:val="20"/>
                <w:color w:val="auto"/>
              </w:rPr>
            </w:pPr>
            <w:r>
              <w:rPr>
                <w:rFonts w:ascii="Arial" w:cs="Arial" w:eastAsia="Arial" w:hAnsi="Arial"/>
                <w:sz w:val="17"/>
                <w:szCs w:val="17"/>
                <w:b w:val="1"/>
                <w:bCs w:val="1"/>
                <w:color w:val="auto"/>
                <w:w w:val="94"/>
              </w:rPr>
              <w:t>Underlying</w:t>
            </w:r>
          </w:p>
        </w:tc>
        <w:tc>
          <w:tcPr>
            <w:tcW w:w="1460" w:type="dxa"/>
            <w:vAlign w:val="bottom"/>
            <w:gridSpan w:val="2"/>
          </w:tcPr>
          <w:p>
            <w:pPr>
              <w:jc w:val="center"/>
              <w:ind w:right="100"/>
              <w:spacing w:after="0" w:line="170" w:lineRule="exact"/>
              <w:rPr>
                <w:sz w:val="20"/>
                <w:szCs w:val="20"/>
                <w:color w:val="auto"/>
              </w:rPr>
            </w:pPr>
            <w:r>
              <w:rPr>
                <w:rFonts w:ascii="Arial" w:cs="Arial" w:eastAsia="Arial" w:hAnsi="Arial"/>
                <w:sz w:val="17"/>
                <w:szCs w:val="17"/>
                <w:b w:val="1"/>
                <w:bCs w:val="1"/>
                <w:color w:val="auto"/>
                <w:w w:val="87"/>
              </w:rPr>
              <w:t>Exercises as of</w:t>
            </w:r>
          </w:p>
        </w:tc>
        <w:tc>
          <w:tcPr>
            <w:tcW w:w="14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4"/>
              </w:rPr>
              <w:t>Warrants</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89"/>
              </w:rPr>
              <w:t>Issuance Date</w:t>
            </w:r>
          </w:p>
        </w:tc>
        <w:tc>
          <w:tcPr>
            <w:tcW w:w="14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Expiration Date</w:t>
            </w:r>
          </w:p>
        </w:tc>
        <w:tc>
          <w:tcPr>
            <w:tcW w:w="1440" w:type="dxa"/>
            <w:vAlign w:val="bottom"/>
            <w:gridSpan w:val="3"/>
          </w:tcPr>
          <w:p>
            <w:pPr>
              <w:jc w:val="right"/>
              <w:ind w:right="180"/>
              <w:spacing w:after="0" w:line="183" w:lineRule="exact"/>
              <w:rPr>
                <w:sz w:val="20"/>
                <w:szCs w:val="20"/>
                <w:color w:val="auto"/>
              </w:rPr>
            </w:pPr>
            <w:r>
              <w:rPr>
                <w:rFonts w:ascii="Arial" w:cs="Arial" w:eastAsia="Arial" w:hAnsi="Arial"/>
                <w:sz w:val="17"/>
                <w:szCs w:val="17"/>
                <w:b w:val="1"/>
                <w:bCs w:val="1"/>
                <w:color w:val="auto"/>
                <w:w w:val="94"/>
              </w:rPr>
              <w:t>of December 31,</w:t>
            </w:r>
          </w:p>
        </w:tc>
        <w:tc>
          <w:tcPr>
            <w:tcW w:w="144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94"/>
              </w:rPr>
              <w:t>Warrants on</w:t>
            </w:r>
          </w:p>
        </w:tc>
        <w:tc>
          <w:tcPr>
            <w:tcW w:w="1460" w:type="dxa"/>
            <w:vAlign w:val="bottom"/>
            <w:gridSpan w:val="2"/>
          </w:tcPr>
          <w:p>
            <w:pPr>
              <w:jc w:val="center"/>
              <w:ind w:right="80"/>
              <w:spacing w:after="0" w:line="183" w:lineRule="exact"/>
              <w:rPr>
                <w:sz w:val="20"/>
                <w:szCs w:val="20"/>
                <w:color w:val="auto"/>
              </w:rPr>
            </w:pPr>
            <w:r>
              <w:rPr>
                <w:rFonts w:ascii="Arial" w:cs="Arial" w:eastAsia="Arial" w:hAnsi="Arial"/>
                <w:sz w:val="17"/>
                <w:szCs w:val="17"/>
                <w:b w:val="1"/>
                <w:bCs w:val="1"/>
                <w:color w:val="auto"/>
                <w:w w:val="92"/>
              </w:rPr>
              <w:t>December 31,</w:t>
            </w:r>
          </w:p>
        </w:tc>
        <w:tc>
          <w:tcPr>
            <w:tcW w:w="146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89"/>
              </w:rPr>
              <w:t>Outstanding as of</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Issuance Date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2"/>
              </w:rPr>
              <w:t>December 31, 2022</w:t>
            </w:r>
          </w:p>
        </w:tc>
        <w:tc>
          <w:tcPr>
            <w:tcW w:w="0" w:type="dxa"/>
            <w:vAlign w:val="bottom"/>
          </w:tcPr>
          <w:p>
            <w:pPr>
              <w:spacing w:after="0"/>
              <w:rPr>
                <w:sz w:val="1"/>
                <w:szCs w:val="1"/>
                <w:color w:val="auto"/>
              </w:rPr>
            </w:pPr>
          </w:p>
        </w:tc>
      </w:tr>
      <w:tr>
        <w:trPr>
          <w:trHeight w:val="241"/>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Series 2020-A Warrants (1)</w:t>
            </w:r>
          </w:p>
        </w:tc>
        <w:tc>
          <w:tcPr>
            <w:tcW w:w="14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color w:val="auto"/>
                <w:w w:val="93"/>
              </w:rPr>
              <w:t>7/6/2020</w:t>
            </w:r>
          </w:p>
        </w:tc>
        <w:tc>
          <w:tcPr>
            <w:tcW w:w="8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7/6/2025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29,914,069</w:t>
            </w:r>
          </w:p>
        </w:tc>
        <w:tc>
          <w:tcPr>
            <w:tcW w:w="1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85,931</w:t>
            </w:r>
          </w:p>
        </w:tc>
        <w:tc>
          <w:tcPr>
            <w:tcW w:w="0" w:type="dxa"/>
            <w:vAlign w:val="bottom"/>
          </w:tcPr>
          <w:p>
            <w:pPr>
              <w:spacing w:after="0"/>
              <w:rPr>
                <w:sz w:val="1"/>
                <w:szCs w:val="1"/>
                <w:color w:val="auto"/>
              </w:rPr>
            </w:pPr>
          </w:p>
        </w:tc>
      </w:tr>
      <w:tr>
        <w:trPr>
          <w:trHeight w:val="242"/>
        </w:trPr>
        <w:tc>
          <w:tcPr>
            <w:tcW w:w="2460" w:type="dxa"/>
            <w:vAlign w:val="bottom"/>
          </w:tcPr>
          <w:p>
            <w:pPr>
              <w:ind w:left="20"/>
              <w:spacing w:after="0"/>
              <w:rPr>
                <w:sz w:val="20"/>
                <w:szCs w:val="20"/>
                <w:color w:val="auto"/>
              </w:rPr>
            </w:pPr>
            <w:r>
              <w:rPr>
                <w:rFonts w:ascii="Arial" w:cs="Arial" w:eastAsia="Arial" w:hAnsi="Arial"/>
                <w:sz w:val="17"/>
                <w:szCs w:val="17"/>
                <w:color w:val="auto"/>
              </w:rPr>
              <w:t>Series 2022-A Warrants (1)</w:t>
            </w:r>
          </w:p>
        </w:tc>
        <w:tc>
          <w:tcPr>
            <w:tcW w:w="1460" w:type="dxa"/>
            <w:vAlign w:val="bottom"/>
          </w:tcPr>
          <w:p>
            <w:pPr>
              <w:jc w:val="center"/>
              <w:ind w:left="33"/>
              <w:spacing w:after="0"/>
              <w:rPr>
                <w:sz w:val="20"/>
                <w:szCs w:val="20"/>
                <w:color w:val="auto"/>
              </w:rPr>
            </w:pPr>
            <w:r>
              <w:rPr>
                <w:rFonts w:ascii="Arial" w:cs="Arial" w:eastAsia="Arial" w:hAnsi="Arial"/>
                <w:sz w:val="17"/>
                <w:szCs w:val="17"/>
                <w:color w:val="auto"/>
                <w:w w:val="93"/>
              </w:rPr>
              <w:t>6/8/2022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6/7/2027</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33,333,336</w:t>
            </w:r>
          </w:p>
        </w:tc>
        <w:tc>
          <w:tcPr>
            <w:tcW w:w="1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33,333,336</w:t>
            </w:r>
          </w:p>
        </w:tc>
        <w:tc>
          <w:tcPr>
            <w:tcW w:w="0" w:type="dxa"/>
            <w:vAlign w:val="bottom"/>
          </w:tcPr>
          <w:p>
            <w:pPr>
              <w:spacing w:after="0"/>
              <w:rPr>
                <w:sz w:val="1"/>
                <w:szCs w:val="1"/>
                <w:color w:val="auto"/>
              </w:rPr>
            </w:pPr>
          </w:p>
        </w:tc>
      </w:tr>
      <w:tr>
        <w:trPr>
          <w:trHeight w:val="273"/>
        </w:trPr>
        <w:tc>
          <w:tcPr>
            <w:tcW w:w="24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Warrants</w:t>
            </w:r>
          </w:p>
        </w:tc>
        <w:tc>
          <w:tcPr>
            <w:tcW w:w="146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CCEEFF"/>
              <w:bottom w:val="single" w:sz="8" w:color="CCEEFF"/>
            </w:tcBorders>
            <w:shd w:val="clear" w:color="auto" w:fill="CCEEFF"/>
          </w:tcPr>
          <w:p>
            <w:pPr>
              <w:spacing w:after="0"/>
              <w:rPr>
                <w:sz w:val="23"/>
                <w:szCs w:val="23"/>
                <w:color w:val="auto"/>
              </w:rPr>
            </w:pPr>
          </w:p>
        </w:tc>
        <w:tc>
          <w:tcPr>
            <w:tcW w:w="10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63,333,336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29,914,069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33,419,267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(1) Equity-classified warrants.</w:t>
            </w: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460" w:type="dxa"/>
            <w:vAlign w:val="bottom"/>
            <w:vMerge w:val="continue"/>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During the year ended December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common stock was issued as a result of the exercise of warrants as shown below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Common Stock Issued</w:t>
            </w:r>
          </w:p>
        </w:tc>
        <w:tc>
          <w:tcPr>
            <w:tcW w:w="380" w:type="dxa"/>
            <w:vAlign w:val="bottom"/>
          </w:tcPr>
          <w:p>
            <w:pPr>
              <w:spacing w:after="0"/>
              <w:rPr>
                <w:sz w:val="20"/>
                <w:szCs w:val="20"/>
                <w:color w:val="auto"/>
              </w:rPr>
            </w:pPr>
          </w:p>
        </w:tc>
        <w:tc>
          <w:tcPr>
            <w:tcW w:w="1580" w:type="dxa"/>
            <w:vAlign w:val="bottom"/>
          </w:tcPr>
          <w:p>
            <w:pPr>
              <w:jc w:val="right"/>
              <w:ind w:right="553"/>
              <w:spacing w:after="0"/>
              <w:rPr>
                <w:sz w:val="20"/>
                <w:szCs w:val="20"/>
                <w:color w:val="auto"/>
              </w:rPr>
            </w:pPr>
            <w:r>
              <w:rPr>
                <w:rFonts w:ascii="Arial" w:cs="Arial" w:eastAsia="Arial" w:hAnsi="Arial"/>
                <w:sz w:val="17"/>
                <w:szCs w:val="17"/>
                <w:b w:val="1"/>
                <w:bCs w:val="1"/>
                <w:color w:val="auto"/>
              </w:rPr>
              <w:t>Proceeds</w:t>
            </w:r>
          </w:p>
        </w:tc>
      </w:tr>
      <w:tr>
        <w:trPr>
          <w:trHeight w:val="273"/>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2020-A Warrants</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Segments</w:t>
      </w:r>
    </w:p>
    <w:p>
      <w:pPr>
        <w:spacing w:after="0" w:line="255" w:lineRule="exact"/>
        <w:rPr>
          <w:sz w:val="20"/>
          <w:szCs w:val="20"/>
          <w:color w:val="auto"/>
        </w:rPr>
      </w:pPr>
    </w:p>
    <w:p>
      <w:pPr>
        <w:ind w:right="220" w:firstLine="470"/>
        <w:spacing w:after="0" w:line="263" w:lineRule="auto"/>
        <w:rPr>
          <w:sz w:val="20"/>
          <w:szCs w:val="20"/>
          <w:color w:val="auto"/>
        </w:rPr>
      </w:pPr>
      <w:r>
        <w:rPr>
          <w:rFonts w:ascii="Arial" w:cs="Arial" w:eastAsia="Arial" w:hAnsi="Arial"/>
          <w:sz w:val="17"/>
          <w:szCs w:val="17"/>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purposes of making operating decisions, allocating resources, and evaluating financial performance. As such, management has determined that the Company has organized its operations and activities into three reportable segments: (i) Gevo segment; (ii) Agri-Energy segment; (iii) Renewable Natural Gas segment. Transactions between segments are eliminated in consolidation.</w:t>
      </w:r>
    </w:p>
    <w:p>
      <w:pPr>
        <w:spacing w:after="0" w:line="205" w:lineRule="exact"/>
        <w:rPr>
          <w:sz w:val="20"/>
          <w:szCs w:val="20"/>
          <w:color w:val="auto"/>
        </w:rPr>
      </w:pPr>
    </w:p>
    <w:p>
      <w:pPr>
        <w:ind w:right="280" w:firstLine="470"/>
        <w:spacing w:after="0" w:line="288" w:lineRule="auto"/>
        <w:rPr>
          <w:sz w:val="20"/>
          <w:szCs w:val="20"/>
          <w:color w:val="auto"/>
        </w:rPr>
      </w:pPr>
      <w:r>
        <w:rPr>
          <w:rFonts w:ascii="Arial" w:cs="Arial" w:eastAsia="Arial" w:hAnsi="Arial"/>
          <w:sz w:val="16"/>
          <w:szCs w:val="16"/>
          <w:i w:val="1"/>
          <w:iCs w:val="1"/>
          <w:color w:val="auto"/>
        </w:rPr>
        <w:t>Gevo segment</w:t>
      </w:r>
      <w:r>
        <w:rPr>
          <w:rFonts w:ascii="Arial" w:cs="Arial" w:eastAsia="Arial" w:hAnsi="Arial"/>
          <w:sz w:val="16"/>
          <w:szCs w:val="16"/>
          <w:color w:val="auto"/>
        </w:rPr>
        <w:t>. The Gevo segment is responsible for all research and development activities related to the future production of SAF,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w:t>
      </w:r>
    </w:p>
    <w:p>
      <w:pPr>
        <w:spacing w:after="0" w:line="188"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i w:val="1"/>
          <w:iCs w:val="1"/>
          <w:color w:val="auto"/>
        </w:rPr>
        <w:t>Agri-Energy segment</w:t>
      </w:r>
      <w:r>
        <w:rPr>
          <w:rFonts w:ascii="Arial" w:cs="Arial" w:eastAsia="Arial" w:hAnsi="Arial"/>
          <w:sz w:val="17"/>
          <w:szCs w:val="17"/>
          <w:color w:val="auto"/>
        </w:rPr>
        <w:t>. The Agri-Energy segment is currently responsible for the operation of the Company’s Luverne Facility, and the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optimization of the production of isobutanol, ethanol and related products.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Renewable Natural Gas segment</w:t>
      </w:r>
      <w:r>
        <w:rPr>
          <w:rFonts w:ascii="Arial" w:cs="Arial" w:eastAsia="Arial" w:hAnsi="Arial"/>
          <w:sz w:val="16"/>
          <w:szCs w:val="16"/>
          <w:color w:val="auto"/>
        </w:rPr>
        <w:t>. The Renewable Natural Gas segment produces-pipeline quality methane gas captured from dairy cow manure.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 2022</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Renewable Natural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7"/>
                <w:szCs w:val="17"/>
                <w:b w:val="1"/>
                <w:bCs w:val="1"/>
                <w:color w:val="auto"/>
              </w:rPr>
              <w:t>Gevo</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Agri-Energy</w:t>
            </w: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7"/>
                <w:szCs w:val="17"/>
                <w:b w:val="1"/>
                <w:bCs w:val="1"/>
                <w:color w:val="auto"/>
              </w:rPr>
              <w:t>Gas</w:t>
            </w:r>
          </w:p>
        </w:tc>
        <w:tc>
          <w:tcPr>
            <w:tcW w:w="180" w:type="dxa"/>
            <w:vAlign w:val="bottom"/>
          </w:tcPr>
          <w:p>
            <w:pPr>
              <w:spacing w:after="0"/>
              <w:rPr>
                <w:sz w:val="20"/>
                <w:szCs w:val="20"/>
                <w:color w:val="auto"/>
              </w:rPr>
            </w:pPr>
          </w:p>
        </w:tc>
        <w:tc>
          <w:tcPr>
            <w:tcW w:w="1300" w:type="dxa"/>
            <w:vAlign w:val="bottom"/>
          </w:tcPr>
          <w:p>
            <w:pPr>
              <w:jc w:val="right"/>
              <w:ind w:right="153"/>
              <w:spacing w:after="0"/>
              <w:rPr>
                <w:sz w:val="20"/>
                <w:szCs w:val="20"/>
                <w:color w:val="auto"/>
              </w:rPr>
            </w:pPr>
            <w:r>
              <w:rPr>
                <w:rFonts w:ascii="Arial" w:cs="Arial" w:eastAsia="Arial" w:hAnsi="Arial"/>
                <w:sz w:val="17"/>
                <w:szCs w:val="17"/>
                <w:b w:val="1"/>
                <w:bCs w:val="1"/>
                <w:color w:val="auto"/>
                <w:w w:val="96"/>
              </w:rPr>
              <w:t>Consolidated</w:t>
            </w:r>
          </w:p>
        </w:tc>
      </w:tr>
      <w:tr>
        <w:trPr>
          <w:trHeight w:val="24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r>
      <w:tr>
        <w:trPr>
          <w:trHeight w:val="242"/>
        </w:trPr>
        <w:tc>
          <w:tcPr>
            <w:tcW w:w="50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(58,427)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(40,171)</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(4,088)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(102,686)</w:t>
            </w:r>
          </w:p>
        </w:tc>
      </w:tr>
      <w:tr>
        <w:trPr>
          <w:trHeight w:val="255"/>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licenses, patents, plant, property and equipment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78,864</w:t>
            </w: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 2021</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Renewable Natural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50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Gevo</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Gas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96"/>
              </w:rPr>
              <w:t>Consolidated</w:t>
            </w:r>
          </w:p>
        </w:tc>
      </w:tr>
      <w:tr>
        <w:trPr>
          <w:trHeight w:val="248"/>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42"/>
        </w:trPr>
        <w:tc>
          <w:tcPr>
            <w:tcW w:w="50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(42,332)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(16,783)</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(1,153)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(60,268)</w:t>
            </w:r>
          </w:p>
        </w:tc>
      </w:tr>
      <w:tr>
        <w:trPr>
          <w:trHeight w:val="255"/>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licenses, patents, plant, property and equipment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94,781</w:t>
            </w: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rPr>
              <w:t>December 31, 2022</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Gevo</w:t>
            </w:r>
          </w:p>
        </w:tc>
        <w:tc>
          <w:tcPr>
            <w:tcW w:w="180" w:type="dxa"/>
            <w:vAlign w:val="bottom"/>
          </w:tcPr>
          <w:p>
            <w:pPr>
              <w:spacing w:after="0"/>
              <w:rPr>
                <w:sz w:val="18"/>
                <w:szCs w:val="18"/>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Agri-Energy</w:t>
            </w: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Renewable Natural</w:t>
            </w:r>
          </w:p>
        </w:tc>
        <w:tc>
          <w:tcPr>
            <w:tcW w:w="180" w:type="dxa"/>
            <w:vAlign w:val="bottom"/>
          </w:tcPr>
          <w:p>
            <w:pPr>
              <w:spacing w:after="0"/>
              <w:rPr>
                <w:sz w:val="18"/>
                <w:szCs w:val="18"/>
                <w:color w:val="auto"/>
              </w:rPr>
            </w:pPr>
          </w:p>
        </w:tc>
        <w:tc>
          <w:tcPr>
            <w:tcW w:w="130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w w:val="96"/>
              </w:rPr>
              <w:t>Consolidated</w:t>
            </w: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7"/>
                <w:szCs w:val="17"/>
                <w:b w:val="1"/>
                <w:bCs w:val="1"/>
                <w:color w:val="auto"/>
                <w:w w:val="86"/>
              </w:rPr>
              <w:t>Gas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573,057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34,440</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93,251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700,748</w:t>
            </w:r>
          </w:p>
        </w:tc>
        <w:tc>
          <w:tcPr>
            <w:tcW w:w="0" w:type="dxa"/>
            <w:vAlign w:val="bottom"/>
          </w:tcPr>
          <w:p>
            <w:pPr>
              <w:spacing w:after="0"/>
              <w:rPr>
                <w:sz w:val="1"/>
                <w:szCs w:val="1"/>
                <w:color w:val="auto"/>
              </w:rPr>
            </w:pPr>
          </w:p>
        </w:tc>
      </w:tr>
      <w:tr>
        <w:trPr>
          <w:trHeight w:val="594"/>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rPr>
              <w:t>December 31, 2021</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Renewable Natural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7"/>
                <w:szCs w:val="17"/>
                <w:b w:val="1"/>
                <w:bCs w:val="1"/>
                <w:color w:val="auto"/>
              </w:rPr>
              <w:t>Gevo</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Agri-Energy</w:t>
            </w:r>
          </w:p>
        </w:tc>
        <w:tc>
          <w:tcPr>
            <w:tcW w:w="900" w:type="dxa"/>
            <w:vAlign w:val="bottom"/>
          </w:tcPr>
          <w:p>
            <w:pPr>
              <w:ind w:left="600"/>
              <w:spacing w:after="0"/>
              <w:rPr>
                <w:sz w:val="20"/>
                <w:szCs w:val="20"/>
                <w:color w:val="auto"/>
              </w:rPr>
            </w:pPr>
            <w:r>
              <w:rPr>
                <w:rFonts w:ascii="Arial" w:cs="Arial" w:eastAsia="Arial" w:hAnsi="Arial"/>
                <w:sz w:val="17"/>
                <w:szCs w:val="17"/>
                <w:b w:val="1"/>
                <w:bCs w:val="1"/>
                <w:color w:val="auto"/>
                <w:w w:val="86"/>
              </w:rPr>
              <w:t>Gas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3"/>
              <w:spacing w:after="0"/>
              <w:rPr>
                <w:sz w:val="20"/>
                <w:szCs w:val="20"/>
                <w:color w:val="auto"/>
              </w:rPr>
            </w:pPr>
            <w:r>
              <w:rPr>
                <w:rFonts w:ascii="Arial" w:cs="Arial" w:eastAsia="Arial" w:hAnsi="Arial"/>
                <w:sz w:val="17"/>
                <w:szCs w:val="17"/>
                <w:b w:val="1"/>
                <w:bCs w:val="1"/>
                <w:color w:val="auto"/>
                <w:w w:val="96"/>
              </w:rPr>
              <w:t>Consolidated</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484,528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64,008</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96,845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645,381</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Subsequent Events</w:t>
      </w:r>
    </w:p>
    <w:p>
      <w:pPr>
        <w:spacing w:after="0" w:line="255" w:lineRule="exact"/>
        <w:rPr>
          <w:sz w:val="20"/>
          <w:szCs w:val="20"/>
          <w:color w:val="auto"/>
        </w:rPr>
      </w:pPr>
    </w:p>
    <w:p>
      <w:pPr>
        <w:jc w:val="both"/>
        <w:ind w:right="120" w:firstLine="470"/>
        <w:spacing w:after="0" w:line="267" w:lineRule="auto"/>
        <w:rPr>
          <w:sz w:val="20"/>
          <w:szCs w:val="20"/>
          <w:color w:val="auto"/>
        </w:rPr>
      </w:pPr>
      <w:r>
        <w:rPr>
          <w:rFonts w:ascii="Arial" w:cs="Arial" w:eastAsia="Arial" w:hAnsi="Arial"/>
          <w:sz w:val="17"/>
          <w:szCs w:val="17"/>
          <w:color w:val="auto"/>
        </w:rPr>
        <w:t>On February 14, 2023, the Company entered into a Hydrogen Development Services Agreement with Zero6, to develop and construct a hydrogen gas production facility for the provision of electric energy for NZ1. Pursuant to the agreement in 2023, the Company made an initial payment of $10.7 million to procure the required equipment, with the payment being either reimbursed upon completion of the project or used as an investment into the power generation facility. Gevo has contractual priority liens against the equipment and constructed facilities under the contract.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5" w:lineRule="exact"/>
        <w:rPr>
          <w:sz w:val="20"/>
          <w:szCs w:val="20"/>
          <w:color w:val="auto"/>
        </w:rPr>
      </w:pPr>
    </w:p>
    <w:p>
      <w:pPr>
        <w:ind w:right="60" w:firstLine="470"/>
        <w:spacing w:after="0" w:line="280"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Chief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6"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color w:val="auto"/>
        </w:rPr>
        <w:t>Based on their evaluation, our Chief Executive Officer and our Chief Financial Officer concluded that our disclosure controls and procedures were effective as of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55"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to permit preparation of financial statements in accordance with generally accepted accounting principles, and that receipts and expenditures of the Company are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97" w:lineRule="exact"/>
        <w:rPr>
          <w:sz w:val="20"/>
          <w:szCs w:val="20"/>
          <w:color w:val="auto"/>
        </w:rPr>
      </w:pPr>
    </w:p>
    <w:p>
      <w:pPr>
        <w:jc w:val="both"/>
        <w:ind w:right="300" w:firstLine="470"/>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our Chief Financial Officer, we conducted an evaluation of the effectiveness of our internal control over financial reporting based on the framework set forth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framework) issued by the Committee of Sponsoring Organizations of the Treadway Commission. Based upon the results of the evaluation,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our internal control over financial reporting was effective as of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5"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PART III</w:t>
      </w:r>
    </w:p>
    <w:p>
      <w:pPr>
        <w:spacing w:after="0" w:line="23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for the 2023 annual meeting of stockholders to be filed with the SEC within 120 days after our fiscal year ended December 31, 2022.</w:t>
      </w:r>
    </w:p>
    <w:p>
      <w:pPr>
        <w:spacing w:after="0" w:line="184" w:lineRule="exact"/>
        <w:rPr>
          <w:sz w:val="20"/>
          <w:szCs w:val="20"/>
          <w:color w:val="auto"/>
        </w:rPr>
      </w:pPr>
    </w:p>
    <w:p>
      <w:pPr>
        <w:ind w:firstLine="470"/>
        <w:spacing w:after="0" w:line="313" w:lineRule="auto"/>
        <w:rPr>
          <w:sz w:val="20"/>
          <w:szCs w:val="20"/>
          <w:color w:val="auto"/>
        </w:rPr>
      </w:pPr>
      <w:r>
        <w:rPr>
          <w:rFonts w:ascii="Arial" w:cs="Arial" w:eastAsia="Arial" w:hAnsi="Arial"/>
          <w:sz w:val="15"/>
          <w:szCs w:val="15"/>
          <w:color w:val="auto"/>
        </w:rPr>
        <w:t>We have a written code of business conduct and ethics in place that applies to all of our directors, officers and employees, including our principal executive officer, principal financial officer, and principal accounting officer. A copy of our code of ethics is available on our website: https://investors.gevo.com/corporate/corporate-governance/. We are required to disclose certain changes to, or waivers from, that code for our senior financial officers. We intend to use our website as a method of disseminating any change to, or waiver from, our code of ethics as permitted by applicable SEC rules.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for the 2023 annual meeting of stockholders to be filed with the SEC within 120 days after our fiscal year ended December 31, 2022.</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for the 2023 annual meeting of stockholders to be filed with the SEC within 120 days after our fiscal year ended December 31, 2022.</w:t>
      </w:r>
    </w:p>
    <w:p>
      <w:pPr>
        <w:spacing w:after="0" w:line="17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for the 2023 annual meeting of stockholders to be filed with the SEC within 120 days after our fiscal year ended December 31, 2022.</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for the 2023 annual meeting of stockholders to be filed with the SEC within 120 days after our fiscal year ended December 31, 2022.</w:t>
      </w: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00"/>
          </w:cols>
          <w:pgMar w:left="320" w:top="127" w:right="5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5080" w:type="dxa"/>
            <w:vAlign w:val="bottom"/>
            <w:gridSpan w:val="10"/>
          </w:tcPr>
          <w:p>
            <w:pPr>
              <w:spacing w:after="0"/>
              <w:rPr>
                <w:sz w:val="20"/>
                <w:szCs w:val="20"/>
                <w:color w:val="auto"/>
              </w:rPr>
            </w:pPr>
            <w:r>
              <w:rPr>
                <w:rFonts w:ascii="Arial" w:cs="Arial" w:eastAsia="Arial" w:hAnsi="Arial"/>
                <w:sz w:val="17"/>
                <w:szCs w:val="17"/>
                <w:color w:val="0000FF"/>
              </w:rPr>
              <w:t>Table of Contents</w:t>
            </w:r>
          </w:p>
        </w:tc>
        <w:tc>
          <w:tcPr>
            <w:tcW w:w="29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803"/>
        </w:trPr>
        <w:tc>
          <w:tcPr>
            <w:tcW w:w="2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40" w:type="dxa"/>
            <w:vAlign w:val="bottom"/>
            <w:gridSpan w:val="4"/>
          </w:tcPr>
          <w:p>
            <w:pPr>
              <w:jc w:val="right"/>
              <w:ind w:right="5240"/>
              <w:spacing w:after="0"/>
              <w:rPr>
                <w:sz w:val="20"/>
                <w:szCs w:val="20"/>
                <w:color w:val="auto"/>
              </w:rPr>
            </w:pPr>
            <w:r>
              <w:rPr>
                <w:rFonts w:ascii="Arial" w:cs="Arial" w:eastAsia="Arial" w:hAnsi="Arial"/>
                <w:sz w:val="17"/>
                <w:szCs w:val="17"/>
                <w:b w:val="1"/>
                <w:bCs w:val="1"/>
                <w:color w:val="auto"/>
              </w:rPr>
              <w:t>PART IV</w:t>
            </w:r>
          </w:p>
        </w:tc>
      </w:tr>
      <w:tr>
        <w:trPr>
          <w:trHeight w:val="379"/>
        </w:trPr>
        <w:tc>
          <w:tcPr>
            <w:tcW w:w="5080" w:type="dxa"/>
            <w:vAlign w:val="bottom"/>
            <w:gridSpan w:val="10"/>
          </w:tcPr>
          <w:p>
            <w:pPr>
              <w:spacing w:after="0"/>
              <w:rPr>
                <w:sz w:val="20"/>
                <w:szCs w:val="20"/>
                <w:color w:val="auto"/>
              </w:rPr>
            </w:pPr>
            <w:r>
              <w:rPr>
                <w:rFonts w:ascii="Arial" w:cs="Arial" w:eastAsia="Arial" w:hAnsi="Arial"/>
                <w:sz w:val="17"/>
                <w:szCs w:val="17"/>
                <w:b w:val="1"/>
                <w:bCs w:val="1"/>
                <w:color w:val="auto"/>
              </w:rPr>
              <w:t>Item 15.  Exhibits, Financial Statement Schedules</w:t>
            </w:r>
          </w:p>
        </w:tc>
        <w:tc>
          <w:tcPr>
            <w:tcW w:w="2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5080" w:type="dxa"/>
            <w:vAlign w:val="bottom"/>
            <w:gridSpan w:val="10"/>
          </w:tcPr>
          <w:p>
            <w:pPr>
              <w:spacing w:after="0"/>
              <w:rPr>
                <w:sz w:val="20"/>
                <w:szCs w:val="20"/>
                <w:color w:val="auto"/>
              </w:rPr>
            </w:pPr>
            <w:r>
              <w:rPr>
                <w:rFonts w:ascii="Arial" w:cs="Arial" w:eastAsia="Arial" w:hAnsi="Arial"/>
                <w:sz w:val="17"/>
                <w:szCs w:val="17"/>
                <w:b w:val="1"/>
                <w:bCs w:val="1"/>
                <w:i w:val="1"/>
                <w:iCs w:val="1"/>
                <w:color w:val="auto"/>
              </w:rPr>
              <w:t>(a)(1) Financial Statements</w:t>
            </w:r>
          </w:p>
        </w:tc>
        <w:tc>
          <w:tcPr>
            <w:tcW w:w="2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9"/>
        </w:trPr>
        <w:tc>
          <w:tcPr>
            <w:tcW w:w="20" w:type="dxa"/>
            <w:vAlign w:val="bottom"/>
          </w:tcPr>
          <w:p>
            <w:pPr>
              <w:spacing w:after="0"/>
              <w:rPr>
                <w:sz w:val="24"/>
                <w:szCs w:val="24"/>
                <w:color w:val="auto"/>
              </w:rPr>
            </w:pPr>
          </w:p>
        </w:tc>
        <w:tc>
          <w:tcPr>
            <w:tcW w:w="5060" w:type="dxa"/>
            <w:vAlign w:val="bottom"/>
            <w:gridSpan w:val="9"/>
          </w:tcPr>
          <w:p>
            <w:pPr>
              <w:ind w:left="460"/>
              <w:spacing w:after="0"/>
              <w:rPr>
                <w:sz w:val="20"/>
                <w:szCs w:val="20"/>
                <w:color w:val="auto"/>
              </w:rPr>
            </w:pPr>
            <w:r>
              <w:rPr>
                <w:rFonts w:ascii="Arial" w:cs="Arial" w:eastAsia="Arial" w:hAnsi="Arial"/>
                <w:sz w:val="17"/>
                <w:szCs w:val="17"/>
                <w:color w:val="auto"/>
                <w:w w:val="97"/>
              </w:rPr>
              <w:t>The following Consolidated Financial Statements are included:</w:t>
            </w:r>
          </w:p>
        </w:tc>
        <w:tc>
          <w:tcPr>
            <w:tcW w:w="2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60" w:type="dxa"/>
            <w:vAlign w:val="bottom"/>
            <w:tcBorders>
              <w:bottom w:val="single" w:sz="8" w:color="auto"/>
            </w:tcBorders>
            <w:gridSpan w:val="3"/>
          </w:tcPr>
          <w:p>
            <w:pPr>
              <w:jc w:val="right"/>
              <w:ind w:right="1400"/>
              <w:spacing w:after="0"/>
              <w:rPr>
                <w:sz w:val="20"/>
                <w:szCs w:val="20"/>
                <w:color w:val="auto"/>
              </w:rPr>
            </w:pPr>
            <w:r>
              <w:rPr>
                <w:rFonts w:ascii="Arial" w:cs="Arial" w:eastAsia="Arial" w:hAnsi="Arial"/>
                <w:sz w:val="17"/>
                <w:szCs w:val="17"/>
                <w:b w:val="1"/>
                <w:bCs w:val="1"/>
                <w:color w:val="auto"/>
              </w:rPr>
              <w:t>Page</w:t>
            </w:r>
          </w:p>
        </w:tc>
      </w:tr>
      <w:tr>
        <w:trPr>
          <w:trHeight w:val="196"/>
        </w:trPr>
        <w:tc>
          <w:tcPr>
            <w:tcW w:w="20" w:type="dxa"/>
            <w:vAlign w:val="bottom"/>
          </w:tcPr>
          <w:p>
            <w:pPr>
              <w:spacing w:after="0"/>
              <w:rPr>
                <w:sz w:val="17"/>
                <w:szCs w:val="17"/>
                <w:color w:val="auto"/>
              </w:rPr>
            </w:pPr>
          </w:p>
        </w:tc>
        <w:tc>
          <w:tcPr>
            <w:tcW w:w="4100" w:type="dxa"/>
            <w:vAlign w:val="bottom"/>
            <w:tcBorders>
              <w:bottom w:val="single" w:sz="8" w:color="3051F2"/>
            </w:tcBorders>
            <w:gridSpan w:val="8"/>
          </w:tcPr>
          <w:p>
            <w:pPr>
              <w:spacing w:after="0"/>
              <w:rPr>
                <w:sz w:val="20"/>
                <w:szCs w:val="20"/>
                <w:color w:val="auto"/>
              </w:rPr>
            </w:pPr>
            <w:r>
              <w:rPr>
                <w:rFonts w:ascii="Arial" w:cs="Arial" w:eastAsia="Arial" w:hAnsi="Arial"/>
                <w:sz w:val="17"/>
                <w:szCs w:val="17"/>
                <w:color w:val="3051F2"/>
                <w:w w:val="93"/>
              </w:rPr>
              <w:t>Report of Independent Registered Public Accounting Firm</w:t>
            </w:r>
          </w:p>
        </w:tc>
        <w:tc>
          <w:tcPr>
            <w:tcW w:w="960" w:type="dxa"/>
            <w:vAlign w:val="bottom"/>
          </w:tcPr>
          <w:p>
            <w:pPr>
              <w:spacing w:after="0"/>
              <w:rPr>
                <w:sz w:val="17"/>
                <w:szCs w:val="17"/>
                <w:color w:val="auto"/>
              </w:rPr>
            </w:pPr>
          </w:p>
        </w:tc>
        <w:tc>
          <w:tcPr>
            <w:tcW w:w="5940" w:type="dxa"/>
            <w:vAlign w:val="bottom"/>
            <w:gridSpan w:val="2"/>
          </w:tcPr>
          <w:p>
            <w:pPr>
              <w:spacing w:after="0"/>
              <w:rPr>
                <w:sz w:val="17"/>
                <w:szCs w:val="17"/>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7"/>
                <w:szCs w:val="17"/>
                <w:color w:val="3051F2"/>
                <w:w w:val="84"/>
              </w:rPr>
              <w:t>48</w:t>
            </w: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Arial" w:cs="Arial" w:eastAsia="Arial" w:hAnsi="Arial"/>
                <w:sz w:val="17"/>
                <w:szCs w:val="17"/>
                <w:color w:val="3051F2"/>
              </w:rPr>
              <w:t>Consolidated Balance Sheets</w:t>
            </w:r>
          </w:p>
        </w:tc>
        <w:tc>
          <w:tcPr>
            <w:tcW w:w="6140" w:type="dxa"/>
            <w:vAlign w:val="bottom"/>
            <w:gridSpan w:val="4"/>
          </w:tcPr>
          <w:p>
            <w:pPr>
              <w:jc w:val="right"/>
              <w:ind w:right="20"/>
              <w:spacing w:after="0"/>
              <w:rPr>
                <w:sz w:val="20"/>
                <w:szCs w:val="20"/>
                <w:color w:val="auto"/>
              </w:rPr>
            </w:pPr>
            <w:r>
              <w:rPr>
                <w:rFonts w:ascii="Arial" w:cs="Arial" w:eastAsia="Arial" w:hAnsi="Arial"/>
                <w:sz w:val="17"/>
                <w:szCs w:val="17"/>
                <w:color w:val="3051F2"/>
              </w:rPr>
              <w:t>49</w:t>
            </w:r>
          </w:p>
        </w:tc>
      </w:tr>
      <w:tr>
        <w:trPr>
          <w:trHeight w:val="20"/>
        </w:trPr>
        <w:tc>
          <w:tcPr>
            <w:tcW w:w="20" w:type="dxa"/>
            <w:vAlign w:val="bottom"/>
          </w:tcPr>
          <w:p>
            <w:pPr>
              <w:spacing w:after="0" w:line="20" w:lineRule="exact"/>
              <w:rPr>
                <w:sz w:val="1"/>
                <w:szCs w:val="1"/>
                <w:color w:val="auto"/>
              </w:rPr>
            </w:pPr>
          </w:p>
        </w:tc>
        <w:tc>
          <w:tcPr>
            <w:tcW w:w="2020" w:type="dxa"/>
            <w:vAlign w:val="bottom"/>
            <w:gridSpan w:val="2"/>
            <w:shd w:val="clear" w:color="auto" w:fill="3051F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Arial" w:cs="Arial" w:eastAsia="Arial" w:hAnsi="Arial"/>
                <w:sz w:val="17"/>
                <w:szCs w:val="17"/>
                <w:color w:val="3051F2"/>
              </w:rPr>
              <w:t>Consolidated Statements of Operations</w:t>
            </w:r>
          </w:p>
        </w:tc>
        <w:tc>
          <w:tcPr>
            <w:tcW w:w="6140" w:type="dxa"/>
            <w:vAlign w:val="bottom"/>
            <w:gridSpan w:val="4"/>
          </w:tcPr>
          <w:p>
            <w:pPr>
              <w:jc w:val="right"/>
              <w:ind w:right="20"/>
              <w:spacing w:after="0"/>
              <w:rPr>
                <w:sz w:val="20"/>
                <w:szCs w:val="20"/>
                <w:color w:val="auto"/>
              </w:rPr>
            </w:pPr>
            <w:r>
              <w:rPr>
                <w:rFonts w:ascii="Arial" w:cs="Arial" w:eastAsia="Arial" w:hAnsi="Arial"/>
                <w:sz w:val="17"/>
                <w:szCs w:val="17"/>
                <w:color w:val="3051F2"/>
              </w:rPr>
              <w:t>50</w:t>
            </w:r>
          </w:p>
        </w:tc>
      </w:tr>
      <w:tr>
        <w:trPr>
          <w:trHeight w:val="20"/>
        </w:trPr>
        <w:tc>
          <w:tcPr>
            <w:tcW w:w="20" w:type="dxa"/>
            <w:vAlign w:val="bottom"/>
          </w:tcPr>
          <w:p>
            <w:pPr>
              <w:spacing w:after="0" w:line="20" w:lineRule="exact"/>
              <w:rPr>
                <w:sz w:val="1"/>
                <w:szCs w:val="1"/>
                <w:color w:val="auto"/>
              </w:rPr>
            </w:pPr>
          </w:p>
        </w:tc>
        <w:tc>
          <w:tcPr>
            <w:tcW w:w="2720" w:type="dxa"/>
            <w:vAlign w:val="bottom"/>
            <w:gridSpan w:val="3"/>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Arial" w:cs="Arial" w:eastAsia="Arial" w:hAnsi="Arial"/>
                <w:sz w:val="17"/>
                <w:szCs w:val="17"/>
                <w:color w:val="3051F2"/>
              </w:rPr>
              <w:t>Consolidated Statements of Comprehensive Income (Loss)</w:t>
            </w:r>
          </w:p>
        </w:tc>
        <w:tc>
          <w:tcPr>
            <w:tcW w:w="6140" w:type="dxa"/>
            <w:vAlign w:val="bottom"/>
            <w:gridSpan w:val="4"/>
          </w:tcPr>
          <w:p>
            <w:pPr>
              <w:jc w:val="right"/>
              <w:ind w:right="20"/>
              <w:spacing w:after="0"/>
              <w:rPr>
                <w:sz w:val="20"/>
                <w:szCs w:val="20"/>
                <w:color w:val="auto"/>
              </w:rPr>
            </w:pPr>
            <w:r>
              <w:rPr>
                <w:rFonts w:ascii="Arial" w:cs="Arial" w:eastAsia="Arial" w:hAnsi="Arial"/>
                <w:sz w:val="17"/>
                <w:szCs w:val="17"/>
                <w:color w:val="3051F2"/>
              </w:rPr>
              <w:t>51</w:t>
            </w:r>
          </w:p>
        </w:tc>
      </w:tr>
      <w:tr>
        <w:trPr>
          <w:trHeight w:val="228"/>
        </w:trPr>
        <w:tc>
          <w:tcPr>
            <w:tcW w:w="20" w:type="dxa"/>
            <w:vAlign w:val="bottom"/>
          </w:tcPr>
          <w:p>
            <w:pPr>
              <w:spacing w:after="0"/>
              <w:rPr>
                <w:sz w:val="19"/>
                <w:szCs w:val="19"/>
                <w:color w:val="auto"/>
              </w:rPr>
            </w:pPr>
          </w:p>
        </w:tc>
        <w:tc>
          <w:tcPr>
            <w:tcW w:w="3440" w:type="dxa"/>
            <w:vAlign w:val="bottom"/>
            <w:tcBorders>
              <w:top w:val="single" w:sz="8" w:color="3051F2"/>
              <w:bottom w:val="single" w:sz="8" w:color="3051F2"/>
            </w:tcBorders>
            <w:gridSpan w:val="6"/>
          </w:tcPr>
          <w:p>
            <w:pPr>
              <w:spacing w:after="0"/>
              <w:rPr>
                <w:sz w:val="20"/>
                <w:szCs w:val="20"/>
                <w:color w:val="auto"/>
              </w:rPr>
            </w:pPr>
            <w:r>
              <w:rPr>
                <w:rFonts w:ascii="Arial" w:cs="Arial" w:eastAsia="Arial" w:hAnsi="Arial"/>
                <w:sz w:val="17"/>
                <w:szCs w:val="17"/>
                <w:color w:val="3051F2"/>
                <w:w w:val="93"/>
              </w:rPr>
              <w:t>Consolidated Statements of Stockholders’ Equity</w:t>
            </w:r>
          </w:p>
        </w:tc>
        <w:tc>
          <w:tcPr>
            <w:tcW w:w="660" w:type="dxa"/>
            <w:vAlign w:val="bottom"/>
            <w:tcBorders>
              <w:top w:val="single" w:sz="8" w:color="3051F2"/>
            </w:tcBorders>
            <w:gridSpan w:val="2"/>
          </w:tcPr>
          <w:p>
            <w:pPr>
              <w:spacing w:after="0"/>
              <w:rPr>
                <w:sz w:val="19"/>
                <w:szCs w:val="19"/>
                <w:color w:val="auto"/>
              </w:rPr>
            </w:pPr>
          </w:p>
        </w:tc>
        <w:tc>
          <w:tcPr>
            <w:tcW w:w="960" w:type="dxa"/>
            <w:vAlign w:val="bottom"/>
          </w:tcPr>
          <w:p>
            <w:pPr>
              <w:spacing w:after="0"/>
              <w:rPr>
                <w:sz w:val="19"/>
                <w:szCs w:val="19"/>
                <w:color w:val="auto"/>
              </w:rPr>
            </w:pPr>
          </w:p>
        </w:tc>
        <w:tc>
          <w:tcPr>
            <w:tcW w:w="5940" w:type="dxa"/>
            <w:vAlign w:val="bottom"/>
            <w:gridSpan w:val="2"/>
          </w:tcPr>
          <w:p>
            <w:pPr>
              <w:spacing w:after="0"/>
              <w:rPr>
                <w:sz w:val="19"/>
                <w:szCs w:val="19"/>
                <w:color w:val="auto"/>
              </w:rPr>
            </w:pPr>
          </w:p>
        </w:tc>
        <w:tc>
          <w:tcPr>
            <w:tcW w:w="180" w:type="dxa"/>
            <w:vAlign w:val="bottom"/>
            <w:tcBorders>
              <w:top w:val="single" w:sz="8" w:color="3051F2"/>
              <w:bottom w:val="single" w:sz="8" w:color="3051F2"/>
            </w:tcBorders>
          </w:tcPr>
          <w:p>
            <w:pPr>
              <w:jc w:val="right"/>
              <w:spacing w:after="0"/>
              <w:rPr>
                <w:sz w:val="20"/>
                <w:szCs w:val="20"/>
                <w:color w:val="auto"/>
              </w:rPr>
            </w:pPr>
            <w:r>
              <w:rPr>
                <w:rFonts w:ascii="Arial" w:cs="Arial" w:eastAsia="Arial" w:hAnsi="Arial"/>
                <w:sz w:val="17"/>
                <w:szCs w:val="17"/>
                <w:color w:val="3051F2"/>
                <w:w w:val="84"/>
              </w:rPr>
              <w:t>52</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780" w:type="dxa"/>
            <w:vAlign w:val="bottom"/>
            <w:tcBorders>
              <w:bottom w:val="single" w:sz="8" w:color="3051F2"/>
            </w:tcBorders>
            <w:gridSpan w:val="4"/>
          </w:tcPr>
          <w:p>
            <w:pPr>
              <w:spacing w:after="0"/>
              <w:rPr>
                <w:sz w:val="20"/>
                <w:szCs w:val="20"/>
                <w:color w:val="auto"/>
              </w:rPr>
            </w:pPr>
            <w:r>
              <w:rPr>
                <w:rFonts w:ascii="Arial" w:cs="Arial" w:eastAsia="Arial" w:hAnsi="Arial"/>
                <w:sz w:val="17"/>
                <w:szCs w:val="17"/>
                <w:color w:val="3051F2"/>
                <w:w w:val="91"/>
              </w:rPr>
              <w:t>Consolidated Statements of Cash Flows</w:t>
            </w:r>
          </w:p>
        </w:tc>
        <w:tc>
          <w:tcPr>
            <w:tcW w:w="2280" w:type="dxa"/>
            <w:vAlign w:val="bottom"/>
            <w:gridSpan w:val="5"/>
          </w:tcPr>
          <w:p>
            <w:pPr>
              <w:spacing w:after="0"/>
              <w:rPr>
                <w:sz w:val="19"/>
                <w:szCs w:val="19"/>
                <w:color w:val="auto"/>
              </w:rPr>
            </w:pPr>
          </w:p>
        </w:tc>
        <w:tc>
          <w:tcPr>
            <w:tcW w:w="5940" w:type="dxa"/>
            <w:vAlign w:val="bottom"/>
            <w:gridSpan w:val="2"/>
          </w:tcPr>
          <w:p>
            <w:pPr>
              <w:spacing w:after="0"/>
              <w:rPr>
                <w:sz w:val="19"/>
                <w:szCs w:val="19"/>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7"/>
                <w:szCs w:val="17"/>
                <w:color w:val="3051F2"/>
                <w:w w:val="84"/>
              </w:rPr>
              <w:t>53</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060" w:type="dxa"/>
            <w:vAlign w:val="bottom"/>
            <w:gridSpan w:val="9"/>
          </w:tcPr>
          <w:p>
            <w:pPr>
              <w:spacing w:after="0"/>
              <w:rPr>
                <w:sz w:val="20"/>
                <w:szCs w:val="20"/>
                <w:color w:val="auto"/>
              </w:rPr>
            </w:pPr>
            <w:r>
              <w:rPr>
                <w:rFonts w:ascii="Arial" w:cs="Arial" w:eastAsia="Arial" w:hAnsi="Arial"/>
                <w:sz w:val="17"/>
                <w:szCs w:val="17"/>
                <w:color w:val="3051F2"/>
              </w:rPr>
              <w:t>Notes to Consolidated Financial Statements</w:t>
            </w:r>
          </w:p>
        </w:tc>
        <w:tc>
          <w:tcPr>
            <w:tcW w:w="6140" w:type="dxa"/>
            <w:vAlign w:val="bottom"/>
            <w:gridSpan w:val="4"/>
          </w:tcPr>
          <w:p>
            <w:pPr>
              <w:jc w:val="right"/>
              <w:ind w:right="20"/>
              <w:spacing w:after="0"/>
              <w:rPr>
                <w:sz w:val="20"/>
                <w:szCs w:val="20"/>
                <w:color w:val="auto"/>
              </w:rPr>
            </w:pPr>
            <w:r>
              <w:rPr>
                <w:rFonts w:ascii="Arial" w:cs="Arial" w:eastAsia="Arial" w:hAnsi="Arial"/>
                <w:sz w:val="17"/>
                <w:szCs w:val="17"/>
                <w:color w:val="3051F2"/>
              </w:rPr>
              <w:t>55</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3051F2"/>
          </w:tcPr>
          <w:p>
            <w:pPr>
              <w:spacing w:after="0" w:line="20" w:lineRule="exact"/>
              <w:rPr>
                <w:sz w:val="1"/>
                <w:szCs w:val="1"/>
                <w:color w:val="auto"/>
              </w:rPr>
            </w:pPr>
          </w:p>
        </w:tc>
        <w:tc>
          <w:tcPr>
            <w:tcW w:w="800" w:type="dxa"/>
            <w:vAlign w:val="bottom"/>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(a)(2) Financial Statement Schedules</w:t>
      </w:r>
    </w:p>
    <w:p>
      <w:pPr>
        <w:spacing w:after="0" w:line="170"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color w:val="auto"/>
        </w:rPr>
        <w:t>All financial statement schedules have been omitted because they are not applicable or are not required, or because the information required to be set forth therein is included in the Consolidated Financial Statements or notes thereto.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0000FF"/>
                <w:w w:val="92"/>
              </w:rPr>
              <w:t>Table of Contents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03"/>
        </w:trPr>
        <w:tc>
          <w:tcPr>
            <w:tcW w:w="1240" w:type="dxa"/>
            <w:vAlign w:val="bottom"/>
            <w:tcBorders>
              <w:top w:val="single" w:sz="8" w:color="0000FF"/>
            </w:tcBorders>
          </w:tcPr>
          <w:p>
            <w:pPr>
              <w:ind w:left="140"/>
              <w:spacing w:after="0"/>
              <w:rPr>
                <w:sz w:val="20"/>
                <w:szCs w:val="20"/>
                <w:color w:val="auto"/>
              </w:rPr>
            </w:pPr>
            <w:r>
              <w:rPr>
                <w:rFonts w:ascii="Arial" w:cs="Arial" w:eastAsia="Arial" w:hAnsi="Arial"/>
                <w:sz w:val="17"/>
                <w:szCs w:val="17"/>
                <w:b w:val="1"/>
                <w:bCs w:val="1"/>
                <w:i w:val="1"/>
                <w:iCs w:val="1"/>
                <w:color w:val="auto"/>
                <w:w w:val="96"/>
              </w:rPr>
              <w:t>(a)(3)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5"/>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ind w:left="520"/>
              <w:spacing w:after="0"/>
              <w:rPr>
                <w:sz w:val="20"/>
                <w:szCs w:val="20"/>
                <w:color w:val="auto"/>
              </w:rPr>
            </w:pPr>
            <w:r>
              <w:rPr>
                <w:rFonts w:ascii="Arial" w:cs="Arial" w:eastAsia="Arial" w:hAnsi="Arial"/>
                <w:sz w:val="17"/>
                <w:szCs w:val="17"/>
                <w:b w:val="1"/>
                <w:bCs w:val="1"/>
                <w:color w:val="auto"/>
              </w:rPr>
              <w:t>Incorporated by Reference</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04"/>
        </w:trPr>
        <w:tc>
          <w:tcPr>
            <w:tcW w:w="13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Exhibit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5"/>
              </w:rPr>
              <w:t>Filed</w:t>
            </w:r>
          </w:p>
        </w:tc>
      </w:t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15"/>
          </w:tcPr>
          <w:p>
            <w:pPr>
              <w:ind w:left="260"/>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File No.</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Filing 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r>
      <w:tr>
        <w:trPr>
          <w:trHeight w:val="444"/>
        </w:trPr>
        <w:tc>
          <w:tcPr>
            <w:tcW w:w="124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3051F2"/>
            </w:tcBorders>
            <w:gridSpan w:val="10"/>
          </w:tcPr>
          <w:p>
            <w:pPr>
              <w:spacing w:after="0"/>
              <w:rPr>
                <w:rFonts w:ascii="Arial" w:cs="Arial" w:eastAsia="Arial" w:hAnsi="Arial"/>
                <w:sz w:val="17"/>
                <w:szCs w:val="17"/>
                <w:color w:val="3051F2"/>
                <w:w w:val="91"/>
              </w:rPr>
            </w:pPr>
            <w:hyperlink r:id="rId97">
              <w:r>
                <w:rPr>
                  <w:rFonts w:ascii="Arial" w:cs="Arial" w:eastAsia="Arial" w:hAnsi="Arial"/>
                  <w:sz w:val="17"/>
                  <w:szCs w:val="17"/>
                  <w:color w:val="3051F2"/>
                  <w:w w:val="91"/>
                </w:rPr>
                <w:t>Amended and Restated Certificate of</w:t>
              </w:r>
            </w:hyperlink>
          </w:p>
        </w:tc>
        <w:tc>
          <w:tcPr>
            <w:tcW w:w="1040" w:type="dxa"/>
            <w:vAlign w:val="bottom"/>
            <w:gridSpan w:val="12"/>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rPr>
              <w:t>10-K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24,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22"/>
          </w:tcPr>
          <w:p>
            <w:pPr>
              <w:spacing w:after="0" w:line="189" w:lineRule="exact"/>
              <w:rPr>
                <w:rFonts w:ascii="Arial" w:cs="Arial" w:eastAsia="Arial" w:hAnsi="Arial"/>
                <w:sz w:val="17"/>
                <w:szCs w:val="17"/>
                <w:color w:val="3051F2"/>
              </w:rPr>
            </w:pPr>
            <w:hyperlink r:id="rId97">
              <w:r>
                <w:rPr>
                  <w:rFonts w:ascii="Arial" w:cs="Arial" w:eastAsia="Arial" w:hAnsi="Arial"/>
                  <w:sz w:val="17"/>
                  <w:szCs w:val="17"/>
                  <w:color w:val="3051F2"/>
                </w:rPr>
                <w:t>Incorporation of Gevo, Inc.</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3051F2"/>
            </w:tcBorders>
            <w:gridSpan w:val="18"/>
          </w:tcPr>
          <w:p>
            <w:pPr>
              <w:spacing w:after="0"/>
              <w:rPr>
                <w:rFonts w:ascii="Arial" w:cs="Arial" w:eastAsia="Arial" w:hAnsi="Arial"/>
                <w:sz w:val="17"/>
                <w:szCs w:val="17"/>
                <w:color w:val="3051F2"/>
                <w:w w:val="91"/>
              </w:rPr>
            </w:pPr>
            <w:hyperlink r:id="rId98">
              <w:r>
                <w:rPr>
                  <w:rFonts w:ascii="Arial" w:cs="Arial" w:eastAsia="Arial" w:hAnsi="Arial"/>
                  <w:sz w:val="17"/>
                  <w:szCs w:val="17"/>
                  <w:color w:val="3051F2"/>
                  <w:w w:val="91"/>
                </w:rPr>
                <w:t>Second Amended and Restated Bylaws of Gevo,</w:t>
              </w:r>
            </w:hyperlink>
          </w:p>
        </w:tc>
        <w:tc>
          <w:tcPr>
            <w:tcW w:w="220" w:type="dxa"/>
            <w:vAlign w:val="bottom"/>
            <w:gridSpan w:val="4"/>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November 24,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22"/>
          </w:tcPr>
          <w:p>
            <w:pPr>
              <w:spacing w:after="0" w:line="189" w:lineRule="exact"/>
              <w:rPr>
                <w:rFonts w:ascii="Arial" w:cs="Arial" w:eastAsia="Arial" w:hAnsi="Arial"/>
                <w:sz w:val="17"/>
                <w:szCs w:val="17"/>
                <w:color w:val="3051F2"/>
              </w:rPr>
            </w:pPr>
            <w:hyperlink r:id="rId98">
              <w:r>
                <w:rPr>
                  <w:rFonts w:ascii="Arial" w:cs="Arial" w:eastAsia="Arial" w:hAnsi="Arial"/>
                  <w:sz w:val="17"/>
                  <w:szCs w:val="17"/>
                  <w:color w:val="3051F2"/>
                </w:rPr>
                <w:t>Inc.</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3051F2"/>
            </w:tcBorders>
            <w:gridSpan w:val="15"/>
          </w:tcPr>
          <w:p>
            <w:pPr>
              <w:spacing w:after="0"/>
              <w:rPr>
                <w:rFonts w:ascii="Arial" w:cs="Arial" w:eastAsia="Arial" w:hAnsi="Arial"/>
                <w:sz w:val="17"/>
                <w:szCs w:val="17"/>
                <w:color w:val="3051F2"/>
                <w:w w:val="93"/>
              </w:rPr>
            </w:pPr>
            <w:hyperlink r:id="rId99">
              <w:r>
                <w:rPr>
                  <w:rFonts w:ascii="Arial" w:cs="Arial" w:eastAsia="Arial" w:hAnsi="Arial"/>
                  <w:sz w:val="17"/>
                  <w:szCs w:val="17"/>
                  <w:color w:val="3051F2"/>
                  <w:w w:val="93"/>
                </w:rPr>
                <w:t>Form of Gevo, Inc. Common Stock Certificate.</w:t>
              </w:r>
            </w:hyperlink>
          </w:p>
        </w:tc>
        <w:tc>
          <w:tcPr>
            <w:tcW w:w="340" w:type="dxa"/>
            <w:vAlign w:val="bottom"/>
            <w:gridSpan w:val="7"/>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January 19, 2011</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22"/>
          </w:tcPr>
          <w:p>
            <w:pPr>
              <w:spacing w:after="0"/>
              <w:rPr>
                <w:rFonts w:ascii="Arial" w:cs="Arial" w:eastAsia="Arial" w:hAnsi="Arial"/>
                <w:sz w:val="17"/>
                <w:szCs w:val="17"/>
                <w:color w:val="3051F2"/>
              </w:rPr>
            </w:pPr>
            <w:hyperlink r:id="rId100">
              <w:r>
                <w:rPr>
                  <w:rFonts w:ascii="Arial" w:cs="Arial" w:eastAsia="Arial" w:hAnsi="Arial"/>
                  <w:sz w:val="17"/>
                  <w:szCs w:val="17"/>
                  <w:color w:val="3051F2"/>
                </w:rPr>
                <w:t>Form of Series 2020-A Warrant.</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July 8, 2020</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22"/>
          </w:tcPr>
          <w:p>
            <w:pPr>
              <w:spacing w:after="0"/>
              <w:rPr>
                <w:rFonts w:ascii="Arial" w:cs="Arial" w:eastAsia="Arial" w:hAnsi="Arial"/>
                <w:sz w:val="17"/>
                <w:szCs w:val="17"/>
                <w:color w:val="3051F2"/>
              </w:rPr>
            </w:pPr>
            <w:hyperlink r:id="rId101">
              <w:r>
                <w:rPr>
                  <w:rFonts w:ascii="Arial" w:cs="Arial" w:eastAsia="Arial" w:hAnsi="Arial"/>
                  <w:sz w:val="17"/>
                  <w:szCs w:val="17"/>
                  <w:color w:val="3051F2"/>
                </w:rPr>
                <w:t>Form of Series 2022-A Warrant.</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June 8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90"/>
        </w:trPr>
        <w:tc>
          <w:tcPr>
            <w:tcW w:w="124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7"/>
          </w:tcPr>
          <w:p>
            <w:pPr>
              <w:spacing w:after="0"/>
              <w:rPr>
                <w:rFonts w:ascii="Arial" w:cs="Arial" w:eastAsia="Arial" w:hAnsi="Arial"/>
                <w:sz w:val="17"/>
                <w:szCs w:val="17"/>
                <w:color w:val="3051F2"/>
                <w:w w:val="93"/>
              </w:rPr>
            </w:pPr>
            <w:hyperlink r:id="rId102">
              <w:r>
                <w:rPr>
                  <w:rFonts w:ascii="Arial" w:cs="Arial" w:eastAsia="Arial" w:hAnsi="Arial"/>
                  <w:sz w:val="17"/>
                  <w:szCs w:val="17"/>
                  <w:color w:val="3051F2"/>
                  <w:w w:val="93"/>
                </w:rPr>
                <w:t>Description of Securities.</w:t>
              </w:r>
            </w:hyperlink>
          </w:p>
        </w:tc>
        <w:tc>
          <w:tcPr>
            <w:tcW w:w="460" w:type="dxa"/>
            <w:vAlign w:val="bottom"/>
            <w:tcBorders>
              <w:top w:val="single" w:sz="8" w:color="3051F2"/>
            </w:tcBorders>
            <w:gridSpan w:val="2"/>
          </w:tcPr>
          <w:p>
            <w:pPr>
              <w:spacing w:after="0"/>
              <w:rPr>
                <w:sz w:val="24"/>
                <w:szCs w:val="24"/>
                <w:color w:val="auto"/>
              </w:rPr>
            </w:pPr>
          </w:p>
        </w:tc>
        <w:tc>
          <w:tcPr>
            <w:tcW w:w="1380" w:type="dxa"/>
            <w:vAlign w:val="bottom"/>
            <w:gridSpan w:val="13"/>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rPr>
              <w:t>10-K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24,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7"/>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10.1†</w:t>
            </w:r>
          </w:p>
        </w:tc>
        <w:tc>
          <w:tcPr>
            <w:tcW w:w="20" w:type="dxa"/>
            <w:vAlign w:val="bottom"/>
          </w:tcPr>
          <w:p>
            <w:pPr>
              <w:spacing w:after="0"/>
              <w:rPr>
                <w:sz w:val="24"/>
                <w:szCs w:val="24"/>
                <w:color w:val="auto"/>
              </w:rPr>
            </w:pPr>
          </w:p>
        </w:tc>
        <w:tc>
          <w:tcPr>
            <w:tcW w:w="3620" w:type="dxa"/>
            <w:vAlign w:val="bottom"/>
            <w:gridSpan w:val="22"/>
          </w:tcPr>
          <w:p>
            <w:pPr>
              <w:spacing w:after="0"/>
              <w:rPr>
                <w:rFonts w:ascii="Arial" w:cs="Arial" w:eastAsia="Arial" w:hAnsi="Arial"/>
                <w:sz w:val="17"/>
                <w:szCs w:val="17"/>
                <w:color w:val="3051F2"/>
                <w:w w:val="98"/>
              </w:rPr>
            </w:pPr>
            <w:hyperlink r:id="rId103">
              <w:r>
                <w:rPr>
                  <w:rFonts w:ascii="Arial" w:cs="Arial" w:eastAsia="Arial" w:hAnsi="Arial"/>
                  <w:sz w:val="17"/>
                  <w:szCs w:val="17"/>
                  <w:color w:val="3051F2"/>
                  <w:w w:val="98"/>
                </w:rPr>
                <w:t>License Agreement, dated July 12, 2005, by and</w:t>
              </w:r>
            </w:hyperlink>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November 4, 2010</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10.6</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40" w:type="dxa"/>
            <w:vAlign w:val="bottom"/>
            <w:tcBorders>
              <w:right w:val="single" w:sz="8" w:color="3051F2"/>
            </w:tcBorders>
            <w:gridSpan w:val="2"/>
            <w:shd w:val="clear" w:color="auto" w:fill="3051F2"/>
          </w:tcPr>
          <w:p>
            <w:pPr>
              <w:spacing w:after="0" w:line="20" w:lineRule="exact"/>
              <w:rPr>
                <w:sz w:val="1"/>
                <w:szCs w:val="1"/>
                <w:color w:val="auto"/>
              </w:rPr>
            </w:pPr>
          </w:p>
        </w:tc>
        <w:tc>
          <w:tcPr>
            <w:tcW w:w="106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60" w:type="dxa"/>
            <w:vAlign w:val="bottom"/>
            <w:tcBorders>
              <w:bottom w:val="single" w:sz="8" w:color="3051F2"/>
            </w:tcBorders>
            <w:gridSpan w:val="20"/>
          </w:tcPr>
          <w:p>
            <w:pPr>
              <w:spacing w:after="0" w:line="189" w:lineRule="exact"/>
              <w:rPr>
                <w:rFonts w:ascii="Arial" w:cs="Arial" w:eastAsia="Arial" w:hAnsi="Arial"/>
                <w:sz w:val="17"/>
                <w:szCs w:val="17"/>
                <w:color w:val="3051F2"/>
                <w:w w:val="93"/>
              </w:rPr>
            </w:pPr>
            <w:hyperlink r:id="rId103">
              <w:r>
                <w:rPr>
                  <w:rFonts w:ascii="Arial" w:cs="Arial" w:eastAsia="Arial" w:hAnsi="Arial"/>
                  <w:sz w:val="17"/>
                  <w:szCs w:val="17"/>
                  <w:color w:val="3051F2"/>
                  <w:w w:val="93"/>
                </w:rPr>
                <w:t>between Gevo, Inc. and the California Institute of</w:t>
              </w:r>
            </w:hyperlink>
          </w:p>
        </w:tc>
        <w:tc>
          <w:tcPr>
            <w:tcW w:w="160" w:type="dxa"/>
            <w:vAlign w:val="bottom"/>
            <w:gridSpan w:val="2"/>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2"/>
          </w:tcPr>
          <w:p>
            <w:pPr>
              <w:spacing w:after="0" w:line="176" w:lineRule="exact"/>
              <w:rPr>
                <w:rFonts w:ascii="Arial" w:cs="Arial" w:eastAsia="Arial" w:hAnsi="Arial"/>
                <w:sz w:val="17"/>
                <w:szCs w:val="17"/>
                <w:color w:val="3051F2"/>
              </w:rPr>
            </w:pPr>
            <w:hyperlink r:id="rId103">
              <w:r>
                <w:rPr>
                  <w:rFonts w:ascii="Arial" w:cs="Arial" w:eastAsia="Arial" w:hAnsi="Arial"/>
                  <w:sz w:val="17"/>
                  <w:szCs w:val="17"/>
                  <w:color w:val="3051F2"/>
                </w:rPr>
                <w:t>Technology.</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10.2†</w:t>
            </w:r>
          </w:p>
        </w:tc>
        <w:tc>
          <w:tcPr>
            <w:tcW w:w="20" w:type="dxa"/>
            <w:vAlign w:val="bottom"/>
          </w:tcPr>
          <w:p>
            <w:pPr>
              <w:spacing w:after="0"/>
              <w:rPr>
                <w:sz w:val="24"/>
                <w:szCs w:val="24"/>
                <w:color w:val="auto"/>
              </w:rPr>
            </w:pPr>
          </w:p>
        </w:tc>
        <w:tc>
          <w:tcPr>
            <w:tcW w:w="3420" w:type="dxa"/>
            <w:vAlign w:val="bottom"/>
            <w:tcBorders>
              <w:bottom w:val="single" w:sz="8" w:color="3051F2"/>
            </w:tcBorders>
            <w:gridSpan w:val="19"/>
          </w:tcPr>
          <w:p>
            <w:pPr>
              <w:spacing w:after="0"/>
              <w:rPr>
                <w:rFonts w:ascii="Arial" w:cs="Arial" w:eastAsia="Arial" w:hAnsi="Arial"/>
                <w:sz w:val="17"/>
                <w:szCs w:val="17"/>
                <w:color w:val="3051F2"/>
                <w:w w:val="92"/>
              </w:rPr>
            </w:pPr>
            <w:hyperlink r:id="rId104">
              <w:r>
                <w:rPr>
                  <w:rFonts w:ascii="Arial" w:cs="Arial" w:eastAsia="Arial" w:hAnsi="Arial"/>
                  <w:sz w:val="17"/>
                  <w:szCs w:val="17"/>
                  <w:color w:val="3051F2"/>
                  <w:w w:val="92"/>
                </w:rPr>
                <w:t>Amendment No. 4, dated October 1, 2010, to the</w:t>
              </w:r>
            </w:hyperlink>
          </w:p>
        </w:tc>
        <w:tc>
          <w:tcPr>
            <w:tcW w:w="200" w:type="dxa"/>
            <w:vAlign w:val="bottom"/>
            <w:gridSpan w:val="3"/>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October 21, 2010</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10.10</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22"/>
          </w:tcPr>
          <w:p>
            <w:pPr>
              <w:spacing w:after="0" w:line="189" w:lineRule="exact"/>
              <w:rPr>
                <w:rFonts w:ascii="Arial" w:cs="Arial" w:eastAsia="Arial" w:hAnsi="Arial"/>
                <w:sz w:val="17"/>
                <w:szCs w:val="17"/>
                <w:color w:val="3051F2"/>
              </w:rPr>
            </w:pPr>
            <w:hyperlink r:id="rId104">
              <w:r>
                <w:rPr>
                  <w:rFonts w:ascii="Arial" w:cs="Arial" w:eastAsia="Arial" w:hAnsi="Arial"/>
                  <w:sz w:val="17"/>
                  <w:szCs w:val="17"/>
                  <w:color w:val="3051F2"/>
                </w:rPr>
                <w:t>License Agreement, by and between Gevo, Inc.</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40" w:type="dxa"/>
            <w:vAlign w:val="bottom"/>
            <w:tcBorders>
              <w:right w:val="single" w:sz="8" w:color="3051F2"/>
            </w:tcBorders>
            <w:gridSpan w:val="2"/>
            <w:shd w:val="clear" w:color="auto" w:fill="3051F2"/>
          </w:tcPr>
          <w:p>
            <w:pPr>
              <w:spacing w:after="0" w:line="20" w:lineRule="exact"/>
              <w:rPr>
                <w:sz w:val="1"/>
                <w:szCs w:val="1"/>
                <w:color w:val="auto"/>
              </w:rPr>
            </w:pPr>
          </w:p>
        </w:tc>
        <w:tc>
          <w:tcPr>
            <w:tcW w:w="106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Borders>
              <w:bottom w:val="single" w:sz="8" w:color="3051F2"/>
            </w:tcBorders>
            <w:gridSpan w:val="17"/>
          </w:tcPr>
          <w:p>
            <w:pPr>
              <w:spacing w:after="0" w:line="176" w:lineRule="exact"/>
              <w:rPr>
                <w:rFonts w:ascii="Arial" w:cs="Arial" w:eastAsia="Arial" w:hAnsi="Arial"/>
                <w:sz w:val="17"/>
                <w:szCs w:val="17"/>
                <w:color w:val="3051F2"/>
                <w:w w:val="93"/>
              </w:rPr>
            </w:pPr>
            <w:hyperlink r:id="rId104">
              <w:r>
                <w:rPr>
                  <w:rFonts w:ascii="Arial" w:cs="Arial" w:eastAsia="Arial" w:hAnsi="Arial"/>
                  <w:sz w:val="17"/>
                  <w:szCs w:val="17"/>
                  <w:color w:val="3051F2"/>
                  <w:w w:val="93"/>
                </w:rPr>
                <w:t>and the California Institute of Technology, dated</w:t>
              </w:r>
            </w:hyperlink>
          </w:p>
        </w:tc>
        <w:tc>
          <w:tcPr>
            <w:tcW w:w="24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2"/>
          </w:tcPr>
          <w:p>
            <w:pPr>
              <w:spacing w:after="0" w:line="176" w:lineRule="exact"/>
              <w:rPr>
                <w:rFonts w:ascii="Arial" w:cs="Arial" w:eastAsia="Arial" w:hAnsi="Arial"/>
                <w:sz w:val="17"/>
                <w:szCs w:val="17"/>
                <w:color w:val="3051F2"/>
              </w:rPr>
            </w:pPr>
            <w:hyperlink r:id="rId104">
              <w:r>
                <w:rPr>
                  <w:rFonts w:ascii="Arial" w:cs="Arial" w:eastAsia="Arial" w:hAnsi="Arial"/>
                  <w:sz w:val="17"/>
                  <w:szCs w:val="17"/>
                  <w:color w:val="3051F2"/>
                </w:rPr>
                <w:t>July 12, 2005.</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Borders>
              <w:bottom w:val="single" w:sz="8" w:color="3051F2"/>
            </w:tcBorders>
            <w:gridSpan w:val="14"/>
          </w:tcPr>
          <w:p>
            <w:pPr>
              <w:spacing w:after="0"/>
              <w:rPr>
                <w:rFonts w:ascii="Arial" w:cs="Arial" w:eastAsia="Arial" w:hAnsi="Arial"/>
                <w:sz w:val="17"/>
                <w:szCs w:val="17"/>
                <w:color w:val="3051F2"/>
                <w:w w:val="91"/>
              </w:rPr>
            </w:pPr>
            <w:hyperlink r:id="rId105">
              <w:r>
                <w:rPr>
                  <w:rFonts w:ascii="Arial" w:cs="Arial" w:eastAsia="Arial" w:hAnsi="Arial"/>
                  <w:sz w:val="17"/>
                  <w:szCs w:val="17"/>
                  <w:color w:val="3051F2"/>
                  <w:w w:val="91"/>
                </w:rPr>
                <w:t>Gevo, Inc. Amended and Restated 2010 Stock</w:t>
              </w:r>
            </w:hyperlink>
          </w:p>
        </w:tc>
        <w:tc>
          <w:tcPr>
            <w:tcW w:w="400" w:type="dxa"/>
            <w:vAlign w:val="bottom"/>
            <w:gridSpan w:val="8"/>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June 11,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bottom w:val="single" w:sz="8" w:color="3051F2"/>
            </w:tcBorders>
            <w:gridSpan w:val="6"/>
          </w:tcPr>
          <w:p>
            <w:pPr>
              <w:spacing w:after="0" w:line="189" w:lineRule="exact"/>
              <w:rPr>
                <w:rFonts w:ascii="Arial" w:cs="Arial" w:eastAsia="Arial" w:hAnsi="Arial"/>
                <w:sz w:val="17"/>
                <w:szCs w:val="17"/>
                <w:color w:val="3051F2"/>
                <w:w w:val="93"/>
              </w:rPr>
            </w:pPr>
            <w:hyperlink r:id="rId105">
              <w:r>
                <w:rPr>
                  <w:rFonts w:ascii="Arial" w:cs="Arial" w:eastAsia="Arial" w:hAnsi="Arial"/>
                  <w:sz w:val="17"/>
                  <w:szCs w:val="17"/>
                  <w:color w:val="3051F2"/>
                  <w:w w:val="93"/>
                </w:rPr>
                <w:t>Incentive Plan.</w:t>
              </w:r>
            </w:hyperlink>
          </w:p>
        </w:tc>
        <w:tc>
          <w:tcPr>
            <w:tcW w:w="2560" w:type="dxa"/>
            <w:vAlign w:val="bottom"/>
            <w:gridSpan w:val="16"/>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22"/>
          </w:tcPr>
          <w:p>
            <w:pPr>
              <w:spacing w:after="0"/>
              <w:rPr>
                <w:rFonts w:ascii="Arial" w:cs="Arial" w:eastAsia="Arial" w:hAnsi="Arial"/>
                <w:sz w:val="17"/>
                <w:szCs w:val="17"/>
                <w:color w:val="3051F2"/>
              </w:rPr>
            </w:pPr>
            <w:hyperlink r:id="rId106">
              <w:r>
                <w:rPr>
                  <w:rFonts w:ascii="Arial" w:cs="Arial" w:eastAsia="Arial" w:hAnsi="Arial"/>
                  <w:sz w:val="17"/>
                  <w:szCs w:val="17"/>
                  <w:color w:val="3051F2"/>
                </w:rPr>
                <w:t>Form of Restricted Stock Unit Agreement under</w:t>
              </w:r>
            </w:hyperlink>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January 19, 2011</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10.15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700" w:type="dxa"/>
            <w:vAlign w:val="bottom"/>
            <w:gridSpan w:val="3"/>
            <w:shd w:val="clear" w:color="auto" w:fill="3051F2"/>
          </w:tcPr>
          <w:p>
            <w:pPr>
              <w:spacing w:after="0" w:line="20" w:lineRule="exact"/>
              <w:rPr>
                <w:sz w:val="1"/>
                <w:szCs w:val="1"/>
                <w:color w:val="auto"/>
              </w:rPr>
            </w:pPr>
          </w:p>
        </w:tc>
        <w:tc>
          <w:tcPr>
            <w:tcW w:w="860" w:type="dxa"/>
            <w:vAlign w:val="bottom"/>
            <w:tcBorders>
              <w:right w:val="single" w:sz="8" w:color="3051F2"/>
            </w:tcBorders>
            <w:gridSpan w:val="3"/>
            <w:shd w:val="clear" w:color="auto" w:fill="3051F2"/>
          </w:tcPr>
          <w:p>
            <w:pPr>
              <w:spacing w:after="0" w:line="20" w:lineRule="exact"/>
              <w:rPr>
                <w:sz w:val="1"/>
                <w:szCs w:val="1"/>
                <w:color w:val="auto"/>
              </w:rPr>
            </w:pPr>
          </w:p>
        </w:tc>
        <w:tc>
          <w:tcPr>
            <w:tcW w:w="106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40" w:type="dxa"/>
            <w:vAlign w:val="bottom"/>
            <w:gridSpan w:val="2"/>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Borders>
              <w:bottom w:val="single" w:sz="8" w:color="3051F2"/>
            </w:tcBorders>
            <w:gridSpan w:val="18"/>
          </w:tcPr>
          <w:p>
            <w:pPr>
              <w:spacing w:after="0" w:line="189" w:lineRule="exact"/>
              <w:rPr>
                <w:rFonts w:ascii="Arial" w:cs="Arial" w:eastAsia="Arial" w:hAnsi="Arial"/>
                <w:sz w:val="17"/>
                <w:szCs w:val="17"/>
                <w:color w:val="3051F2"/>
                <w:w w:val="91"/>
              </w:rPr>
            </w:pPr>
            <w:hyperlink r:id="rId106">
              <w:r>
                <w:rPr>
                  <w:rFonts w:ascii="Arial" w:cs="Arial" w:eastAsia="Arial" w:hAnsi="Arial"/>
                  <w:sz w:val="17"/>
                  <w:szCs w:val="17"/>
                  <w:color w:val="3051F2"/>
                  <w:w w:val="91"/>
                </w:rPr>
                <w:t>the Amended and Restated 2010 Stock Incentive</w:t>
              </w:r>
            </w:hyperlink>
          </w:p>
        </w:tc>
        <w:tc>
          <w:tcPr>
            <w:tcW w:w="22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2"/>
          </w:tcPr>
          <w:p>
            <w:pPr>
              <w:spacing w:after="0" w:line="176" w:lineRule="exact"/>
              <w:rPr>
                <w:rFonts w:ascii="Arial" w:cs="Arial" w:eastAsia="Arial" w:hAnsi="Arial"/>
                <w:sz w:val="17"/>
                <w:szCs w:val="17"/>
                <w:color w:val="3051F2"/>
              </w:rPr>
            </w:pPr>
            <w:hyperlink r:id="rId106">
              <w:r>
                <w:rPr>
                  <w:rFonts w:ascii="Arial" w:cs="Arial" w:eastAsia="Arial" w:hAnsi="Arial"/>
                  <w:sz w:val="17"/>
                  <w:szCs w:val="17"/>
                  <w:color w:val="3051F2"/>
                </w:rPr>
                <w:t>Plan.</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bottom w:val="single" w:sz="8" w:color="3051F2"/>
            </w:tcBorders>
            <w:gridSpan w:val="13"/>
          </w:tcPr>
          <w:p>
            <w:pPr>
              <w:spacing w:after="0"/>
              <w:rPr>
                <w:rFonts w:ascii="Arial" w:cs="Arial" w:eastAsia="Arial" w:hAnsi="Arial"/>
                <w:sz w:val="17"/>
                <w:szCs w:val="17"/>
                <w:color w:val="3051F2"/>
                <w:w w:val="91"/>
              </w:rPr>
            </w:pPr>
            <w:hyperlink r:id="rId107">
              <w:r>
                <w:rPr>
                  <w:rFonts w:ascii="Arial" w:cs="Arial" w:eastAsia="Arial" w:hAnsi="Arial"/>
                  <w:sz w:val="17"/>
                  <w:szCs w:val="17"/>
                  <w:color w:val="3051F2"/>
                  <w:w w:val="91"/>
                </w:rPr>
                <w:t>Form of Restricted Shares Award Agreement</w:t>
              </w:r>
            </w:hyperlink>
          </w:p>
        </w:tc>
        <w:tc>
          <w:tcPr>
            <w:tcW w:w="480" w:type="dxa"/>
            <w:vAlign w:val="bottom"/>
            <w:gridSpan w:val="9"/>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8,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10.7</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Borders>
              <w:bottom w:val="single" w:sz="8" w:color="3051F2"/>
            </w:tcBorders>
            <w:gridSpan w:val="13"/>
          </w:tcPr>
          <w:p>
            <w:pPr>
              <w:spacing w:after="0" w:line="189" w:lineRule="exact"/>
              <w:rPr>
                <w:rFonts w:ascii="Arial" w:cs="Arial" w:eastAsia="Arial" w:hAnsi="Arial"/>
                <w:sz w:val="17"/>
                <w:szCs w:val="17"/>
                <w:color w:val="3051F2"/>
                <w:w w:val="90"/>
              </w:rPr>
            </w:pPr>
            <w:hyperlink r:id="rId107">
              <w:r>
                <w:rPr>
                  <w:rFonts w:ascii="Arial" w:cs="Arial" w:eastAsia="Arial" w:hAnsi="Arial"/>
                  <w:sz w:val="17"/>
                  <w:szCs w:val="17"/>
                  <w:color w:val="3051F2"/>
                  <w:w w:val="90"/>
                </w:rPr>
                <w:t>under the Amended and Restated 2010 Stock</w:t>
              </w:r>
            </w:hyperlink>
          </w:p>
        </w:tc>
        <w:tc>
          <w:tcPr>
            <w:tcW w:w="48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3051F2"/>
            </w:tcBorders>
            <w:gridSpan w:val="5"/>
          </w:tcPr>
          <w:p>
            <w:pPr>
              <w:spacing w:after="0" w:line="176" w:lineRule="exact"/>
              <w:rPr>
                <w:rFonts w:ascii="Arial" w:cs="Arial" w:eastAsia="Arial" w:hAnsi="Arial"/>
                <w:sz w:val="17"/>
                <w:szCs w:val="17"/>
                <w:color w:val="3051F2"/>
                <w:w w:val="91"/>
              </w:rPr>
            </w:pPr>
            <w:hyperlink r:id="rId107">
              <w:r>
                <w:rPr>
                  <w:rFonts w:ascii="Arial" w:cs="Arial" w:eastAsia="Arial" w:hAnsi="Arial"/>
                  <w:sz w:val="17"/>
                  <w:szCs w:val="17"/>
                  <w:color w:val="3051F2"/>
                  <w:w w:val="91"/>
                </w:rPr>
                <w:t>Incentive Plan.</w:t>
              </w:r>
            </w:hyperlink>
          </w:p>
        </w:tc>
        <w:tc>
          <w:tcPr>
            <w:tcW w:w="2580" w:type="dxa"/>
            <w:vAlign w:val="bottom"/>
            <w:gridSpan w:val="17"/>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22"/>
          </w:tcPr>
          <w:p>
            <w:pPr>
              <w:spacing w:after="0"/>
              <w:rPr>
                <w:rFonts w:ascii="Arial" w:cs="Arial" w:eastAsia="Arial" w:hAnsi="Arial"/>
                <w:sz w:val="17"/>
                <w:szCs w:val="17"/>
                <w:color w:val="3051F2"/>
              </w:rPr>
            </w:pPr>
            <w:hyperlink r:id="rId108">
              <w:r>
                <w:rPr>
                  <w:rFonts w:ascii="Arial" w:cs="Arial" w:eastAsia="Arial" w:hAnsi="Arial"/>
                  <w:sz w:val="17"/>
                  <w:szCs w:val="17"/>
                  <w:color w:val="3051F2"/>
                </w:rPr>
                <w:t>Form of Stock Option Award Agreement under</w:t>
              </w:r>
            </w:hyperlink>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8,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10.6</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3051F2"/>
            </w:tcBorders>
            <w:gridSpan w:val="8"/>
            <w:shd w:val="clear" w:color="auto" w:fill="3051F2"/>
          </w:tcPr>
          <w:p>
            <w:pPr>
              <w:spacing w:after="0" w:line="20" w:lineRule="exact"/>
              <w:rPr>
                <w:sz w:val="1"/>
                <w:szCs w:val="1"/>
                <w:color w:val="auto"/>
              </w:rPr>
            </w:pPr>
          </w:p>
        </w:tc>
        <w:tc>
          <w:tcPr>
            <w:tcW w:w="106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60" w:type="dxa"/>
            <w:vAlign w:val="bottom"/>
            <w:gridSpan w:val="3"/>
            <w:shd w:val="clear" w:color="auto" w:fill="3051F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Borders>
              <w:bottom w:val="single" w:sz="8" w:color="3051F2"/>
            </w:tcBorders>
            <w:gridSpan w:val="18"/>
          </w:tcPr>
          <w:p>
            <w:pPr>
              <w:spacing w:after="0" w:line="189" w:lineRule="exact"/>
              <w:rPr>
                <w:rFonts w:ascii="Arial" w:cs="Arial" w:eastAsia="Arial" w:hAnsi="Arial"/>
                <w:sz w:val="17"/>
                <w:szCs w:val="17"/>
                <w:color w:val="3051F2"/>
                <w:w w:val="91"/>
              </w:rPr>
            </w:pPr>
            <w:hyperlink r:id="rId108">
              <w:r>
                <w:rPr>
                  <w:rFonts w:ascii="Arial" w:cs="Arial" w:eastAsia="Arial" w:hAnsi="Arial"/>
                  <w:sz w:val="17"/>
                  <w:szCs w:val="17"/>
                  <w:color w:val="3051F2"/>
                  <w:w w:val="91"/>
                </w:rPr>
                <w:t>the Amended and Restated 2010 Stock Incentive</w:t>
              </w:r>
            </w:hyperlink>
          </w:p>
        </w:tc>
        <w:tc>
          <w:tcPr>
            <w:tcW w:w="22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2"/>
          </w:tcPr>
          <w:p>
            <w:pPr>
              <w:spacing w:after="0" w:line="176" w:lineRule="exact"/>
              <w:rPr>
                <w:rFonts w:ascii="Arial" w:cs="Arial" w:eastAsia="Arial" w:hAnsi="Arial"/>
                <w:sz w:val="17"/>
                <w:szCs w:val="17"/>
                <w:color w:val="3051F2"/>
              </w:rPr>
            </w:pPr>
            <w:hyperlink r:id="rId108">
              <w:r>
                <w:rPr>
                  <w:rFonts w:ascii="Arial" w:cs="Arial" w:eastAsia="Arial" w:hAnsi="Arial"/>
                  <w:sz w:val="17"/>
                  <w:szCs w:val="17"/>
                  <w:color w:val="3051F2"/>
                </w:rPr>
                <w:t>Plan.</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bottom w:val="single" w:sz="8" w:color="3051F2"/>
            </w:tcBorders>
            <w:gridSpan w:val="11"/>
          </w:tcPr>
          <w:p>
            <w:pPr>
              <w:spacing w:after="0"/>
              <w:rPr>
                <w:rFonts w:ascii="Arial" w:cs="Arial" w:eastAsia="Arial" w:hAnsi="Arial"/>
                <w:sz w:val="17"/>
                <w:szCs w:val="17"/>
                <w:color w:val="3051F2"/>
                <w:w w:val="94"/>
              </w:rPr>
            </w:pPr>
            <w:hyperlink r:id="rId109">
              <w:r>
                <w:rPr>
                  <w:rFonts w:ascii="Arial" w:cs="Arial" w:eastAsia="Arial" w:hAnsi="Arial"/>
                  <w:sz w:val="17"/>
                  <w:szCs w:val="17"/>
                  <w:color w:val="3051F2"/>
                  <w:w w:val="94"/>
                </w:rPr>
                <w:t>Form of Stock Appreciation Rights Award</w:t>
              </w:r>
            </w:hyperlink>
          </w:p>
        </w:tc>
        <w:tc>
          <w:tcPr>
            <w:tcW w:w="660" w:type="dxa"/>
            <w:vAlign w:val="bottom"/>
            <w:gridSpan w:val="11"/>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8,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10.8</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22"/>
          </w:tcPr>
          <w:p>
            <w:pPr>
              <w:spacing w:after="0" w:line="189" w:lineRule="exact"/>
              <w:rPr>
                <w:rFonts w:ascii="Arial" w:cs="Arial" w:eastAsia="Arial" w:hAnsi="Arial"/>
                <w:sz w:val="17"/>
                <w:szCs w:val="17"/>
                <w:color w:val="3051F2"/>
              </w:rPr>
            </w:pPr>
            <w:hyperlink r:id="rId109">
              <w:r>
                <w:rPr>
                  <w:rFonts w:ascii="Arial" w:cs="Arial" w:eastAsia="Arial" w:hAnsi="Arial"/>
                  <w:sz w:val="17"/>
                  <w:szCs w:val="17"/>
                  <w:color w:val="3051F2"/>
                </w:rPr>
                <w:t>Agreement under the Amended and Restated</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3051F2"/>
              <w:bottom w:val="single" w:sz="8" w:color="3051F2"/>
            </w:tcBorders>
            <w:gridSpan w:val="8"/>
          </w:tcPr>
          <w:p>
            <w:pPr>
              <w:spacing w:after="0" w:line="176" w:lineRule="exact"/>
              <w:rPr>
                <w:rFonts w:ascii="Arial" w:cs="Arial" w:eastAsia="Arial" w:hAnsi="Arial"/>
                <w:sz w:val="17"/>
                <w:szCs w:val="17"/>
                <w:color w:val="3051F2"/>
                <w:w w:val="92"/>
              </w:rPr>
            </w:pPr>
            <w:hyperlink r:id="rId109">
              <w:r>
                <w:rPr>
                  <w:rFonts w:ascii="Arial" w:cs="Arial" w:eastAsia="Arial" w:hAnsi="Arial"/>
                  <w:sz w:val="17"/>
                  <w:szCs w:val="17"/>
                  <w:color w:val="3051F2"/>
                  <w:w w:val="92"/>
                </w:rPr>
                <w:t>2010 Stock Incentive Plan.</w:t>
              </w:r>
            </w:hyperlink>
          </w:p>
        </w:tc>
        <w:tc>
          <w:tcPr>
            <w:tcW w:w="1220" w:type="dxa"/>
            <w:vAlign w:val="bottom"/>
            <w:tcBorders>
              <w:top w:val="single" w:sz="8" w:color="3051F2"/>
            </w:tcBorders>
            <w:gridSpan w:val="4"/>
          </w:tcPr>
          <w:p>
            <w:pPr>
              <w:spacing w:after="0"/>
              <w:rPr>
                <w:sz w:val="15"/>
                <w:szCs w:val="15"/>
                <w:color w:val="auto"/>
              </w:rPr>
            </w:pPr>
          </w:p>
        </w:tc>
        <w:tc>
          <w:tcPr>
            <w:tcW w:w="500" w:type="dxa"/>
            <w:vAlign w:val="bottom"/>
            <w:gridSpan w:val="10"/>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Exhibit</w:t>
      </w:r>
    </w:p>
    <w:p>
      <w:pPr>
        <w:spacing w:after="0" w:line="21" w:lineRule="exact"/>
        <w:rPr>
          <w:sz w:val="20"/>
          <w:szCs w:val="20"/>
          <w:color w:val="auto"/>
        </w:rPr>
      </w:pPr>
    </w:p>
    <w:p>
      <w:pPr>
        <w:ind w:left="500"/>
        <w:spacing w:after="0"/>
        <w:tabs>
          <w:tab w:leader="none" w:pos="2660" w:val="left"/>
        </w:tabs>
        <w:rPr>
          <w:sz w:val="20"/>
          <w:szCs w:val="20"/>
          <w:color w:val="auto"/>
        </w:rPr>
      </w:pPr>
      <w:r>
        <w:rPr>
          <w:rFonts w:ascii="Arial" w:cs="Arial" w:eastAsia="Arial" w:hAnsi="Arial"/>
          <w:sz w:val="17"/>
          <w:szCs w:val="17"/>
          <w:b w:val="1"/>
          <w:bCs w:val="1"/>
          <w:color w:val="auto"/>
        </w:rPr>
        <w:t>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30867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086735" cy="8255"/>
                    </a:xfrm>
                    <a:prstGeom prst="rect">
                      <a:avLst/>
                    </a:prstGeom>
                    <a:noFill/>
                  </pic:spPr>
                </pic:pic>
              </a:graphicData>
            </a:graphic>
          </wp:anchor>
        </w:drawing>
      </w:r>
    </w:p>
    <w:p>
      <w:pPr>
        <w:spacing w:after="0" w:line="45" w:lineRule="exact"/>
        <w:rPr>
          <w:sz w:val="20"/>
          <w:szCs w:val="20"/>
          <w:color w:val="auto"/>
        </w:rPr>
      </w:pPr>
    </w:p>
    <w:p>
      <w:pPr>
        <w:ind w:left="420"/>
        <w:spacing w:after="0"/>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10.8#</w:t>
      </w:r>
      <w:r>
        <w:rPr>
          <w:sz w:val="20"/>
          <w:szCs w:val="20"/>
          <w:color w:val="auto"/>
        </w:rPr>
        <w:tab/>
      </w:r>
      <w:hyperlink r:id="rId112">
        <w:r>
          <w:rPr>
            <w:rFonts w:ascii="Arial" w:cs="Arial" w:eastAsia="Arial" w:hAnsi="Arial"/>
            <w:sz w:val="15"/>
            <w:szCs w:val="15"/>
            <w:u w:val="single" w:color="auto"/>
            <w:color w:val="3051F2"/>
          </w:rPr>
          <w:t>Gevo, Inc. Employee Stock Purchase Plan.</w:t>
        </w:r>
      </w:hyperlink>
    </w:p>
    <w:p>
      <w:pPr>
        <w:spacing w:after="0" w:line="314" w:lineRule="exact"/>
        <w:rPr>
          <w:sz w:val="20"/>
          <w:szCs w:val="20"/>
          <w:color w:val="auto"/>
        </w:rPr>
      </w:pPr>
    </w:p>
    <w:p>
      <w:pPr>
        <w:ind w:left="420"/>
        <w:spacing w:after="0"/>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10.9#</w:t>
      </w:r>
      <w:r>
        <w:rPr>
          <w:sz w:val="20"/>
          <w:szCs w:val="20"/>
          <w:color w:val="auto"/>
        </w:rPr>
        <w:tab/>
      </w:r>
      <w:hyperlink r:id="rId113">
        <w:r>
          <w:rPr>
            <w:rFonts w:ascii="Arial" w:cs="Arial" w:eastAsia="Arial" w:hAnsi="Arial"/>
            <w:sz w:val="15"/>
            <w:szCs w:val="15"/>
            <w:u w:val="single" w:color="auto"/>
            <w:color w:val="3051F2"/>
          </w:rPr>
          <w:t>Gevo, Inc. Executive Health Management Plan.</w:t>
        </w:r>
      </w:hyperlink>
    </w:p>
    <w:p>
      <w:pPr>
        <w:spacing w:after="0" w:line="314" w:lineRule="exact"/>
        <w:rPr>
          <w:sz w:val="20"/>
          <w:szCs w:val="20"/>
          <w:color w:val="auto"/>
        </w:rPr>
      </w:pPr>
    </w:p>
    <w:p>
      <w:pPr>
        <w:jc w:val="both"/>
        <w:ind w:left="1360" w:right="320" w:hanging="975"/>
        <w:spacing w:after="0" w:line="304" w:lineRule="auto"/>
        <w:tabs>
          <w:tab w:leader="none" w:pos="1340" w:val="left"/>
        </w:tabs>
        <w:rPr>
          <w:rFonts w:ascii="Arial" w:cs="Arial" w:eastAsia="Arial" w:hAnsi="Arial"/>
          <w:sz w:val="16"/>
          <w:szCs w:val="16"/>
          <w:u w:val="single" w:color="auto"/>
          <w:color w:val="3051F2"/>
        </w:rPr>
      </w:pPr>
      <w:r>
        <w:rPr>
          <w:rFonts w:ascii="Arial" w:cs="Arial" w:eastAsia="Arial" w:hAnsi="Arial"/>
          <w:sz w:val="17"/>
          <w:szCs w:val="17"/>
          <w:color w:val="auto"/>
        </w:rPr>
        <w:t>10.10#</w:t>
      </w:r>
      <w:r>
        <w:rPr>
          <w:sz w:val="20"/>
          <w:szCs w:val="20"/>
          <w:color w:val="auto"/>
        </w:rPr>
        <w:tab/>
      </w:r>
      <w:hyperlink r:id="rId114">
        <w:r>
          <w:rPr>
            <w:rFonts w:ascii="Arial" w:cs="Arial" w:eastAsia="Arial" w:hAnsi="Arial"/>
            <w:sz w:val="16"/>
            <w:szCs w:val="16"/>
            <w:u w:val="single" w:color="auto"/>
            <w:color w:val="3051F2"/>
          </w:rPr>
          <w:t>Form of Indemnification Agreement between</w:t>
        </w:r>
      </w:hyperlink>
      <w:r>
        <w:rPr>
          <w:rFonts w:ascii="Arial" w:cs="Arial" w:eastAsia="Arial" w:hAnsi="Arial"/>
          <w:sz w:val="16"/>
          <w:szCs w:val="16"/>
          <w:u w:val="single" w:color="auto"/>
          <w:color w:val="3051F2"/>
        </w:rPr>
        <w:t xml:space="preserve"> </w:t>
      </w:r>
      <w:hyperlink r:id="rId114">
        <w:r>
          <w:rPr>
            <w:rFonts w:ascii="Arial" w:cs="Arial" w:eastAsia="Arial" w:hAnsi="Arial"/>
            <w:sz w:val="16"/>
            <w:szCs w:val="16"/>
            <w:u w:val="single" w:color="auto"/>
            <w:color w:val="3051F2"/>
          </w:rPr>
          <w:t>Gevo, Inc. and its directors and officers.</w:t>
        </w:r>
      </w:hyperlink>
    </w:p>
    <w:p>
      <w:pPr>
        <w:spacing w:after="0" w:line="253" w:lineRule="exact"/>
        <w:rPr>
          <w:sz w:val="20"/>
          <w:szCs w:val="20"/>
          <w:color w:val="auto"/>
        </w:rPr>
      </w:pPr>
    </w:p>
    <w:p>
      <w:pPr>
        <w:ind w:left="1360" w:right="120" w:hanging="971"/>
        <w:spacing w:after="0" w:line="304" w:lineRule="auto"/>
        <w:tabs>
          <w:tab w:leader="none" w:pos="1340" w:val="left"/>
        </w:tabs>
        <w:rPr>
          <w:rFonts w:ascii="Arial" w:cs="Arial" w:eastAsia="Arial" w:hAnsi="Arial"/>
          <w:sz w:val="16"/>
          <w:szCs w:val="16"/>
          <w:u w:val="single" w:color="auto"/>
          <w:color w:val="3051F2"/>
        </w:rPr>
      </w:pPr>
      <w:r>
        <w:rPr>
          <w:rFonts w:ascii="Arial" w:cs="Arial" w:eastAsia="Arial" w:hAnsi="Arial"/>
          <w:sz w:val="17"/>
          <w:szCs w:val="17"/>
          <w:color w:val="auto"/>
        </w:rPr>
        <w:t>10.11#</w:t>
      </w:r>
      <w:r>
        <w:rPr>
          <w:sz w:val="20"/>
          <w:szCs w:val="20"/>
          <w:color w:val="auto"/>
        </w:rPr>
        <w:tab/>
      </w:r>
      <w:hyperlink r:id="rId115">
        <w:r>
          <w:rPr>
            <w:rFonts w:ascii="Arial" w:cs="Arial" w:eastAsia="Arial" w:hAnsi="Arial"/>
            <w:sz w:val="16"/>
            <w:szCs w:val="16"/>
            <w:u w:val="single" w:color="auto"/>
            <w:color w:val="3051F2"/>
          </w:rPr>
          <w:t>Employment Agreement, dated June 4, 2010, by</w:t>
        </w:r>
      </w:hyperlink>
      <w:r>
        <w:rPr>
          <w:rFonts w:ascii="Arial" w:cs="Arial" w:eastAsia="Arial" w:hAnsi="Arial"/>
          <w:sz w:val="16"/>
          <w:szCs w:val="16"/>
          <w:u w:val="single" w:color="auto"/>
          <w:color w:val="3051F2"/>
        </w:rPr>
        <w:t xml:space="preserve"> </w:t>
      </w:r>
      <w:hyperlink r:id="rId115">
        <w:r>
          <w:rPr>
            <w:rFonts w:ascii="Arial" w:cs="Arial" w:eastAsia="Arial" w:hAnsi="Arial"/>
            <w:sz w:val="16"/>
            <w:szCs w:val="16"/>
            <w:u w:val="single" w:color="auto"/>
            <w:color w:val="3051F2"/>
          </w:rPr>
          <w:t>and between Gevo, Inc. and Patrick Gruber.</w:t>
        </w:r>
      </w:hyperlink>
    </w:p>
    <w:p>
      <w:pPr>
        <w:spacing w:after="0" w:line="253" w:lineRule="exact"/>
        <w:rPr>
          <w:sz w:val="20"/>
          <w:szCs w:val="20"/>
          <w:color w:val="auto"/>
        </w:rPr>
      </w:pPr>
    </w:p>
    <w:p>
      <w:pPr>
        <w:jc w:val="both"/>
        <w:ind w:left="1360" w:right="320" w:hanging="975"/>
        <w:spacing w:after="0" w:line="264"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10.12#</w:t>
      </w:r>
      <w:r>
        <w:rPr>
          <w:sz w:val="20"/>
          <w:szCs w:val="20"/>
          <w:color w:val="auto"/>
        </w:rPr>
        <w:tab/>
      </w:r>
      <w:hyperlink r:id="rId116">
        <w:r>
          <w:rPr>
            <w:rFonts w:ascii="Arial" w:cs="Arial" w:eastAsia="Arial" w:hAnsi="Arial"/>
            <w:sz w:val="17"/>
            <w:szCs w:val="17"/>
            <w:u w:val="single" w:color="auto"/>
            <w:color w:val="3051F2"/>
          </w:rPr>
          <w:t>Amendment Agreement, dated December 21,</w:t>
        </w:r>
      </w:hyperlink>
      <w:r>
        <w:rPr>
          <w:rFonts w:ascii="Arial" w:cs="Arial" w:eastAsia="Arial" w:hAnsi="Arial"/>
          <w:sz w:val="17"/>
          <w:szCs w:val="17"/>
          <w:u w:val="single" w:color="auto"/>
          <w:color w:val="3051F2"/>
        </w:rPr>
        <w:t xml:space="preserve"> </w:t>
      </w:r>
      <w:hyperlink r:id="rId116">
        <w:r>
          <w:rPr>
            <w:rFonts w:ascii="Arial" w:cs="Arial" w:eastAsia="Arial" w:hAnsi="Arial"/>
            <w:sz w:val="17"/>
            <w:szCs w:val="17"/>
            <w:u w:val="single" w:color="auto"/>
            <w:color w:val="3051F2"/>
          </w:rPr>
          <w:t>2011, by and between Gevo, Inc. and Patrick</w:t>
        </w:r>
      </w:hyperlink>
      <w:r>
        <w:rPr>
          <w:rFonts w:ascii="Arial" w:cs="Arial" w:eastAsia="Arial" w:hAnsi="Arial"/>
          <w:sz w:val="17"/>
          <w:szCs w:val="17"/>
          <w:u w:val="single" w:color="auto"/>
          <w:color w:val="3051F2"/>
        </w:rPr>
        <w:t xml:space="preserve"> </w:t>
      </w:r>
      <w:hyperlink r:id="rId116">
        <w:r>
          <w:rPr>
            <w:rFonts w:ascii="Arial" w:cs="Arial" w:eastAsia="Arial" w:hAnsi="Arial"/>
            <w:sz w:val="17"/>
            <w:szCs w:val="17"/>
            <w:u w:val="single" w:color="auto"/>
            <w:color w:val="3051F2"/>
          </w:rPr>
          <w:t>Gruber.</w:t>
        </w:r>
      </w:hyperlink>
    </w:p>
    <w:p>
      <w:pPr>
        <w:spacing w:after="0" w:line="270" w:lineRule="exact"/>
        <w:rPr>
          <w:rFonts w:ascii="Arial" w:cs="Arial" w:eastAsia="Arial" w:hAnsi="Arial"/>
          <w:sz w:val="17"/>
          <w:szCs w:val="17"/>
          <w:u w:val="single" w:color="auto"/>
          <w:color w:val="3051F2"/>
        </w:rPr>
      </w:pPr>
    </w:p>
    <w:p>
      <w:pPr>
        <w:jc w:val="both"/>
        <w:ind w:left="1360" w:right="80" w:hanging="975"/>
        <w:spacing w:after="0" w:line="264"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10.13#</w:t>
      </w:r>
      <w:r>
        <w:rPr>
          <w:sz w:val="20"/>
          <w:szCs w:val="20"/>
          <w:color w:val="auto"/>
        </w:rPr>
        <w:tab/>
      </w:r>
      <w:hyperlink r:id="rId117">
        <w:r>
          <w:rPr>
            <w:rFonts w:ascii="Arial" w:cs="Arial" w:eastAsia="Arial" w:hAnsi="Arial"/>
            <w:sz w:val="17"/>
            <w:szCs w:val="17"/>
            <w:u w:val="single" w:color="auto"/>
            <w:color w:val="3051F2"/>
          </w:rPr>
          <w:t>Second Amendment Agreement, dated February</w:t>
        </w:r>
      </w:hyperlink>
      <w:r>
        <w:rPr>
          <w:rFonts w:ascii="Arial" w:cs="Arial" w:eastAsia="Arial" w:hAnsi="Arial"/>
          <w:sz w:val="17"/>
          <w:szCs w:val="17"/>
          <w:u w:val="single" w:color="auto"/>
          <w:color w:val="3051F2"/>
        </w:rPr>
        <w:t xml:space="preserve"> </w:t>
      </w:r>
      <w:hyperlink r:id="rId117">
        <w:r>
          <w:rPr>
            <w:rFonts w:ascii="Arial" w:cs="Arial" w:eastAsia="Arial" w:hAnsi="Arial"/>
            <w:sz w:val="17"/>
            <w:szCs w:val="17"/>
            <w:u w:val="single" w:color="auto"/>
            <w:color w:val="3051F2"/>
          </w:rPr>
          <w:t>16, 2015, by and between Gevo, Inc. and Patrick</w:t>
        </w:r>
      </w:hyperlink>
      <w:r>
        <w:rPr>
          <w:rFonts w:ascii="Arial" w:cs="Arial" w:eastAsia="Arial" w:hAnsi="Arial"/>
          <w:sz w:val="17"/>
          <w:szCs w:val="17"/>
          <w:u w:val="single" w:color="auto"/>
          <w:color w:val="3051F2"/>
        </w:rPr>
        <w:t xml:space="preserve"> </w:t>
      </w:r>
      <w:hyperlink r:id="rId117">
        <w:r>
          <w:rPr>
            <w:rFonts w:ascii="Arial" w:cs="Arial" w:eastAsia="Arial" w:hAnsi="Arial"/>
            <w:sz w:val="17"/>
            <w:szCs w:val="17"/>
            <w:u w:val="single" w:color="auto"/>
            <w:color w:val="3051F2"/>
          </w:rPr>
          <w:t>Gruber.</w:t>
        </w:r>
      </w:hyperlink>
    </w:p>
    <w:p>
      <w:pPr>
        <w:spacing w:after="0" w:line="270" w:lineRule="exact"/>
        <w:rPr>
          <w:rFonts w:ascii="Arial" w:cs="Arial" w:eastAsia="Arial" w:hAnsi="Arial"/>
          <w:sz w:val="17"/>
          <w:szCs w:val="17"/>
          <w:u w:val="single" w:color="auto"/>
          <w:color w:val="3051F2"/>
        </w:rPr>
      </w:pPr>
    </w:p>
    <w:p>
      <w:pPr>
        <w:ind w:left="1360" w:right="120" w:hanging="975"/>
        <w:spacing w:after="0" w:line="340" w:lineRule="auto"/>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10.14#</w:t>
      </w:r>
      <w:r>
        <w:rPr>
          <w:sz w:val="20"/>
          <w:szCs w:val="20"/>
          <w:color w:val="auto"/>
        </w:rPr>
        <w:tab/>
      </w:r>
      <w:hyperlink r:id="rId118">
        <w:r>
          <w:rPr>
            <w:rFonts w:ascii="Arial" w:cs="Arial" w:eastAsia="Arial" w:hAnsi="Arial"/>
            <w:sz w:val="15"/>
            <w:szCs w:val="15"/>
            <w:u w:val="single" w:color="auto"/>
            <w:color w:val="3051F2"/>
          </w:rPr>
          <w:t>Employment Agreement, dated June 4, 2010, by</w:t>
        </w:r>
      </w:hyperlink>
      <w:r>
        <w:rPr>
          <w:rFonts w:ascii="Arial" w:cs="Arial" w:eastAsia="Arial" w:hAnsi="Arial"/>
          <w:sz w:val="15"/>
          <w:szCs w:val="15"/>
          <w:u w:val="single" w:color="auto"/>
          <w:color w:val="3051F2"/>
        </w:rPr>
        <w:t xml:space="preserve"> </w:t>
      </w:r>
      <w:hyperlink r:id="rId118">
        <w:r>
          <w:rPr>
            <w:rFonts w:ascii="Arial" w:cs="Arial" w:eastAsia="Arial" w:hAnsi="Arial"/>
            <w:sz w:val="15"/>
            <w:szCs w:val="15"/>
            <w:u w:val="single" w:color="auto"/>
            <w:color w:val="3051F2"/>
          </w:rPr>
          <w:t>and between Gevo, Inc. and Christopher Ryan.</w:t>
        </w:r>
      </w:hyperlink>
    </w:p>
    <w:p>
      <w:pPr>
        <w:spacing w:after="0" w:line="230" w:lineRule="exact"/>
        <w:rPr>
          <w:sz w:val="20"/>
          <w:szCs w:val="20"/>
          <w:color w:val="auto"/>
        </w:rPr>
      </w:pPr>
    </w:p>
    <w:p>
      <w:pPr>
        <w:ind w:left="1360" w:hanging="975"/>
        <w:spacing w:after="0" w:line="264"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10.15#</w:t>
      </w:r>
      <w:r>
        <w:rPr>
          <w:sz w:val="20"/>
          <w:szCs w:val="20"/>
          <w:color w:val="auto"/>
        </w:rPr>
        <w:tab/>
      </w:r>
      <w:hyperlink r:id="rId119">
        <w:r>
          <w:rPr>
            <w:rFonts w:ascii="Arial" w:cs="Arial" w:eastAsia="Arial" w:hAnsi="Arial"/>
            <w:sz w:val="17"/>
            <w:szCs w:val="17"/>
            <w:u w:val="single" w:color="auto"/>
            <w:color w:val="3051F2"/>
          </w:rPr>
          <w:t>Offer of Employment Letter, dated December</w:t>
        </w:r>
      </w:hyperlink>
      <w:r>
        <w:rPr>
          <w:rFonts w:ascii="Arial" w:cs="Arial" w:eastAsia="Arial" w:hAnsi="Arial"/>
          <w:sz w:val="17"/>
          <w:szCs w:val="17"/>
          <w:u w:val="single" w:color="auto"/>
          <w:color w:val="3051F2"/>
        </w:rPr>
        <w:t xml:space="preserve"> </w:t>
      </w:r>
      <w:hyperlink r:id="rId119">
        <w:r>
          <w:rPr>
            <w:rFonts w:ascii="Arial" w:cs="Arial" w:eastAsia="Arial" w:hAnsi="Arial"/>
            <w:sz w:val="17"/>
            <w:szCs w:val="17"/>
            <w:u w:val="single" w:color="auto"/>
            <w:color w:val="3051F2"/>
          </w:rPr>
          <w:t>21,2015, by and between Gevo, Inc. and Geoffrey</w:t>
        </w:r>
      </w:hyperlink>
      <w:r>
        <w:rPr>
          <w:rFonts w:ascii="Arial" w:cs="Arial" w:eastAsia="Arial" w:hAnsi="Arial"/>
          <w:sz w:val="17"/>
          <w:szCs w:val="17"/>
          <w:u w:val="single" w:color="auto"/>
          <w:color w:val="3051F2"/>
        </w:rPr>
        <w:t xml:space="preserve"> </w:t>
      </w:r>
      <w:hyperlink r:id="rId119">
        <w:r>
          <w:rPr>
            <w:rFonts w:ascii="Arial" w:cs="Arial" w:eastAsia="Arial" w:hAnsi="Arial"/>
            <w:sz w:val="17"/>
            <w:szCs w:val="17"/>
            <w:u w:val="single" w:color="auto"/>
            <w:color w:val="3051F2"/>
          </w:rPr>
          <w:t>T. Williams, Jr.</w:t>
        </w:r>
      </w:hyperlink>
    </w:p>
    <w:p>
      <w:pPr>
        <w:spacing w:after="0" w:line="270" w:lineRule="exact"/>
        <w:rPr>
          <w:rFonts w:ascii="Arial" w:cs="Arial" w:eastAsia="Arial" w:hAnsi="Arial"/>
          <w:sz w:val="17"/>
          <w:szCs w:val="17"/>
          <w:u w:val="single" w:color="auto"/>
          <w:color w:val="3051F2"/>
        </w:rPr>
      </w:pPr>
    </w:p>
    <w:p>
      <w:pPr>
        <w:ind w:left="380"/>
        <w:spacing w:after="0"/>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10.16#</w:t>
      </w:r>
      <w:r>
        <w:rPr>
          <w:sz w:val="20"/>
          <w:szCs w:val="20"/>
          <w:color w:val="auto"/>
        </w:rPr>
        <w:tab/>
      </w:r>
      <w:hyperlink r:id="rId120">
        <w:r>
          <w:rPr>
            <w:rFonts w:ascii="Arial" w:cs="Arial" w:eastAsia="Arial" w:hAnsi="Arial"/>
            <w:sz w:val="15"/>
            <w:szCs w:val="15"/>
            <w:u w:val="single" w:color="auto"/>
            <w:color w:val="3051F2"/>
          </w:rPr>
          <w:t>Change of Control Agreement for Geoffrey T.</w:t>
        </w:r>
      </w:hyperlink>
    </w:p>
    <w:p>
      <w:pPr>
        <w:spacing w:after="0" w:line="15" w:lineRule="exact"/>
        <w:rPr>
          <w:rFonts w:ascii="Arial" w:cs="Arial" w:eastAsia="Arial" w:hAnsi="Arial"/>
          <w:sz w:val="17"/>
          <w:szCs w:val="17"/>
          <w:u w:val="single" w:color="auto"/>
          <w:color w:val="3051F2"/>
        </w:rPr>
      </w:pPr>
    </w:p>
    <w:p>
      <w:pPr>
        <w:ind w:left="1360"/>
        <w:spacing w:after="0"/>
        <w:rPr>
          <w:rFonts w:ascii="Arial" w:cs="Arial" w:eastAsia="Arial" w:hAnsi="Arial"/>
          <w:sz w:val="17"/>
          <w:szCs w:val="17"/>
          <w:u w:val="single" w:color="auto"/>
          <w:color w:val="3051F2"/>
        </w:rPr>
      </w:pPr>
      <w:hyperlink r:id="rId120">
        <w:r>
          <w:rPr>
            <w:rFonts w:ascii="Arial" w:cs="Arial" w:eastAsia="Arial" w:hAnsi="Arial"/>
            <w:sz w:val="17"/>
            <w:szCs w:val="17"/>
            <w:u w:val="single" w:color="auto"/>
            <w:color w:val="3051F2"/>
          </w:rPr>
          <w:t>Williams, Jr., dated February 18, 2016.</w:t>
        </w:r>
      </w:hyperlink>
    </w:p>
    <w:p>
      <w:pPr>
        <w:spacing w:after="0" w:line="313" w:lineRule="exact"/>
        <w:rPr>
          <w:rFonts w:ascii="Arial" w:cs="Arial" w:eastAsia="Arial" w:hAnsi="Arial"/>
          <w:sz w:val="17"/>
          <w:szCs w:val="17"/>
          <w:u w:val="single" w:color="auto"/>
          <w:color w:val="3051F2"/>
        </w:rPr>
      </w:pPr>
    </w:p>
    <w:p>
      <w:pPr>
        <w:ind w:left="1360" w:right="300" w:hanging="975"/>
        <w:spacing w:after="0" w:line="304" w:lineRule="auto"/>
        <w:tabs>
          <w:tab w:leader="none" w:pos="1340" w:val="left"/>
        </w:tabs>
        <w:rPr>
          <w:rFonts w:ascii="Arial" w:cs="Arial" w:eastAsia="Arial" w:hAnsi="Arial"/>
          <w:sz w:val="16"/>
          <w:szCs w:val="16"/>
          <w:u w:val="single" w:color="auto"/>
          <w:color w:val="3051F2"/>
        </w:rPr>
      </w:pPr>
      <w:r>
        <w:rPr>
          <w:rFonts w:ascii="Arial" w:cs="Arial" w:eastAsia="Arial" w:hAnsi="Arial"/>
          <w:sz w:val="17"/>
          <w:szCs w:val="17"/>
          <w:color w:val="auto"/>
        </w:rPr>
        <w:t>10.17#</w:t>
      </w:r>
      <w:r>
        <w:rPr>
          <w:sz w:val="20"/>
          <w:szCs w:val="20"/>
          <w:color w:val="auto"/>
        </w:rPr>
        <w:tab/>
      </w:r>
      <w:hyperlink r:id="rId121">
        <w:r>
          <w:rPr>
            <w:rFonts w:ascii="Arial" w:cs="Arial" w:eastAsia="Arial" w:hAnsi="Arial"/>
            <w:sz w:val="16"/>
            <w:szCs w:val="16"/>
            <w:u w:val="single" w:color="auto"/>
            <w:color w:val="3051F2"/>
          </w:rPr>
          <w:t>Offer Letter, dated November 9, 2019, by and</w:t>
        </w:r>
      </w:hyperlink>
      <w:r>
        <w:rPr>
          <w:rFonts w:ascii="Arial" w:cs="Arial" w:eastAsia="Arial" w:hAnsi="Arial"/>
          <w:sz w:val="16"/>
          <w:szCs w:val="16"/>
          <w:u w:val="single" w:color="auto"/>
          <w:color w:val="3051F2"/>
        </w:rPr>
        <w:t xml:space="preserve"> </w:t>
      </w:r>
      <w:hyperlink r:id="rId121">
        <w:r>
          <w:rPr>
            <w:rFonts w:ascii="Arial" w:cs="Arial" w:eastAsia="Arial" w:hAnsi="Arial"/>
            <w:sz w:val="16"/>
            <w:szCs w:val="16"/>
            <w:u w:val="single" w:color="auto"/>
            <w:color w:val="3051F2"/>
          </w:rPr>
          <w:t>between Gevo, Inc. and L. Lynn Smull.</w:t>
        </w:r>
      </w:hyperlink>
    </w:p>
    <w:p>
      <w:pPr>
        <w:spacing w:after="0" w:line="253" w:lineRule="exact"/>
        <w:rPr>
          <w:sz w:val="20"/>
          <w:szCs w:val="20"/>
          <w:color w:val="auto"/>
        </w:rPr>
      </w:pPr>
    </w:p>
    <w:p>
      <w:pPr>
        <w:jc w:val="right"/>
        <w:ind w:left="380" w:right="400"/>
        <w:spacing w:after="0" w:line="272" w:lineRule="auto"/>
        <w:rPr>
          <w:rFonts w:ascii="Arial" w:cs="Arial" w:eastAsia="Arial" w:hAnsi="Arial"/>
          <w:sz w:val="17"/>
          <w:szCs w:val="17"/>
          <w:u w:val="single" w:color="auto"/>
          <w:color w:val="3051F2"/>
        </w:rPr>
      </w:pPr>
      <w:r>
        <w:rPr>
          <w:rFonts w:ascii="Arial" w:cs="Arial" w:eastAsia="Arial" w:hAnsi="Arial"/>
          <w:sz w:val="17"/>
          <w:szCs w:val="17"/>
          <w:color w:val="auto"/>
        </w:rPr>
        <w:t xml:space="preserve">10.18#      </w:t>
      </w:r>
      <w:hyperlink r:id="rId122">
        <w:r>
          <w:rPr>
            <w:rFonts w:ascii="Arial" w:cs="Arial" w:eastAsia="Arial" w:hAnsi="Arial"/>
            <w:sz w:val="17"/>
            <w:szCs w:val="17"/>
            <w:u w:val="single" w:color="auto"/>
            <w:color w:val="3051F2"/>
          </w:rPr>
          <w:t>Offer Letter dated February 22, 2018 by and</w:t>
        </w:r>
      </w:hyperlink>
      <w:r>
        <w:rPr>
          <w:rFonts w:ascii="Arial" w:cs="Arial" w:eastAsia="Arial" w:hAnsi="Arial"/>
          <w:sz w:val="17"/>
          <w:szCs w:val="17"/>
          <w:color w:val="auto"/>
        </w:rPr>
        <w:t xml:space="preserve"> </w:t>
      </w:r>
      <w:hyperlink r:id="rId122">
        <w:r>
          <w:rPr>
            <w:rFonts w:ascii="Arial" w:cs="Arial" w:eastAsia="Arial" w:hAnsi="Arial"/>
            <w:sz w:val="17"/>
            <w:szCs w:val="17"/>
            <w:u w:val="single" w:color="auto"/>
            <w:color w:val="3051F2"/>
          </w:rPr>
          <w:t>between Gevo, Inc. and Timothy J. Cesarek</w:t>
        </w:r>
      </w:hyperlink>
    </w:p>
    <w:p>
      <w:pPr>
        <w:spacing w:after="0" w:line="276" w:lineRule="exact"/>
        <w:rPr>
          <w:sz w:val="20"/>
          <w:szCs w:val="20"/>
          <w:color w:val="auto"/>
        </w:rPr>
      </w:pPr>
    </w:p>
    <w:p>
      <w:pPr>
        <w:ind w:left="1360" w:right="320" w:hanging="975"/>
        <w:spacing w:after="0" w:line="272"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10.19#</w:t>
      </w:r>
      <w:r>
        <w:rPr>
          <w:sz w:val="20"/>
          <w:szCs w:val="20"/>
          <w:color w:val="auto"/>
        </w:rPr>
        <w:tab/>
      </w:r>
      <w:hyperlink r:id="rId123">
        <w:r>
          <w:rPr>
            <w:rFonts w:ascii="Arial" w:cs="Arial" w:eastAsia="Arial" w:hAnsi="Arial"/>
            <w:sz w:val="17"/>
            <w:szCs w:val="17"/>
            <w:u w:val="single" w:color="auto"/>
            <w:color w:val="3051F2"/>
          </w:rPr>
          <w:t>Offer Letter, dated February 16, 2021, by and</w:t>
        </w:r>
      </w:hyperlink>
      <w:r>
        <w:rPr>
          <w:rFonts w:ascii="Arial" w:cs="Arial" w:eastAsia="Arial" w:hAnsi="Arial"/>
          <w:sz w:val="17"/>
          <w:szCs w:val="17"/>
          <w:u w:val="single" w:color="auto"/>
          <w:color w:val="3051F2"/>
        </w:rPr>
        <w:t xml:space="preserve"> </w:t>
      </w:r>
      <w:hyperlink r:id="rId123">
        <w:r>
          <w:rPr>
            <w:rFonts w:ascii="Arial" w:cs="Arial" w:eastAsia="Arial" w:hAnsi="Arial"/>
            <w:sz w:val="17"/>
            <w:szCs w:val="17"/>
            <w:u w:val="single" w:color="auto"/>
            <w:color w:val="3051F2"/>
          </w:rPr>
          <w:t>between Gevo Inc. and Paul Bloom.</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78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File No.</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Filing 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Exhibit</w:t>
            </w:r>
          </w:p>
        </w:tc>
      </w:tr>
      <w:tr>
        <w:trPr>
          <w:trHeight w:val="235"/>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S-8</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333-172771</w:t>
            </w: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March 11, 2011</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4.7</w:t>
            </w:r>
          </w:p>
        </w:tc>
      </w:tr>
      <w:tr>
        <w:trPr>
          <w:trHeight w:val="510"/>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November 2, 2011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510"/>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January 19, 2011</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10.33</w:t>
            </w:r>
          </w:p>
        </w:tc>
      </w:tr>
      <w:tr>
        <w:trPr>
          <w:trHeight w:val="719"/>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November 4, 2010</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10.14</w:t>
            </w:r>
          </w:p>
        </w:tc>
      </w:tr>
      <w:tr>
        <w:trPr>
          <w:trHeight w:val="719"/>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December 27, 2011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91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17, 2015</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915"/>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333-168792</w:t>
            </w:r>
          </w:p>
        </w:tc>
        <w:tc>
          <w:tcPr>
            <w:tcW w:w="10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November 4, 2010</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10.16</w:t>
            </w:r>
          </w:p>
        </w:tc>
      </w:tr>
      <w:tr>
        <w:trPr>
          <w:trHeight w:val="719"/>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May 9, 2017</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915"/>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May 9, 2017</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r>
      <w:tr>
        <w:trPr>
          <w:trHeight w:val="719"/>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November 15, 2019</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719"/>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May 13, 2020</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719"/>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May 14,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70485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Filed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31750</wp:posOffset>
            </wp:positionV>
            <wp:extent cx="680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ectPr>
          <w:pgSz w:w="11900" w:h="16838" w:orient="portrait"/>
          <w:cols w:equalWidth="0" w:num="3">
            <w:col w:w="4840" w:space="140"/>
            <w:col w:w="5000" w:space="280"/>
            <w:col w:w="700"/>
          </w:cols>
          <w:pgMar w:left="320" w:top="127" w:right="6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5"/>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0000FF"/>
                <w:w w:val="92"/>
              </w:rPr>
              <w:t>Table of Contents</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62"/>
        </w:trPr>
        <w:tc>
          <w:tcPr>
            <w:tcW w:w="1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520"/>
              <w:spacing w:after="0"/>
              <w:rPr>
                <w:sz w:val="20"/>
                <w:szCs w:val="20"/>
                <w:color w:val="auto"/>
              </w:rPr>
            </w:pPr>
            <w:r>
              <w:rPr>
                <w:rFonts w:ascii="Arial" w:cs="Arial" w:eastAsia="Arial" w:hAnsi="Arial"/>
                <w:sz w:val="17"/>
                <w:szCs w:val="17"/>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r>
      <w:tr>
        <w:trPr>
          <w:trHeight w:val="191"/>
        </w:trPr>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7"/>
                <w:szCs w:val="17"/>
                <w:b w:val="1"/>
                <w:bCs w:val="1"/>
                <w:color w:val="auto"/>
                <w:w w:val="98"/>
              </w:rPr>
              <w:t>Exhibit</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7"/>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No.</w:t>
            </w: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16"/>
          </w:tcPr>
          <w:p>
            <w:pPr>
              <w:ind w:left="160"/>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File No.</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Filing Date</w:t>
            </w:r>
          </w:p>
        </w:tc>
        <w:tc>
          <w:tcPr>
            <w:tcW w:w="100" w:type="dxa"/>
            <w:vAlign w:val="bottom"/>
          </w:tcPr>
          <w:p>
            <w:pPr>
              <w:spacing w:after="0"/>
              <w:rPr>
                <w:sz w:val="21"/>
                <w:szCs w:val="21"/>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Exhibit</w:t>
            </w:r>
          </w:p>
        </w:tc>
      </w:tr>
      <w:tr>
        <w:trPr>
          <w:trHeight w:val="196"/>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10.20+†</w:t>
            </w:r>
          </w:p>
        </w:tc>
        <w:tc>
          <w:tcPr>
            <w:tcW w:w="20" w:type="dxa"/>
            <w:vAlign w:val="bottom"/>
          </w:tcPr>
          <w:p>
            <w:pPr>
              <w:spacing w:after="0"/>
              <w:rPr>
                <w:sz w:val="17"/>
                <w:szCs w:val="17"/>
                <w:color w:val="auto"/>
              </w:rPr>
            </w:pPr>
          </w:p>
        </w:tc>
        <w:tc>
          <w:tcPr>
            <w:tcW w:w="3300" w:type="dxa"/>
            <w:vAlign w:val="bottom"/>
            <w:tcBorders>
              <w:bottom w:val="single" w:sz="8" w:color="3051F2"/>
            </w:tcBorders>
            <w:gridSpan w:val="12"/>
          </w:tcPr>
          <w:p>
            <w:pPr>
              <w:spacing w:after="0"/>
              <w:rPr>
                <w:rFonts w:ascii="Arial" w:cs="Arial" w:eastAsia="Arial" w:hAnsi="Arial"/>
                <w:sz w:val="17"/>
                <w:szCs w:val="17"/>
                <w:color w:val="3051F2"/>
                <w:w w:val="90"/>
              </w:rPr>
            </w:pPr>
            <w:hyperlink r:id="rId127">
              <w:r>
                <w:rPr>
                  <w:rFonts w:ascii="Arial" w:cs="Arial" w:eastAsia="Arial" w:hAnsi="Arial"/>
                  <w:sz w:val="17"/>
                  <w:szCs w:val="17"/>
                  <w:color w:val="3051F2"/>
                  <w:w w:val="90"/>
                </w:rPr>
                <w:t>Fuel Sales Agreement, dated October 28, 2019,</w:t>
              </w:r>
            </w:hyperlink>
          </w:p>
        </w:tc>
        <w:tc>
          <w:tcPr>
            <w:tcW w:w="320" w:type="dxa"/>
            <w:vAlign w:val="bottom"/>
            <w:gridSpan w:val="7"/>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22,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bottom w:val="single" w:sz="8" w:color="3051F2"/>
            </w:tcBorders>
            <w:gridSpan w:val="8"/>
          </w:tcPr>
          <w:p>
            <w:pPr>
              <w:spacing w:after="0" w:line="176" w:lineRule="exact"/>
              <w:rPr>
                <w:rFonts w:ascii="Arial" w:cs="Arial" w:eastAsia="Arial" w:hAnsi="Arial"/>
                <w:sz w:val="17"/>
                <w:szCs w:val="17"/>
                <w:color w:val="3051F2"/>
                <w:w w:val="91"/>
              </w:rPr>
            </w:pPr>
            <w:hyperlink r:id="rId127">
              <w:r>
                <w:rPr>
                  <w:rFonts w:ascii="Arial" w:cs="Arial" w:eastAsia="Arial" w:hAnsi="Arial"/>
                  <w:sz w:val="17"/>
                  <w:szCs w:val="17"/>
                  <w:color w:val="3051F2"/>
                  <w:w w:val="91"/>
                </w:rPr>
                <w:t>by and between Gevo, Inc. and Scandinavian</w:t>
              </w:r>
            </w:hyperlink>
          </w:p>
        </w:tc>
        <w:tc>
          <w:tcPr>
            <w:tcW w:w="480" w:type="dxa"/>
            <w:vAlign w:val="bottom"/>
            <w:gridSpan w:val="11"/>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3051F2"/>
            </w:tcBorders>
            <w:gridSpan w:val="2"/>
          </w:tcPr>
          <w:p>
            <w:pPr>
              <w:spacing w:after="0" w:line="189" w:lineRule="exact"/>
              <w:rPr>
                <w:rFonts w:ascii="Arial" w:cs="Arial" w:eastAsia="Arial" w:hAnsi="Arial"/>
                <w:sz w:val="17"/>
                <w:szCs w:val="17"/>
                <w:color w:val="3051F2"/>
                <w:w w:val="93"/>
              </w:rPr>
            </w:pPr>
            <w:hyperlink r:id="rId127">
              <w:r>
                <w:rPr>
                  <w:rFonts w:ascii="Arial" w:cs="Arial" w:eastAsia="Arial" w:hAnsi="Arial"/>
                  <w:sz w:val="17"/>
                  <w:szCs w:val="17"/>
                  <w:color w:val="3051F2"/>
                  <w:w w:val="93"/>
                </w:rPr>
                <w:t>Airlines System.</w:t>
              </w:r>
            </w:hyperlink>
          </w:p>
        </w:tc>
        <w:tc>
          <w:tcPr>
            <w:tcW w:w="2460" w:type="dxa"/>
            <w:vAlign w:val="bottom"/>
            <w:gridSpan w:val="17"/>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90"/>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10.21+†</w:t>
            </w:r>
          </w:p>
        </w:tc>
        <w:tc>
          <w:tcPr>
            <w:tcW w:w="20" w:type="dxa"/>
            <w:vAlign w:val="bottom"/>
          </w:tcPr>
          <w:p>
            <w:pPr>
              <w:spacing w:after="0"/>
              <w:rPr>
                <w:sz w:val="24"/>
                <w:szCs w:val="24"/>
                <w:color w:val="auto"/>
              </w:rPr>
            </w:pPr>
          </w:p>
        </w:tc>
        <w:tc>
          <w:tcPr>
            <w:tcW w:w="3100" w:type="dxa"/>
            <w:vAlign w:val="bottom"/>
            <w:tcBorders>
              <w:bottom w:val="single" w:sz="8" w:color="3051F2"/>
            </w:tcBorders>
            <w:gridSpan w:val="7"/>
          </w:tcPr>
          <w:p>
            <w:pPr>
              <w:spacing w:after="0"/>
              <w:rPr>
                <w:rFonts w:ascii="Arial" w:cs="Arial" w:eastAsia="Arial" w:hAnsi="Arial"/>
                <w:sz w:val="17"/>
                <w:szCs w:val="17"/>
                <w:color w:val="3051F2"/>
                <w:w w:val="92"/>
              </w:rPr>
            </w:pPr>
            <w:hyperlink r:id="rId128">
              <w:r>
                <w:rPr>
                  <w:rFonts w:ascii="Arial" w:cs="Arial" w:eastAsia="Arial" w:hAnsi="Arial"/>
                  <w:sz w:val="17"/>
                  <w:szCs w:val="17"/>
                  <w:color w:val="3051F2"/>
                  <w:w w:val="92"/>
                </w:rPr>
                <w:t>Amendment No. 1 to Fuel Sales Agreement,</w:t>
              </w:r>
            </w:hyperlink>
          </w:p>
        </w:tc>
        <w:tc>
          <w:tcPr>
            <w:tcW w:w="520" w:type="dxa"/>
            <w:vAlign w:val="bottom"/>
            <w:gridSpan w:val="12"/>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22,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19"/>
          </w:tcPr>
          <w:p>
            <w:pPr>
              <w:spacing w:after="0" w:line="176" w:lineRule="exact"/>
              <w:rPr>
                <w:rFonts w:ascii="Arial" w:cs="Arial" w:eastAsia="Arial" w:hAnsi="Arial"/>
                <w:sz w:val="17"/>
                <w:szCs w:val="17"/>
                <w:color w:val="3051F2"/>
                <w:w w:val="98"/>
              </w:rPr>
            </w:pPr>
            <w:hyperlink r:id="rId128">
              <w:r>
                <w:rPr>
                  <w:rFonts w:ascii="Arial" w:cs="Arial" w:eastAsia="Arial" w:hAnsi="Arial"/>
                  <w:sz w:val="17"/>
                  <w:szCs w:val="17"/>
                  <w:color w:val="3051F2"/>
                  <w:w w:val="98"/>
                </w:rPr>
                <w:t>dated February 16, 2021, by and between Gevo,</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Borders>
              <w:top w:val="single" w:sz="8" w:color="3051F2"/>
            </w:tcBorders>
            <w:gridSpan w:val="14"/>
          </w:tcPr>
          <w:p>
            <w:pPr>
              <w:spacing w:after="0" w:line="189" w:lineRule="exact"/>
              <w:rPr>
                <w:rFonts w:ascii="Arial" w:cs="Arial" w:eastAsia="Arial" w:hAnsi="Arial"/>
                <w:sz w:val="17"/>
                <w:szCs w:val="17"/>
                <w:color w:val="3051F2"/>
              </w:rPr>
            </w:pPr>
            <w:hyperlink r:id="rId128">
              <w:r>
                <w:rPr>
                  <w:rFonts w:ascii="Arial" w:cs="Arial" w:eastAsia="Arial" w:hAnsi="Arial"/>
                  <w:sz w:val="17"/>
                  <w:szCs w:val="17"/>
                  <w:color w:val="3051F2"/>
                </w:rPr>
                <w:t>Inc. and Scandinavian Airlines System.</w:t>
              </w:r>
            </w:hyperlink>
          </w:p>
        </w:tc>
        <w:tc>
          <w:tcPr>
            <w:tcW w:w="28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1000" w:type="dxa"/>
            <w:vAlign w:val="bottom"/>
            <w:tcBorders>
              <w:right w:val="single" w:sz="8" w:color="3051F2"/>
            </w:tcBorders>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90"/>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10.22†</w:t>
            </w:r>
          </w:p>
        </w:tc>
        <w:tc>
          <w:tcPr>
            <w:tcW w:w="20" w:type="dxa"/>
            <w:vAlign w:val="bottom"/>
          </w:tcPr>
          <w:p>
            <w:pPr>
              <w:spacing w:after="0"/>
              <w:rPr>
                <w:sz w:val="24"/>
                <w:szCs w:val="24"/>
                <w:color w:val="auto"/>
              </w:rPr>
            </w:pPr>
          </w:p>
        </w:tc>
        <w:tc>
          <w:tcPr>
            <w:tcW w:w="3620" w:type="dxa"/>
            <w:vAlign w:val="bottom"/>
            <w:gridSpan w:val="19"/>
          </w:tcPr>
          <w:p>
            <w:pPr>
              <w:spacing w:after="0"/>
              <w:rPr>
                <w:rFonts w:ascii="Arial" w:cs="Arial" w:eastAsia="Arial" w:hAnsi="Arial"/>
                <w:sz w:val="17"/>
                <w:szCs w:val="17"/>
                <w:color w:val="3051F2"/>
              </w:rPr>
            </w:pPr>
            <w:hyperlink r:id="rId129">
              <w:r>
                <w:rPr>
                  <w:rFonts w:ascii="Arial" w:cs="Arial" w:eastAsia="Arial" w:hAnsi="Arial"/>
                  <w:sz w:val="17"/>
                  <w:szCs w:val="17"/>
                  <w:color w:val="3051F2"/>
                </w:rPr>
                <w:t>At-The-Market Offering Agreement, dated</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February 13,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1.1</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1000" w:type="dxa"/>
            <w:vAlign w:val="bottom"/>
            <w:tcBorders>
              <w:righ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bottom w:val="single" w:sz="8" w:color="3051F2"/>
            </w:tcBorders>
            <w:gridSpan w:val="16"/>
          </w:tcPr>
          <w:p>
            <w:pPr>
              <w:spacing w:after="0" w:line="176" w:lineRule="exact"/>
              <w:rPr>
                <w:rFonts w:ascii="Arial" w:cs="Arial" w:eastAsia="Arial" w:hAnsi="Arial"/>
                <w:sz w:val="17"/>
                <w:szCs w:val="17"/>
                <w:color w:val="3051F2"/>
                <w:w w:val="92"/>
              </w:rPr>
            </w:pPr>
            <w:hyperlink r:id="rId129">
              <w:r>
                <w:rPr>
                  <w:rFonts w:ascii="Arial" w:cs="Arial" w:eastAsia="Arial" w:hAnsi="Arial"/>
                  <w:sz w:val="17"/>
                  <w:szCs w:val="17"/>
                  <w:color w:val="3051F2"/>
                  <w:w w:val="92"/>
                </w:rPr>
                <w:t>February 13, 2018, between Gevo, Inc. and H.C.</w:t>
              </w:r>
            </w:hyperlink>
          </w:p>
        </w:tc>
        <w:tc>
          <w:tcPr>
            <w:tcW w:w="22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19"/>
          </w:tcPr>
          <w:p>
            <w:pPr>
              <w:spacing w:after="0" w:line="189" w:lineRule="exact"/>
              <w:rPr>
                <w:rFonts w:ascii="Arial" w:cs="Arial" w:eastAsia="Arial" w:hAnsi="Arial"/>
                <w:sz w:val="17"/>
                <w:szCs w:val="17"/>
                <w:color w:val="3051F2"/>
              </w:rPr>
            </w:pPr>
            <w:hyperlink r:id="rId129">
              <w:r>
                <w:rPr>
                  <w:rFonts w:ascii="Arial" w:cs="Arial" w:eastAsia="Arial" w:hAnsi="Arial"/>
                  <w:sz w:val="17"/>
                  <w:szCs w:val="17"/>
                  <w:color w:val="3051F2"/>
                </w:rPr>
                <w:t>Wainwright &amp; Co., LLC.</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9"/>
          </w:tcPr>
          <w:p>
            <w:pPr>
              <w:spacing w:after="0"/>
              <w:rPr>
                <w:rFonts w:ascii="Arial" w:cs="Arial" w:eastAsia="Arial" w:hAnsi="Arial"/>
                <w:sz w:val="17"/>
                <w:szCs w:val="17"/>
                <w:color w:val="3051F2"/>
              </w:rPr>
            </w:pPr>
            <w:hyperlink r:id="rId130">
              <w:r>
                <w:rPr>
                  <w:rFonts w:ascii="Arial" w:cs="Arial" w:eastAsia="Arial" w:hAnsi="Arial"/>
                  <w:sz w:val="17"/>
                  <w:szCs w:val="17"/>
                  <w:color w:val="3051F2"/>
                </w:rPr>
                <w:t>Amendment to At-The-Market Offering</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June 20,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1.2</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720" w:type="dxa"/>
            <w:vAlign w:val="bottom"/>
            <w:tcBorders>
              <w:righ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3051F2"/>
            </w:tcBorders>
            <w:gridSpan w:val="11"/>
          </w:tcPr>
          <w:p>
            <w:pPr>
              <w:spacing w:after="0" w:line="176" w:lineRule="exact"/>
              <w:rPr>
                <w:rFonts w:ascii="Arial" w:cs="Arial" w:eastAsia="Arial" w:hAnsi="Arial"/>
                <w:sz w:val="17"/>
                <w:szCs w:val="17"/>
                <w:color w:val="3051F2"/>
                <w:w w:val="91"/>
              </w:rPr>
            </w:pPr>
            <w:hyperlink r:id="rId130">
              <w:r>
                <w:rPr>
                  <w:rFonts w:ascii="Arial" w:cs="Arial" w:eastAsia="Arial" w:hAnsi="Arial"/>
                  <w:sz w:val="17"/>
                  <w:szCs w:val="17"/>
                  <w:color w:val="3051F2"/>
                  <w:w w:val="91"/>
                </w:rPr>
                <w:t>Agreement and Engagement Agreement, dated</w:t>
              </w:r>
            </w:hyperlink>
          </w:p>
        </w:tc>
        <w:tc>
          <w:tcPr>
            <w:tcW w:w="34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3051F2"/>
            </w:tcBorders>
            <w:gridSpan w:val="6"/>
          </w:tcPr>
          <w:p>
            <w:pPr>
              <w:spacing w:after="0" w:line="189" w:lineRule="exact"/>
              <w:rPr>
                <w:rFonts w:ascii="Arial" w:cs="Arial" w:eastAsia="Arial" w:hAnsi="Arial"/>
                <w:sz w:val="17"/>
                <w:szCs w:val="17"/>
                <w:color w:val="3051F2"/>
                <w:w w:val="91"/>
              </w:rPr>
            </w:pPr>
            <w:hyperlink r:id="rId130">
              <w:r>
                <w:rPr>
                  <w:rFonts w:ascii="Arial" w:cs="Arial" w:eastAsia="Arial" w:hAnsi="Arial"/>
                  <w:sz w:val="17"/>
                  <w:szCs w:val="17"/>
                  <w:color w:val="3051F2"/>
                  <w:w w:val="91"/>
                </w:rPr>
                <w:t>June 20, 2018, between Gevo, Inc. and H.C.</w:t>
              </w:r>
            </w:hyperlink>
          </w:p>
        </w:tc>
        <w:tc>
          <w:tcPr>
            <w:tcW w:w="540" w:type="dxa"/>
            <w:vAlign w:val="bottom"/>
            <w:gridSpan w:val="13"/>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19"/>
          </w:tcPr>
          <w:p>
            <w:pPr>
              <w:spacing w:after="0" w:line="176" w:lineRule="exact"/>
              <w:rPr>
                <w:rFonts w:ascii="Arial" w:cs="Arial" w:eastAsia="Arial" w:hAnsi="Arial"/>
                <w:sz w:val="17"/>
                <w:szCs w:val="17"/>
                <w:color w:val="3051F2"/>
              </w:rPr>
            </w:pPr>
            <w:hyperlink r:id="rId130">
              <w:r>
                <w:rPr>
                  <w:rFonts w:ascii="Arial" w:cs="Arial" w:eastAsia="Arial" w:hAnsi="Arial"/>
                  <w:sz w:val="17"/>
                  <w:szCs w:val="17"/>
                  <w:color w:val="3051F2"/>
                </w:rPr>
                <w:t>Wainwright &amp; Co., LLC.</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7"/>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10.24†</w:t>
            </w:r>
          </w:p>
        </w:tc>
        <w:tc>
          <w:tcPr>
            <w:tcW w:w="20" w:type="dxa"/>
            <w:vAlign w:val="bottom"/>
          </w:tcPr>
          <w:p>
            <w:pPr>
              <w:spacing w:after="0"/>
              <w:rPr>
                <w:sz w:val="24"/>
                <w:szCs w:val="24"/>
                <w:color w:val="auto"/>
              </w:rPr>
            </w:pPr>
          </w:p>
        </w:tc>
        <w:tc>
          <w:tcPr>
            <w:tcW w:w="3620" w:type="dxa"/>
            <w:vAlign w:val="bottom"/>
            <w:gridSpan w:val="19"/>
          </w:tcPr>
          <w:p>
            <w:pPr>
              <w:spacing w:after="0"/>
              <w:rPr>
                <w:rFonts w:ascii="Arial" w:cs="Arial" w:eastAsia="Arial" w:hAnsi="Arial"/>
                <w:sz w:val="17"/>
                <w:szCs w:val="17"/>
                <w:color w:val="3051F2"/>
              </w:rPr>
            </w:pPr>
            <w:hyperlink r:id="rId131">
              <w:r>
                <w:rPr>
                  <w:rFonts w:ascii="Arial" w:cs="Arial" w:eastAsia="Arial" w:hAnsi="Arial"/>
                  <w:sz w:val="17"/>
                  <w:szCs w:val="17"/>
                  <w:color w:val="3051F2"/>
                </w:rPr>
                <w:t>Amendment to At-The-Market Offering</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June 25,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1.3</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720" w:type="dxa"/>
            <w:vAlign w:val="bottom"/>
            <w:tcBorders>
              <w:righ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19"/>
          </w:tcPr>
          <w:p>
            <w:pPr>
              <w:spacing w:after="0" w:line="176" w:lineRule="exact"/>
              <w:rPr>
                <w:rFonts w:ascii="Arial" w:cs="Arial" w:eastAsia="Arial" w:hAnsi="Arial"/>
                <w:sz w:val="17"/>
                <w:szCs w:val="17"/>
                <w:color w:val="3051F2"/>
                <w:w w:val="96"/>
              </w:rPr>
            </w:pPr>
            <w:hyperlink r:id="rId131">
              <w:r>
                <w:rPr>
                  <w:rFonts w:ascii="Arial" w:cs="Arial" w:eastAsia="Arial" w:hAnsi="Arial"/>
                  <w:sz w:val="17"/>
                  <w:szCs w:val="17"/>
                  <w:color w:val="3051F2"/>
                  <w:w w:val="96"/>
                </w:rPr>
                <w:t>Agreement, dated June 25, 2018, between Gevo,</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40" w:type="dxa"/>
            <w:vAlign w:val="bottom"/>
            <w:tcBorders>
              <w:top w:val="single" w:sz="8" w:color="3051F2"/>
              <w:bottom w:val="single" w:sz="8" w:color="3051F2"/>
            </w:tcBorders>
            <w:gridSpan w:val="4"/>
          </w:tcPr>
          <w:p>
            <w:pPr>
              <w:spacing w:after="0" w:line="189" w:lineRule="exact"/>
              <w:rPr>
                <w:rFonts w:ascii="Arial" w:cs="Arial" w:eastAsia="Arial" w:hAnsi="Arial"/>
                <w:sz w:val="17"/>
                <w:szCs w:val="17"/>
                <w:color w:val="3051F2"/>
                <w:w w:val="96"/>
              </w:rPr>
            </w:pPr>
            <w:hyperlink r:id="rId131">
              <w:r>
                <w:rPr>
                  <w:rFonts w:ascii="Arial" w:cs="Arial" w:eastAsia="Arial" w:hAnsi="Arial"/>
                  <w:sz w:val="17"/>
                  <w:szCs w:val="17"/>
                  <w:color w:val="3051F2"/>
                  <w:w w:val="96"/>
                </w:rPr>
                <w:t>Inc. and H.C. Wainwright &amp; Co., LLC.</w:t>
              </w:r>
            </w:hyperlink>
          </w:p>
        </w:tc>
        <w:tc>
          <w:tcPr>
            <w:tcW w:w="640" w:type="dxa"/>
            <w:vAlign w:val="bottom"/>
            <w:tcBorders>
              <w:top w:val="single" w:sz="8" w:color="3051F2"/>
            </w:tcBorders>
            <w:gridSpan w:val="11"/>
          </w:tcPr>
          <w:p>
            <w:pPr>
              <w:spacing w:after="0"/>
              <w:rPr>
                <w:sz w:val="16"/>
                <w:szCs w:val="16"/>
                <w:color w:val="auto"/>
              </w:rPr>
            </w:pPr>
          </w:p>
        </w:tc>
        <w:tc>
          <w:tcPr>
            <w:tcW w:w="24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9"/>
          </w:tcPr>
          <w:p>
            <w:pPr>
              <w:spacing w:after="0"/>
              <w:rPr>
                <w:rFonts w:ascii="Arial" w:cs="Arial" w:eastAsia="Arial" w:hAnsi="Arial"/>
                <w:sz w:val="17"/>
                <w:szCs w:val="17"/>
                <w:color w:val="3051F2"/>
              </w:rPr>
            </w:pPr>
            <w:hyperlink r:id="rId132">
              <w:r>
                <w:rPr>
                  <w:rFonts w:ascii="Arial" w:cs="Arial" w:eastAsia="Arial" w:hAnsi="Arial"/>
                  <w:sz w:val="17"/>
                  <w:szCs w:val="17"/>
                  <w:color w:val="3051F2"/>
                </w:rPr>
                <w:t>Amendment to At-The-Market Offering</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June 28, 2018</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1.4</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720" w:type="dxa"/>
            <w:vAlign w:val="bottom"/>
            <w:tcBorders>
              <w:righ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3051F2"/>
            </w:tcBorders>
            <w:gridSpan w:val="11"/>
          </w:tcPr>
          <w:p>
            <w:pPr>
              <w:spacing w:after="0" w:line="176" w:lineRule="exact"/>
              <w:rPr>
                <w:rFonts w:ascii="Arial" w:cs="Arial" w:eastAsia="Arial" w:hAnsi="Arial"/>
                <w:sz w:val="17"/>
                <w:szCs w:val="17"/>
                <w:color w:val="3051F2"/>
                <w:w w:val="91"/>
              </w:rPr>
            </w:pPr>
            <w:hyperlink r:id="rId132">
              <w:r>
                <w:rPr>
                  <w:rFonts w:ascii="Arial" w:cs="Arial" w:eastAsia="Arial" w:hAnsi="Arial"/>
                  <w:sz w:val="17"/>
                  <w:szCs w:val="17"/>
                  <w:color w:val="3051F2"/>
                  <w:w w:val="91"/>
                </w:rPr>
                <w:t>Agreement and Engagement Agreement, dated</w:t>
              </w:r>
            </w:hyperlink>
          </w:p>
        </w:tc>
        <w:tc>
          <w:tcPr>
            <w:tcW w:w="34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3051F2"/>
            </w:tcBorders>
            <w:gridSpan w:val="6"/>
          </w:tcPr>
          <w:p>
            <w:pPr>
              <w:spacing w:after="0" w:line="189" w:lineRule="exact"/>
              <w:rPr>
                <w:rFonts w:ascii="Arial" w:cs="Arial" w:eastAsia="Arial" w:hAnsi="Arial"/>
                <w:sz w:val="17"/>
                <w:szCs w:val="17"/>
                <w:color w:val="3051F2"/>
                <w:w w:val="91"/>
              </w:rPr>
            </w:pPr>
            <w:hyperlink r:id="rId132">
              <w:r>
                <w:rPr>
                  <w:rFonts w:ascii="Arial" w:cs="Arial" w:eastAsia="Arial" w:hAnsi="Arial"/>
                  <w:sz w:val="17"/>
                  <w:szCs w:val="17"/>
                  <w:color w:val="3051F2"/>
                  <w:w w:val="91"/>
                </w:rPr>
                <w:t>June 28, 2018, between Gevo, Inc. and H.C.</w:t>
              </w:r>
            </w:hyperlink>
          </w:p>
        </w:tc>
        <w:tc>
          <w:tcPr>
            <w:tcW w:w="540" w:type="dxa"/>
            <w:vAlign w:val="bottom"/>
            <w:gridSpan w:val="13"/>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19"/>
          </w:tcPr>
          <w:p>
            <w:pPr>
              <w:spacing w:after="0" w:line="176" w:lineRule="exact"/>
              <w:rPr>
                <w:rFonts w:ascii="Arial" w:cs="Arial" w:eastAsia="Arial" w:hAnsi="Arial"/>
                <w:sz w:val="17"/>
                <w:szCs w:val="17"/>
                <w:color w:val="3051F2"/>
              </w:rPr>
            </w:pPr>
            <w:hyperlink r:id="rId132">
              <w:r>
                <w:rPr>
                  <w:rFonts w:ascii="Arial" w:cs="Arial" w:eastAsia="Arial" w:hAnsi="Arial"/>
                  <w:sz w:val="17"/>
                  <w:szCs w:val="17"/>
                  <w:color w:val="3051F2"/>
                </w:rPr>
                <w:t>Wainwright &amp; Co., LLC.</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9"/>
          </w:tcPr>
          <w:p>
            <w:pPr>
              <w:spacing w:after="0"/>
              <w:rPr>
                <w:rFonts w:ascii="Arial" w:cs="Arial" w:eastAsia="Arial" w:hAnsi="Arial"/>
                <w:sz w:val="17"/>
                <w:szCs w:val="17"/>
                <w:color w:val="3051F2"/>
              </w:rPr>
            </w:pPr>
            <w:hyperlink r:id="rId133">
              <w:r>
                <w:rPr>
                  <w:rFonts w:ascii="Arial" w:cs="Arial" w:eastAsia="Arial" w:hAnsi="Arial"/>
                  <w:sz w:val="17"/>
                  <w:szCs w:val="17"/>
                  <w:color w:val="3051F2"/>
                </w:rPr>
                <w:t>Amendment to At-The-Market Offering</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August 15, 2019</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1.5</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720" w:type="dxa"/>
            <w:vAlign w:val="bottom"/>
            <w:tcBorders>
              <w:righ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3051F2"/>
            </w:tcBorders>
            <w:gridSpan w:val="11"/>
          </w:tcPr>
          <w:p>
            <w:pPr>
              <w:spacing w:after="0" w:line="176" w:lineRule="exact"/>
              <w:rPr>
                <w:rFonts w:ascii="Arial" w:cs="Arial" w:eastAsia="Arial" w:hAnsi="Arial"/>
                <w:sz w:val="17"/>
                <w:szCs w:val="17"/>
                <w:color w:val="3051F2"/>
                <w:w w:val="91"/>
              </w:rPr>
            </w:pPr>
            <w:hyperlink r:id="rId133">
              <w:r>
                <w:rPr>
                  <w:rFonts w:ascii="Arial" w:cs="Arial" w:eastAsia="Arial" w:hAnsi="Arial"/>
                  <w:sz w:val="17"/>
                  <w:szCs w:val="17"/>
                  <w:color w:val="3051F2"/>
                  <w:w w:val="91"/>
                </w:rPr>
                <w:t>Agreement and Engagement Agreement, dated</w:t>
              </w:r>
            </w:hyperlink>
          </w:p>
        </w:tc>
        <w:tc>
          <w:tcPr>
            <w:tcW w:w="34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tcBorders>
              <w:bottom w:val="single" w:sz="8" w:color="3051F2"/>
            </w:tcBorders>
            <w:gridSpan w:val="11"/>
          </w:tcPr>
          <w:p>
            <w:pPr>
              <w:spacing w:after="0" w:line="189" w:lineRule="exact"/>
              <w:rPr>
                <w:rFonts w:ascii="Arial" w:cs="Arial" w:eastAsia="Arial" w:hAnsi="Arial"/>
                <w:sz w:val="17"/>
                <w:szCs w:val="17"/>
                <w:color w:val="3051F2"/>
                <w:w w:val="92"/>
              </w:rPr>
            </w:pPr>
            <w:hyperlink r:id="rId133">
              <w:r>
                <w:rPr>
                  <w:rFonts w:ascii="Arial" w:cs="Arial" w:eastAsia="Arial" w:hAnsi="Arial"/>
                  <w:sz w:val="17"/>
                  <w:szCs w:val="17"/>
                  <w:color w:val="3051F2"/>
                  <w:w w:val="92"/>
                </w:rPr>
                <w:t>August 15, 2019, between Gevo, Inc. and H.C.</w:t>
              </w:r>
            </w:hyperlink>
          </w:p>
        </w:tc>
        <w:tc>
          <w:tcPr>
            <w:tcW w:w="340" w:type="dxa"/>
            <w:vAlign w:val="bottom"/>
            <w:gridSpan w:val="8"/>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19"/>
          </w:tcPr>
          <w:p>
            <w:pPr>
              <w:spacing w:after="0" w:line="176" w:lineRule="exact"/>
              <w:rPr>
                <w:rFonts w:ascii="Arial" w:cs="Arial" w:eastAsia="Arial" w:hAnsi="Arial"/>
                <w:sz w:val="17"/>
                <w:szCs w:val="17"/>
                <w:color w:val="3051F2"/>
              </w:rPr>
            </w:pPr>
            <w:hyperlink r:id="rId133">
              <w:r>
                <w:rPr>
                  <w:rFonts w:ascii="Arial" w:cs="Arial" w:eastAsia="Arial" w:hAnsi="Arial"/>
                  <w:sz w:val="17"/>
                  <w:szCs w:val="17"/>
                  <w:color w:val="3051F2"/>
                </w:rPr>
                <w:t>Wainwright &amp; Co., LLC.</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720" w:type="dxa"/>
            <w:vAlign w:val="bottom"/>
            <w:gridSpan w:val="2"/>
            <w:shd w:val="clear" w:color="auto" w:fill="3051F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9"/>
          </w:tcPr>
          <w:p>
            <w:pPr>
              <w:spacing w:after="0"/>
              <w:rPr>
                <w:rFonts w:ascii="Arial" w:cs="Arial" w:eastAsia="Arial" w:hAnsi="Arial"/>
                <w:sz w:val="17"/>
                <w:szCs w:val="17"/>
                <w:color w:val="3051F2"/>
              </w:rPr>
            </w:pPr>
            <w:hyperlink r:id="rId134">
              <w:r>
                <w:rPr>
                  <w:rFonts w:ascii="Arial" w:cs="Arial" w:eastAsia="Arial" w:hAnsi="Arial"/>
                  <w:sz w:val="17"/>
                  <w:szCs w:val="17"/>
                  <w:color w:val="3051F2"/>
                </w:rPr>
                <w:t>Amendment to At-The-Market Offering</w:t>
              </w:r>
            </w:hyperlink>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December 30, 2020</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720" w:type="dxa"/>
            <w:vAlign w:val="bottom"/>
            <w:tcBorders>
              <w:righ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bottom w:val="single" w:sz="8" w:color="3051F2"/>
            </w:tcBorders>
            <w:gridSpan w:val="13"/>
          </w:tcPr>
          <w:p>
            <w:pPr>
              <w:spacing w:after="0" w:line="176" w:lineRule="exact"/>
              <w:rPr>
                <w:rFonts w:ascii="Arial" w:cs="Arial" w:eastAsia="Arial" w:hAnsi="Arial"/>
                <w:sz w:val="17"/>
                <w:szCs w:val="17"/>
                <w:color w:val="3051F2"/>
                <w:w w:val="90"/>
              </w:rPr>
            </w:pPr>
            <w:hyperlink r:id="rId134">
              <w:r>
                <w:rPr>
                  <w:rFonts w:ascii="Arial" w:cs="Arial" w:eastAsia="Arial" w:hAnsi="Arial"/>
                  <w:sz w:val="17"/>
                  <w:szCs w:val="17"/>
                  <w:color w:val="3051F2"/>
                  <w:w w:val="90"/>
                </w:rPr>
                <w:t>Agreement, dated December 30, 2020, between</w:t>
              </w:r>
            </w:hyperlink>
          </w:p>
        </w:tc>
        <w:tc>
          <w:tcPr>
            <w:tcW w:w="30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19"/>
          </w:tcPr>
          <w:p>
            <w:pPr>
              <w:spacing w:after="0" w:line="189" w:lineRule="exact"/>
              <w:rPr>
                <w:rFonts w:ascii="Arial" w:cs="Arial" w:eastAsia="Arial" w:hAnsi="Arial"/>
                <w:sz w:val="17"/>
                <w:szCs w:val="17"/>
                <w:color w:val="3051F2"/>
              </w:rPr>
            </w:pPr>
            <w:hyperlink r:id="rId134">
              <w:r>
                <w:rPr>
                  <w:rFonts w:ascii="Arial" w:cs="Arial" w:eastAsia="Arial" w:hAnsi="Arial"/>
                  <w:sz w:val="17"/>
                  <w:szCs w:val="17"/>
                  <w:color w:val="3051F2"/>
                </w:rPr>
                <w:t>Gevo, Inc. and H.C. Wainwright &amp; Co., LLC.</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3"/>
              </w:rPr>
              <w:t>10.28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top w:val="single" w:sz="8" w:color="3051F2"/>
            </w:tcBorders>
            <w:gridSpan w:val="9"/>
          </w:tcPr>
          <w:p>
            <w:pPr>
              <w:spacing w:after="0"/>
              <w:rPr>
                <w:rFonts w:ascii="Arial" w:cs="Arial" w:eastAsia="Arial" w:hAnsi="Arial"/>
                <w:sz w:val="17"/>
                <w:szCs w:val="17"/>
                <w:color w:val="3051F2"/>
              </w:rPr>
            </w:pPr>
            <w:hyperlink r:id="rId135">
              <w:r>
                <w:rPr>
                  <w:rFonts w:ascii="Arial" w:cs="Arial" w:eastAsia="Arial" w:hAnsi="Arial"/>
                  <w:sz w:val="17"/>
                  <w:szCs w:val="17"/>
                  <w:color w:val="3051F2"/>
                </w:rPr>
                <w:t>Amendment to At-The-Market Offering</w:t>
              </w:r>
            </w:hyperlink>
          </w:p>
        </w:tc>
        <w:tc>
          <w:tcPr>
            <w:tcW w:w="440" w:type="dxa"/>
            <w:vAlign w:val="bottom"/>
            <w:gridSpan w:val="10"/>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September 9,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720" w:type="dxa"/>
            <w:vAlign w:val="bottom"/>
            <w:tcBorders>
              <w:right w:val="single" w:sz="8" w:color="3051F2"/>
            </w:tcBorders>
            <w:gridSpan w:val="3"/>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bottom w:val="single" w:sz="8" w:color="3051F2"/>
            </w:tcBorders>
            <w:gridSpan w:val="10"/>
          </w:tcPr>
          <w:p>
            <w:pPr>
              <w:spacing w:after="0" w:line="176" w:lineRule="exact"/>
              <w:rPr>
                <w:rFonts w:ascii="Arial" w:cs="Arial" w:eastAsia="Arial" w:hAnsi="Arial"/>
                <w:sz w:val="17"/>
                <w:szCs w:val="17"/>
                <w:color w:val="3051F2"/>
                <w:w w:val="90"/>
              </w:rPr>
            </w:pPr>
            <w:hyperlink r:id="rId135">
              <w:r>
                <w:rPr>
                  <w:rFonts w:ascii="Arial" w:cs="Arial" w:eastAsia="Arial" w:hAnsi="Arial"/>
                  <w:sz w:val="17"/>
                  <w:szCs w:val="17"/>
                  <w:color w:val="3051F2"/>
                  <w:w w:val="90"/>
                </w:rPr>
                <w:t>Agreement, dated September 9, 2021, between</w:t>
              </w:r>
            </w:hyperlink>
          </w:p>
        </w:tc>
        <w:tc>
          <w:tcPr>
            <w:tcW w:w="36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19"/>
          </w:tcPr>
          <w:p>
            <w:pPr>
              <w:spacing w:after="0" w:line="189" w:lineRule="exact"/>
              <w:rPr>
                <w:rFonts w:ascii="Arial" w:cs="Arial" w:eastAsia="Arial" w:hAnsi="Arial"/>
                <w:sz w:val="17"/>
                <w:szCs w:val="17"/>
                <w:color w:val="3051F2"/>
              </w:rPr>
            </w:pPr>
            <w:hyperlink r:id="rId135">
              <w:r>
                <w:rPr>
                  <w:rFonts w:ascii="Arial" w:cs="Arial" w:eastAsia="Arial" w:hAnsi="Arial"/>
                  <w:sz w:val="17"/>
                  <w:szCs w:val="17"/>
                  <w:color w:val="3051F2"/>
                </w:rPr>
                <w:t>Gevo, Inc. and H.C. Wainwright &amp; Co., LLC.</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3051F2"/>
          </w:tcPr>
          <w:p>
            <w:pPr>
              <w:spacing w:after="0" w:line="20" w:lineRule="exact"/>
              <w:rPr>
                <w:sz w:val="1"/>
                <w:szCs w:val="1"/>
                <w:color w:val="auto"/>
              </w:rPr>
            </w:pPr>
          </w:p>
        </w:tc>
        <w:tc>
          <w:tcPr>
            <w:tcW w:w="1960" w:type="dxa"/>
            <w:vAlign w:val="bottom"/>
            <w:tcBorders>
              <w:right w:val="single" w:sz="8" w:color="3051F2"/>
            </w:tcBorders>
            <w:gridSpan w:val="4"/>
            <w:shd w:val="clear" w:color="auto" w:fill="3051F2"/>
          </w:tcPr>
          <w:p>
            <w:pPr>
              <w:spacing w:after="0" w:line="20" w:lineRule="exact"/>
              <w:rPr>
                <w:sz w:val="1"/>
                <w:szCs w:val="1"/>
                <w:color w:val="auto"/>
              </w:rPr>
            </w:pPr>
          </w:p>
        </w:tc>
        <w:tc>
          <w:tcPr>
            <w:tcW w:w="200" w:type="dxa"/>
            <w:vAlign w:val="bottom"/>
            <w:gridSpan w:val="4"/>
            <w:shd w:val="clear" w:color="auto" w:fill="3051F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1"/>
              </w:rPr>
              <w:t>10.29+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Borders>
              <w:bottom w:val="single" w:sz="8" w:color="3051F2"/>
            </w:tcBorders>
            <w:gridSpan w:val="17"/>
          </w:tcPr>
          <w:p>
            <w:pPr>
              <w:spacing w:after="0"/>
              <w:rPr>
                <w:rFonts w:ascii="Arial" w:cs="Arial" w:eastAsia="Arial" w:hAnsi="Arial"/>
                <w:sz w:val="17"/>
                <w:szCs w:val="17"/>
                <w:color w:val="3051F2"/>
                <w:w w:val="92"/>
              </w:rPr>
            </w:pPr>
            <w:hyperlink r:id="rId136">
              <w:r>
                <w:rPr>
                  <w:rFonts w:ascii="Arial" w:cs="Arial" w:eastAsia="Arial" w:hAnsi="Arial"/>
                  <w:sz w:val="17"/>
                  <w:szCs w:val="17"/>
                  <w:color w:val="3051F2"/>
                  <w:w w:val="92"/>
                </w:rPr>
                <w:t>Master Framework Agreement, dated August 13,</w:t>
              </w:r>
            </w:hyperlink>
          </w:p>
        </w:tc>
        <w:tc>
          <w:tcPr>
            <w:tcW w:w="200" w:type="dxa"/>
            <w:vAlign w:val="bottom"/>
            <w:gridSpan w:val="2"/>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August 18, 2020</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176"/>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3051F2"/>
            </w:tcBorders>
            <w:gridSpan w:val="5"/>
          </w:tcPr>
          <w:p>
            <w:pPr>
              <w:spacing w:after="0" w:line="176" w:lineRule="exact"/>
              <w:rPr>
                <w:rFonts w:ascii="Arial" w:cs="Arial" w:eastAsia="Arial" w:hAnsi="Arial"/>
                <w:sz w:val="17"/>
                <w:szCs w:val="17"/>
                <w:color w:val="3051F2"/>
                <w:w w:val="92"/>
              </w:rPr>
            </w:pPr>
            <w:hyperlink r:id="rId136">
              <w:r>
                <w:rPr>
                  <w:rFonts w:ascii="Arial" w:cs="Arial" w:eastAsia="Arial" w:hAnsi="Arial"/>
                  <w:sz w:val="17"/>
                  <w:szCs w:val="17"/>
                  <w:color w:val="3051F2"/>
                  <w:w w:val="92"/>
                </w:rPr>
                <w:t>2020, by and between Gevo, Inc. and Praj</w:t>
              </w:r>
            </w:hyperlink>
          </w:p>
        </w:tc>
        <w:tc>
          <w:tcPr>
            <w:tcW w:w="640" w:type="dxa"/>
            <w:vAlign w:val="bottom"/>
            <w:gridSpan w:val="14"/>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19"/>
          </w:tcPr>
          <w:p>
            <w:pPr>
              <w:spacing w:after="0" w:line="189" w:lineRule="exact"/>
              <w:rPr>
                <w:rFonts w:ascii="Arial" w:cs="Arial" w:eastAsia="Arial" w:hAnsi="Arial"/>
                <w:sz w:val="17"/>
                <w:szCs w:val="17"/>
                <w:color w:val="3051F2"/>
              </w:rPr>
            </w:pPr>
            <w:hyperlink r:id="rId136">
              <w:r>
                <w:rPr>
                  <w:rFonts w:ascii="Arial" w:cs="Arial" w:eastAsia="Arial" w:hAnsi="Arial"/>
                  <w:sz w:val="17"/>
                  <w:szCs w:val="17"/>
                  <w:color w:val="3051F2"/>
                </w:rPr>
                <w:t>Industries Ltd.</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908"/>
        </w:trPr>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3051F2"/>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Filed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31750</wp:posOffset>
            </wp:positionV>
            <wp:extent cx="680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ectPr>
          <w:pgSz w:w="11900" w:h="16838" w:orient="portrait"/>
          <w:cols w:equalWidth="0" w:num="2">
            <w:col w:w="9980" w:space="280"/>
            <w:col w:w="700"/>
          </w:cols>
          <w:pgMar w:left="320" w:top="114" w:right="61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Exhibit</w:t>
      </w:r>
    </w:p>
    <w:p>
      <w:pPr>
        <w:spacing w:after="0" w:line="21" w:lineRule="exact"/>
        <w:rPr>
          <w:sz w:val="20"/>
          <w:szCs w:val="20"/>
          <w:color w:val="auto"/>
        </w:rPr>
      </w:pPr>
    </w:p>
    <w:p>
      <w:pPr>
        <w:ind w:left="500"/>
        <w:spacing w:after="0"/>
        <w:tabs>
          <w:tab w:leader="none" w:pos="2660" w:val="left"/>
        </w:tabs>
        <w:rPr>
          <w:sz w:val="20"/>
          <w:szCs w:val="20"/>
          <w:color w:val="auto"/>
        </w:rPr>
      </w:pPr>
      <w:r>
        <w:rPr>
          <w:rFonts w:ascii="Arial" w:cs="Arial" w:eastAsia="Arial" w:hAnsi="Arial"/>
          <w:sz w:val="17"/>
          <w:szCs w:val="17"/>
          <w:b w:val="1"/>
          <w:bCs w:val="1"/>
          <w:color w:val="auto"/>
        </w:rPr>
        <w:t>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30867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3086735" cy="8255"/>
                    </a:xfrm>
                    <a:prstGeom prst="rect">
                      <a:avLst/>
                    </a:prstGeom>
                    <a:noFill/>
                  </pic:spPr>
                </pic:pic>
              </a:graphicData>
            </a:graphic>
          </wp:anchor>
        </w:drawing>
      </w:r>
    </w:p>
    <w:p>
      <w:pPr>
        <w:spacing w:after="0" w:line="293" w:lineRule="exact"/>
        <w:rPr>
          <w:sz w:val="20"/>
          <w:szCs w:val="20"/>
          <w:color w:val="auto"/>
        </w:rPr>
      </w:pPr>
    </w:p>
    <w:p>
      <w:pPr>
        <w:ind w:left="1360" w:right="120" w:hanging="980"/>
        <w:spacing w:after="0" w:line="315" w:lineRule="auto"/>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10.30+</w:t>
      </w:r>
      <w:r>
        <w:rPr>
          <w:sz w:val="20"/>
          <w:szCs w:val="20"/>
          <w:color w:val="auto"/>
        </w:rPr>
        <w:tab/>
      </w:r>
      <w:hyperlink r:id="rId140">
        <w:r>
          <w:rPr>
            <w:rFonts w:ascii="Arial" w:cs="Arial" w:eastAsia="Arial" w:hAnsi="Arial"/>
            <w:sz w:val="15"/>
            <w:szCs w:val="15"/>
            <w:u w:val="single" w:color="auto"/>
            <w:color w:val="3051F2"/>
          </w:rPr>
          <w:t>Renewable Hydrocarbons Purchase and Sale</w:t>
        </w:r>
      </w:hyperlink>
      <w:r>
        <w:rPr>
          <w:rFonts w:ascii="Arial" w:cs="Arial" w:eastAsia="Arial" w:hAnsi="Arial"/>
          <w:sz w:val="15"/>
          <w:szCs w:val="15"/>
          <w:u w:val="single" w:color="auto"/>
          <w:color w:val="3051F2"/>
        </w:rPr>
        <w:t xml:space="preserve"> </w:t>
      </w:r>
      <w:hyperlink r:id="rId140">
        <w:r>
          <w:rPr>
            <w:rFonts w:ascii="Arial" w:cs="Arial" w:eastAsia="Arial" w:hAnsi="Arial"/>
            <w:sz w:val="15"/>
            <w:szCs w:val="15"/>
            <w:u w:val="single" w:color="auto"/>
            <w:color w:val="3051F2"/>
          </w:rPr>
          <w:t>Agreement, dated August 14, 2020, by and</w:t>
        </w:r>
      </w:hyperlink>
      <w:r>
        <w:rPr>
          <w:rFonts w:ascii="Arial" w:cs="Arial" w:eastAsia="Arial" w:hAnsi="Arial"/>
          <w:sz w:val="15"/>
          <w:szCs w:val="15"/>
          <w:u w:val="single" w:color="auto"/>
          <w:color w:val="3051F2"/>
        </w:rPr>
        <w:t xml:space="preserve"> </w:t>
      </w:r>
      <w:hyperlink r:id="rId140">
        <w:r>
          <w:rPr>
            <w:rFonts w:ascii="Arial" w:cs="Arial" w:eastAsia="Arial" w:hAnsi="Arial"/>
            <w:sz w:val="15"/>
            <w:szCs w:val="15"/>
            <w:u w:val="single" w:color="auto"/>
            <w:color w:val="3051F2"/>
          </w:rPr>
          <w:t>between Gevo, Inc. and Trafigura Trading LLC.</w:t>
        </w:r>
      </w:hyperlink>
    </w:p>
    <w:p>
      <w:pPr>
        <w:spacing w:after="0" w:line="236" w:lineRule="exact"/>
        <w:rPr>
          <w:rFonts w:ascii="Arial" w:cs="Arial" w:eastAsia="Arial" w:hAnsi="Arial"/>
          <w:sz w:val="15"/>
          <w:szCs w:val="15"/>
          <w:u w:val="single" w:color="auto"/>
          <w:color w:val="3051F2"/>
        </w:rPr>
      </w:pPr>
    </w:p>
    <w:p>
      <w:pPr>
        <w:ind w:left="1360" w:hanging="980"/>
        <w:spacing w:after="0" w:line="252"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10.31+</w:t>
      </w:r>
      <w:r>
        <w:rPr>
          <w:sz w:val="20"/>
          <w:szCs w:val="20"/>
          <w:color w:val="auto"/>
        </w:rPr>
        <w:tab/>
      </w:r>
      <w:hyperlink r:id="rId141">
        <w:r>
          <w:rPr>
            <w:rFonts w:ascii="Arial" w:cs="Arial" w:eastAsia="Arial" w:hAnsi="Arial"/>
            <w:sz w:val="17"/>
            <w:szCs w:val="17"/>
            <w:u w:val="single" w:color="auto"/>
            <w:color w:val="3051F2"/>
          </w:rPr>
          <w:t>Base Contract for Sale and Purchase of Natural</w:t>
        </w:r>
      </w:hyperlink>
      <w:r>
        <w:rPr>
          <w:rFonts w:ascii="Arial" w:cs="Arial" w:eastAsia="Arial" w:hAnsi="Arial"/>
          <w:sz w:val="17"/>
          <w:szCs w:val="17"/>
          <w:u w:val="single" w:color="auto"/>
          <w:color w:val="3051F2"/>
        </w:rPr>
        <w:t xml:space="preserve"> </w:t>
      </w:r>
      <w:hyperlink r:id="rId141">
        <w:r>
          <w:rPr>
            <w:rFonts w:ascii="Arial" w:cs="Arial" w:eastAsia="Arial" w:hAnsi="Arial"/>
            <w:sz w:val="17"/>
            <w:szCs w:val="17"/>
            <w:u w:val="single" w:color="auto"/>
            <w:color w:val="3051F2"/>
          </w:rPr>
          <w:t>Gas, dated July 22, 2021, by and between Gevo</w:t>
        </w:r>
      </w:hyperlink>
      <w:r>
        <w:rPr>
          <w:rFonts w:ascii="Arial" w:cs="Arial" w:eastAsia="Arial" w:hAnsi="Arial"/>
          <w:sz w:val="17"/>
          <w:szCs w:val="17"/>
          <w:u w:val="single" w:color="auto"/>
          <w:color w:val="3051F2"/>
        </w:rPr>
        <w:t xml:space="preserve"> </w:t>
      </w:r>
      <w:hyperlink r:id="rId141">
        <w:r>
          <w:rPr>
            <w:rFonts w:ascii="Arial" w:cs="Arial" w:eastAsia="Arial" w:hAnsi="Arial"/>
            <w:sz w:val="17"/>
            <w:szCs w:val="17"/>
            <w:u w:val="single" w:color="auto"/>
            <w:color w:val="3051F2"/>
          </w:rPr>
          <w:t>NW Iowa RNG, LLC, BP Canada Energy</w:t>
        </w:r>
      </w:hyperlink>
      <w:r>
        <w:rPr>
          <w:rFonts w:ascii="Arial" w:cs="Arial" w:eastAsia="Arial" w:hAnsi="Arial"/>
          <w:sz w:val="17"/>
          <w:szCs w:val="17"/>
          <w:u w:val="single" w:color="auto"/>
          <w:color w:val="3051F2"/>
        </w:rPr>
        <w:t xml:space="preserve"> </w:t>
      </w:r>
      <w:hyperlink r:id="rId141">
        <w:r>
          <w:rPr>
            <w:rFonts w:ascii="Arial" w:cs="Arial" w:eastAsia="Arial" w:hAnsi="Arial"/>
            <w:sz w:val="17"/>
            <w:szCs w:val="17"/>
            <w:u w:val="single" w:color="auto"/>
            <w:color w:val="3051F2"/>
          </w:rPr>
          <w:t>Marketing Corp. and BP Products North America</w:t>
        </w:r>
      </w:hyperlink>
      <w:r>
        <w:rPr>
          <w:rFonts w:ascii="Arial" w:cs="Arial" w:eastAsia="Arial" w:hAnsi="Arial"/>
          <w:sz w:val="17"/>
          <w:szCs w:val="17"/>
          <w:u w:val="single" w:color="auto"/>
          <w:color w:val="3051F2"/>
        </w:rPr>
        <w:t xml:space="preserve"> </w:t>
      </w:r>
      <w:hyperlink r:id="rId141">
        <w:r>
          <w:rPr>
            <w:rFonts w:ascii="Arial" w:cs="Arial" w:eastAsia="Arial" w:hAnsi="Arial"/>
            <w:sz w:val="17"/>
            <w:szCs w:val="17"/>
            <w:u w:val="single" w:color="auto"/>
            <w:color w:val="3051F2"/>
          </w:rPr>
          <w:t>Inc.</w:t>
        </w:r>
      </w:hyperlink>
    </w:p>
    <w:p>
      <w:pPr>
        <w:spacing w:after="0" w:line="294" w:lineRule="exact"/>
        <w:rPr>
          <w:rFonts w:ascii="Arial" w:cs="Arial" w:eastAsia="Arial" w:hAnsi="Arial"/>
          <w:sz w:val="17"/>
          <w:szCs w:val="17"/>
          <w:u w:val="single" w:color="auto"/>
          <w:color w:val="3051F2"/>
        </w:rPr>
      </w:pPr>
    </w:p>
    <w:p>
      <w:pPr>
        <w:ind w:left="1360" w:hanging="980"/>
        <w:spacing w:after="0" w:line="253"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10.32+</w:t>
      </w:r>
      <w:r>
        <w:rPr>
          <w:sz w:val="20"/>
          <w:szCs w:val="20"/>
          <w:color w:val="auto"/>
        </w:rPr>
        <w:tab/>
      </w:r>
      <w:hyperlink r:id="rId142">
        <w:r>
          <w:rPr>
            <w:rFonts w:ascii="Arial" w:cs="Arial" w:eastAsia="Arial" w:hAnsi="Arial"/>
            <w:sz w:val="17"/>
            <w:szCs w:val="17"/>
            <w:u w:val="single" w:color="auto"/>
            <w:color w:val="3051F2"/>
          </w:rPr>
          <w:t>Special Provisions Attached to and Forming Part</w:t>
        </w:r>
      </w:hyperlink>
      <w:r>
        <w:rPr>
          <w:rFonts w:ascii="Arial" w:cs="Arial" w:eastAsia="Arial" w:hAnsi="Arial"/>
          <w:sz w:val="17"/>
          <w:szCs w:val="17"/>
          <w:u w:val="single" w:color="auto"/>
          <w:color w:val="3051F2"/>
        </w:rPr>
        <w:t xml:space="preserve"> </w:t>
      </w:r>
      <w:hyperlink r:id="rId142">
        <w:r>
          <w:rPr>
            <w:rFonts w:ascii="Arial" w:cs="Arial" w:eastAsia="Arial" w:hAnsi="Arial"/>
            <w:sz w:val="17"/>
            <w:szCs w:val="17"/>
            <w:u w:val="single" w:color="auto"/>
            <w:color w:val="3051F2"/>
          </w:rPr>
          <w:t>of the Base Contract for Sale and Purchase of</w:t>
        </w:r>
      </w:hyperlink>
      <w:r>
        <w:rPr>
          <w:rFonts w:ascii="Arial" w:cs="Arial" w:eastAsia="Arial" w:hAnsi="Arial"/>
          <w:sz w:val="17"/>
          <w:szCs w:val="17"/>
          <w:u w:val="single" w:color="auto"/>
          <w:color w:val="3051F2"/>
        </w:rPr>
        <w:t xml:space="preserve"> </w:t>
      </w:r>
      <w:hyperlink r:id="rId142">
        <w:r>
          <w:rPr>
            <w:rFonts w:ascii="Arial" w:cs="Arial" w:eastAsia="Arial" w:hAnsi="Arial"/>
            <w:sz w:val="17"/>
            <w:szCs w:val="17"/>
            <w:u w:val="single" w:color="auto"/>
            <w:color w:val="3051F2"/>
          </w:rPr>
          <w:t>Natural Gas dated July 22, 2021, by and between</w:t>
        </w:r>
      </w:hyperlink>
      <w:r>
        <w:rPr>
          <w:rFonts w:ascii="Arial" w:cs="Arial" w:eastAsia="Arial" w:hAnsi="Arial"/>
          <w:sz w:val="17"/>
          <w:szCs w:val="17"/>
          <w:u w:val="single" w:color="auto"/>
          <w:color w:val="3051F2"/>
        </w:rPr>
        <w:t xml:space="preserve"> </w:t>
      </w:r>
      <w:hyperlink r:id="rId142">
        <w:r>
          <w:rPr>
            <w:rFonts w:ascii="Arial" w:cs="Arial" w:eastAsia="Arial" w:hAnsi="Arial"/>
            <w:sz w:val="17"/>
            <w:szCs w:val="17"/>
            <w:u w:val="single" w:color="auto"/>
            <w:color w:val="3051F2"/>
          </w:rPr>
          <w:t>Gevo NW Iowa RNG, LLC, BP Canada Energy</w:t>
        </w:r>
      </w:hyperlink>
      <w:r>
        <w:rPr>
          <w:rFonts w:ascii="Arial" w:cs="Arial" w:eastAsia="Arial" w:hAnsi="Arial"/>
          <w:sz w:val="17"/>
          <w:szCs w:val="17"/>
          <w:u w:val="single" w:color="auto"/>
          <w:color w:val="3051F2"/>
        </w:rPr>
        <w:t xml:space="preserve"> </w:t>
      </w:r>
      <w:hyperlink r:id="rId142">
        <w:r>
          <w:rPr>
            <w:rFonts w:ascii="Arial" w:cs="Arial" w:eastAsia="Arial" w:hAnsi="Arial"/>
            <w:sz w:val="17"/>
            <w:szCs w:val="17"/>
            <w:u w:val="single" w:color="auto"/>
            <w:color w:val="3051F2"/>
          </w:rPr>
          <w:t>Marketing Corp. and BP Products North America</w:t>
        </w:r>
      </w:hyperlink>
      <w:r>
        <w:rPr>
          <w:rFonts w:ascii="Arial" w:cs="Arial" w:eastAsia="Arial" w:hAnsi="Arial"/>
          <w:sz w:val="17"/>
          <w:szCs w:val="17"/>
          <w:u w:val="single" w:color="auto"/>
          <w:color w:val="3051F2"/>
        </w:rPr>
        <w:t xml:space="preserve"> </w:t>
      </w:r>
      <w:hyperlink r:id="rId142">
        <w:r>
          <w:rPr>
            <w:rFonts w:ascii="Arial" w:cs="Arial" w:eastAsia="Arial" w:hAnsi="Arial"/>
            <w:sz w:val="17"/>
            <w:szCs w:val="17"/>
            <w:u w:val="single" w:color="auto"/>
            <w:color w:val="3051F2"/>
          </w:rPr>
          <w:t>Inc.</w:t>
        </w:r>
      </w:hyperlink>
    </w:p>
    <w:p>
      <w:pPr>
        <w:spacing w:after="0" w:line="280" w:lineRule="exact"/>
        <w:rPr>
          <w:rFonts w:ascii="Arial" w:cs="Arial" w:eastAsia="Arial" w:hAnsi="Arial"/>
          <w:sz w:val="17"/>
          <w:szCs w:val="17"/>
          <w:u w:val="single" w:color="auto"/>
          <w:color w:val="3051F2"/>
        </w:rPr>
      </w:pPr>
    </w:p>
    <w:p>
      <w:pPr>
        <w:ind w:left="1360" w:hanging="980"/>
        <w:spacing w:after="0" w:line="252"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10.33+</w:t>
      </w:r>
      <w:r>
        <w:rPr>
          <w:sz w:val="20"/>
          <w:szCs w:val="20"/>
          <w:color w:val="auto"/>
        </w:rPr>
        <w:tab/>
      </w:r>
      <w:hyperlink r:id="rId143">
        <w:r>
          <w:rPr>
            <w:rFonts w:ascii="Arial" w:cs="Arial" w:eastAsia="Arial" w:hAnsi="Arial"/>
            <w:sz w:val="17"/>
            <w:szCs w:val="17"/>
            <w:u w:val="single" w:color="auto"/>
            <w:color w:val="3051F2"/>
          </w:rPr>
          <w:t>Biogas Supply Addendum – Vehicle Fuel</w:t>
        </w:r>
      </w:hyperlink>
      <w:r>
        <w:rPr>
          <w:rFonts w:ascii="Arial" w:cs="Arial" w:eastAsia="Arial" w:hAnsi="Arial"/>
          <w:sz w:val="17"/>
          <w:szCs w:val="17"/>
          <w:u w:val="single" w:color="auto"/>
          <w:color w:val="3051F2"/>
        </w:rPr>
        <w:t xml:space="preserve"> </w:t>
      </w:r>
      <w:hyperlink r:id="rId143">
        <w:r>
          <w:rPr>
            <w:rFonts w:ascii="Arial" w:cs="Arial" w:eastAsia="Arial" w:hAnsi="Arial"/>
            <w:sz w:val="17"/>
            <w:szCs w:val="17"/>
            <w:u w:val="single" w:color="auto"/>
            <w:color w:val="3051F2"/>
          </w:rPr>
          <w:t>Segment-Supply Side, dated July 22, 2021, by</w:t>
        </w:r>
      </w:hyperlink>
      <w:r>
        <w:rPr>
          <w:rFonts w:ascii="Arial" w:cs="Arial" w:eastAsia="Arial" w:hAnsi="Arial"/>
          <w:sz w:val="17"/>
          <w:szCs w:val="17"/>
          <w:u w:val="single" w:color="auto"/>
          <w:color w:val="3051F2"/>
        </w:rPr>
        <w:t xml:space="preserve"> </w:t>
      </w:r>
      <w:hyperlink r:id="rId143">
        <w:r>
          <w:rPr>
            <w:rFonts w:ascii="Arial" w:cs="Arial" w:eastAsia="Arial" w:hAnsi="Arial"/>
            <w:sz w:val="17"/>
            <w:szCs w:val="17"/>
            <w:u w:val="single" w:color="auto"/>
            <w:color w:val="3051F2"/>
          </w:rPr>
          <w:t>and between Gevo NW Iowa RNG, LLC, BP</w:t>
        </w:r>
      </w:hyperlink>
      <w:r>
        <w:rPr>
          <w:rFonts w:ascii="Arial" w:cs="Arial" w:eastAsia="Arial" w:hAnsi="Arial"/>
          <w:sz w:val="17"/>
          <w:szCs w:val="17"/>
          <w:u w:val="single" w:color="auto"/>
          <w:color w:val="3051F2"/>
        </w:rPr>
        <w:t xml:space="preserve"> </w:t>
      </w:r>
      <w:hyperlink r:id="rId143">
        <w:r>
          <w:rPr>
            <w:rFonts w:ascii="Arial" w:cs="Arial" w:eastAsia="Arial" w:hAnsi="Arial"/>
            <w:sz w:val="17"/>
            <w:szCs w:val="17"/>
            <w:u w:val="single" w:color="auto"/>
            <w:color w:val="3051F2"/>
          </w:rPr>
          <w:t>Canada Energy Marketing Corp. and BP Products</w:t>
        </w:r>
      </w:hyperlink>
      <w:r>
        <w:rPr>
          <w:rFonts w:ascii="Arial" w:cs="Arial" w:eastAsia="Arial" w:hAnsi="Arial"/>
          <w:sz w:val="17"/>
          <w:szCs w:val="17"/>
          <w:u w:val="single" w:color="auto"/>
          <w:color w:val="3051F2"/>
        </w:rPr>
        <w:t xml:space="preserve"> </w:t>
      </w:r>
      <w:hyperlink r:id="rId143">
        <w:r>
          <w:rPr>
            <w:rFonts w:ascii="Arial" w:cs="Arial" w:eastAsia="Arial" w:hAnsi="Arial"/>
            <w:sz w:val="17"/>
            <w:szCs w:val="17"/>
            <w:u w:val="single" w:color="auto"/>
            <w:color w:val="3051F2"/>
          </w:rPr>
          <w:t>North America Inc.</w:t>
        </w:r>
      </w:hyperlink>
    </w:p>
    <w:p>
      <w:pPr>
        <w:spacing w:after="0" w:line="294" w:lineRule="exact"/>
        <w:rPr>
          <w:rFonts w:ascii="Arial" w:cs="Arial" w:eastAsia="Arial" w:hAnsi="Arial"/>
          <w:sz w:val="17"/>
          <w:szCs w:val="17"/>
          <w:u w:val="single" w:color="auto"/>
          <w:color w:val="3051F2"/>
        </w:rPr>
      </w:pPr>
    </w:p>
    <w:p>
      <w:pPr>
        <w:ind w:left="1360" w:right="80" w:hanging="980"/>
        <w:spacing w:after="0" w:line="315" w:lineRule="auto"/>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10.34+</w:t>
      </w:r>
      <w:r>
        <w:rPr>
          <w:sz w:val="20"/>
          <w:szCs w:val="20"/>
          <w:color w:val="auto"/>
        </w:rPr>
        <w:tab/>
      </w:r>
      <w:hyperlink r:id="rId144">
        <w:r>
          <w:rPr>
            <w:rFonts w:ascii="Arial" w:cs="Arial" w:eastAsia="Arial" w:hAnsi="Arial"/>
            <w:sz w:val="15"/>
            <w:szCs w:val="15"/>
            <w:u w:val="single" w:color="auto"/>
            <w:color w:val="3051F2"/>
          </w:rPr>
          <w:t>Transaction Confirmation relating to the Base</w:t>
        </w:r>
      </w:hyperlink>
      <w:r>
        <w:rPr>
          <w:rFonts w:ascii="Arial" w:cs="Arial" w:eastAsia="Arial" w:hAnsi="Arial"/>
          <w:sz w:val="15"/>
          <w:szCs w:val="15"/>
          <w:u w:val="single" w:color="auto"/>
          <w:color w:val="3051F2"/>
        </w:rPr>
        <w:t xml:space="preserve"> </w:t>
      </w:r>
      <w:hyperlink r:id="rId144">
        <w:r>
          <w:rPr>
            <w:rFonts w:ascii="Arial" w:cs="Arial" w:eastAsia="Arial" w:hAnsi="Arial"/>
            <w:sz w:val="15"/>
            <w:szCs w:val="15"/>
            <w:u w:val="single" w:color="auto"/>
            <w:color w:val="3051F2"/>
          </w:rPr>
          <w:t>Contract, by and between Gevo NW Iowa RNG,</w:t>
        </w:r>
      </w:hyperlink>
      <w:r>
        <w:rPr>
          <w:rFonts w:ascii="Arial" w:cs="Arial" w:eastAsia="Arial" w:hAnsi="Arial"/>
          <w:sz w:val="15"/>
          <w:szCs w:val="15"/>
          <w:u w:val="single" w:color="auto"/>
          <w:color w:val="3051F2"/>
        </w:rPr>
        <w:t xml:space="preserve"> </w:t>
      </w:r>
      <w:hyperlink r:id="rId144">
        <w:r>
          <w:rPr>
            <w:rFonts w:ascii="Arial" w:cs="Arial" w:eastAsia="Arial" w:hAnsi="Arial"/>
            <w:sz w:val="15"/>
            <w:szCs w:val="15"/>
            <w:u w:val="single" w:color="auto"/>
            <w:color w:val="3051F2"/>
          </w:rPr>
          <w:t>LLC and BP Canada Energy Marketing Corp.</w:t>
        </w:r>
      </w:hyperlink>
    </w:p>
    <w:p>
      <w:pPr>
        <w:spacing w:after="0" w:line="236" w:lineRule="exact"/>
        <w:rPr>
          <w:rFonts w:ascii="Arial" w:cs="Arial" w:eastAsia="Arial" w:hAnsi="Arial"/>
          <w:sz w:val="15"/>
          <w:szCs w:val="15"/>
          <w:u w:val="single" w:color="auto"/>
          <w:color w:val="3051F2"/>
        </w:rPr>
      </w:pPr>
    </w:p>
    <w:p>
      <w:pPr>
        <w:ind w:left="1360" w:right="20" w:hanging="1067"/>
        <w:spacing w:after="0" w:line="288" w:lineRule="auto"/>
        <w:tabs>
          <w:tab w:leader="none" w:pos="1340" w:val="left"/>
        </w:tabs>
        <w:rPr>
          <w:rFonts w:ascii="Arial" w:cs="Arial" w:eastAsia="Arial" w:hAnsi="Arial"/>
          <w:sz w:val="16"/>
          <w:szCs w:val="16"/>
          <w:u w:val="single" w:color="auto"/>
          <w:color w:val="3051F2"/>
        </w:rPr>
      </w:pPr>
      <w:r>
        <w:rPr>
          <w:rFonts w:ascii="Arial" w:cs="Arial" w:eastAsia="Arial" w:hAnsi="Arial"/>
          <w:sz w:val="17"/>
          <w:szCs w:val="17"/>
          <w:color w:val="auto"/>
        </w:rPr>
        <w:t>10.35+††</w:t>
      </w:r>
      <w:r>
        <w:rPr>
          <w:sz w:val="20"/>
          <w:szCs w:val="20"/>
          <w:color w:val="auto"/>
        </w:rPr>
        <w:tab/>
      </w:r>
      <w:hyperlink r:id="rId145">
        <w:r>
          <w:rPr>
            <w:rFonts w:ascii="Arial" w:cs="Arial" w:eastAsia="Arial" w:hAnsi="Arial"/>
            <w:sz w:val="16"/>
            <w:szCs w:val="16"/>
            <w:u w:val="single" w:color="auto"/>
            <w:color w:val="3051F2"/>
          </w:rPr>
          <w:t>Asset Purchase Agreement, date September 21,</w:t>
        </w:r>
      </w:hyperlink>
      <w:r>
        <w:rPr>
          <w:rFonts w:ascii="Arial" w:cs="Arial" w:eastAsia="Arial" w:hAnsi="Arial"/>
          <w:sz w:val="16"/>
          <w:szCs w:val="16"/>
          <w:u w:val="single" w:color="auto"/>
          <w:color w:val="3051F2"/>
        </w:rPr>
        <w:t xml:space="preserve"> </w:t>
      </w:r>
      <w:hyperlink r:id="rId145">
        <w:r>
          <w:rPr>
            <w:rFonts w:ascii="Arial" w:cs="Arial" w:eastAsia="Arial" w:hAnsi="Arial"/>
            <w:sz w:val="16"/>
            <w:szCs w:val="16"/>
            <w:u w:val="single" w:color="auto"/>
            <w:color w:val="3051F2"/>
          </w:rPr>
          <w:t>2021, between Butamax Advanced Biofuels LLC</w:t>
        </w:r>
      </w:hyperlink>
      <w:r>
        <w:rPr>
          <w:rFonts w:ascii="Arial" w:cs="Arial" w:eastAsia="Arial" w:hAnsi="Arial"/>
          <w:sz w:val="16"/>
          <w:szCs w:val="16"/>
          <w:u w:val="single" w:color="auto"/>
          <w:color w:val="3051F2"/>
        </w:rPr>
        <w:t xml:space="preserve"> </w:t>
      </w:r>
      <w:hyperlink r:id="rId145">
        <w:r>
          <w:rPr>
            <w:rFonts w:ascii="Arial" w:cs="Arial" w:eastAsia="Arial" w:hAnsi="Arial"/>
            <w:sz w:val="16"/>
            <w:szCs w:val="16"/>
            <w:u w:val="single" w:color="auto"/>
            <w:color w:val="3051F2"/>
          </w:rPr>
          <w:t>and Danisco US Inc., and Gevo, Inc.</w:t>
        </w:r>
      </w:hyperlink>
    </w:p>
    <w:p>
      <w:pPr>
        <w:spacing w:after="0" w:line="252" w:lineRule="exact"/>
        <w:rPr>
          <w:rFonts w:ascii="Arial" w:cs="Arial" w:eastAsia="Arial" w:hAnsi="Arial"/>
          <w:sz w:val="16"/>
          <w:szCs w:val="16"/>
          <w:u w:val="single" w:color="auto"/>
          <w:color w:val="3051F2"/>
        </w:rPr>
      </w:pPr>
    </w:p>
    <w:p>
      <w:pPr>
        <w:ind w:left="1360" w:right="100" w:hanging="931"/>
        <w:spacing w:after="0" w:line="285" w:lineRule="auto"/>
        <w:tabs>
          <w:tab w:leader="none" w:pos="1340" w:val="left"/>
        </w:tabs>
        <w:rPr>
          <w:rFonts w:ascii="Arial" w:cs="Arial" w:eastAsia="Arial" w:hAnsi="Arial"/>
          <w:sz w:val="15"/>
          <w:szCs w:val="15"/>
          <w:u w:val="single" w:color="auto"/>
          <w:color w:val="3051F2"/>
        </w:rPr>
      </w:pPr>
      <w:r>
        <w:rPr>
          <w:rFonts w:ascii="Arial" w:cs="Arial" w:eastAsia="Arial" w:hAnsi="Arial"/>
          <w:sz w:val="17"/>
          <w:szCs w:val="17"/>
          <w:color w:val="auto"/>
        </w:rPr>
        <w:t>10.36</w:t>
      </w:r>
      <w:r>
        <w:rPr>
          <w:sz w:val="20"/>
          <w:szCs w:val="20"/>
          <w:color w:val="auto"/>
        </w:rPr>
        <w:tab/>
      </w:r>
      <w:hyperlink r:id="rId146">
        <w:r>
          <w:rPr>
            <w:rFonts w:ascii="Arial" w:cs="Arial" w:eastAsia="Arial" w:hAnsi="Arial"/>
            <w:sz w:val="15"/>
            <w:szCs w:val="15"/>
            <w:u w:val="single" w:color="auto"/>
            <w:color w:val="3051F2"/>
          </w:rPr>
          <w:t>Amendment No. 1 to Renewable Hydrocarbons</w:t>
        </w:r>
      </w:hyperlink>
      <w:r>
        <w:rPr>
          <w:rFonts w:ascii="Arial" w:cs="Arial" w:eastAsia="Arial" w:hAnsi="Arial"/>
          <w:sz w:val="15"/>
          <w:szCs w:val="15"/>
          <w:u w:val="single" w:color="auto"/>
          <w:color w:val="3051F2"/>
        </w:rPr>
        <w:t xml:space="preserve"> </w:t>
      </w:r>
      <w:hyperlink r:id="rId146">
        <w:r>
          <w:rPr>
            <w:rFonts w:ascii="Arial" w:cs="Arial" w:eastAsia="Arial" w:hAnsi="Arial"/>
            <w:sz w:val="15"/>
            <w:szCs w:val="15"/>
            <w:u w:val="single" w:color="auto"/>
            <w:color w:val="3051F2"/>
          </w:rPr>
          <w:t>Purchase and Sale Agreement, date August 14,</w:t>
        </w:r>
      </w:hyperlink>
      <w:r>
        <w:rPr>
          <w:rFonts w:ascii="Arial" w:cs="Arial" w:eastAsia="Arial" w:hAnsi="Arial"/>
          <w:sz w:val="15"/>
          <w:szCs w:val="15"/>
          <w:u w:val="single" w:color="auto"/>
          <w:color w:val="3051F2"/>
        </w:rPr>
        <w:t xml:space="preserve"> </w:t>
      </w:r>
      <w:hyperlink r:id="rId146">
        <w:r>
          <w:rPr>
            <w:rFonts w:ascii="Arial" w:cs="Arial" w:eastAsia="Arial" w:hAnsi="Arial"/>
            <w:sz w:val="15"/>
            <w:szCs w:val="15"/>
            <w:u w:val="single" w:color="auto"/>
            <w:color w:val="3051F2"/>
          </w:rPr>
          <w:t>2020, between Gevo, Inc. and Trafigura Trading</w:t>
        </w:r>
      </w:hyperlink>
    </w:p>
    <w:p>
      <w:pPr>
        <w:spacing w:after="0" w:line="1" w:lineRule="exact"/>
        <w:rPr>
          <w:rFonts w:ascii="Arial" w:cs="Arial" w:eastAsia="Arial" w:hAnsi="Arial"/>
          <w:sz w:val="15"/>
          <w:szCs w:val="15"/>
          <w:u w:val="single" w:color="auto"/>
          <w:color w:val="3051F2"/>
        </w:rPr>
      </w:pPr>
    </w:p>
    <w:p>
      <w:pPr>
        <w:ind w:left="1360"/>
        <w:spacing w:after="0"/>
        <w:rPr>
          <w:rFonts w:ascii="Arial" w:cs="Arial" w:eastAsia="Arial" w:hAnsi="Arial"/>
          <w:sz w:val="17"/>
          <w:szCs w:val="17"/>
          <w:u w:val="single" w:color="auto"/>
          <w:color w:val="3051F2"/>
        </w:rPr>
      </w:pPr>
      <w:hyperlink r:id="rId146">
        <w:r>
          <w:rPr>
            <w:rFonts w:ascii="Arial" w:cs="Arial" w:eastAsia="Arial" w:hAnsi="Arial"/>
            <w:sz w:val="17"/>
            <w:szCs w:val="17"/>
            <w:u w:val="single" w:color="auto"/>
            <w:color w:val="3051F2"/>
          </w:rPr>
          <w:t>LLC</w:t>
        </w:r>
      </w:hyperlink>
    </w:p>
    <w:p>
      <w:pPr>
        <w:spacing w:after="0" w:line="300" w:lineRule="exact"/>
        <w:rPr>
          <w:rFonts w:ascii="Arial" w:cs="Arial" w:eastAsia="Arial" w:hAnsi="Arial"/>
          <w:sz w:val="15"/>
          <w:szCs w:val="15"/>
          <w:u w:val="single" w:color="auto"/>
          <w:color w:val="3051F2"/>
        </w:rPr>
      </w:pPr>
    </w:p>
    <w:p>
      <w:pPr>
        <w:ind w:left="1360" w:right="300" w:hanging="980"/>
        <w:spacing w:after="0" w:line="264" w:lineRule="auto"/>
        <w:tabs>
          <w:tab w:leader="none" w:pos="1340" w:val="left"/>
        </w:tabs>
        <w:rPr>
          <w:rFonts w:ascii="Arial" w:cs="Arial" w:eastAsia="Arial" w:hAnsi="Arial"/>
          <w:sz w:val="17"/>
          <w:szCs w:val="17"/>
          <w:u w:val="single" w:color="auto"/>
          <w:color w:val="3051F2"/>
        </w:rPr>
      </w:pPr>
      <w:r>
        <w:rPr>
          <w:rFonts w:ascii="Arial" w:cs="Arial" w:eastAsia="Arial" w:hAnsi="Arial"/>
          <w:sz w:val="17"/>
          <w:szCs w:val="17"/>
          <w:color w:val="auto"/>
        </w:rPr>
        <w:t>10.37+</w:t>
      </w:r>
      <w:r>
        <w:rPr>
          <w:sz w:val="20"/>
          <w:szCs w:val="20"/>
          <w:color w:val="auto"/>
        </w:rPr>
        <w:tab/>
      </w:r>
      <w:hyperlink r:id="rId147">
        <w:r>
          <w:rPr>
            <w:rFonts w:ascii="Arial" w:cs="Arial" w:eastAsia="Arial" w:hAnsi="Arial"/>
            <w:sz w:val="17"/>
            <w:szCs w:val="17"/>
            <w:u w:val="single" w:color="auto"/>
            <w:color w:val="3051F2"/>
          </w:rPr>
          <w:t>Fuel Supply Agreement, dated December 2,</w:t>
        </w:r>
      </w:hyperlink>
      <w:r>
        <w:rPr>
          <w:rFonts w:ascii="Arial" w:cs="Arial" w:eastAsia="Arial" w:hAnsi="Arial"/>
          <w:sz w:val="17"/>
          <w:szCs w:val="17"/>
          <w:u w:val="single" w:color="auto"/>
          <w:color w:val="3051F2"/>
        </w:rPr>
        <w:t xml:space="preserve"> </w:t>
      </w:r>
      <w:hyperlink r:id="rId147">
        <w:r>
          <w:rPr>
            <w:rFonts w:ascii="Arial" w:cs="Arial" w:eastAsia="Arial" w:hAnsi="Arial"/>
            <w:sz w:val="17"/>
            <w:szCs w:val="17"/>
            <w:u w:val="single" w:color="auto"/>
            <w:color w:val="3051F2"/>
          </w:rPr>
          <w:t>2021, by and between Gevo, Inc. and Kolmar</w:t>
        </w:r>
      </w:hyperlink>
      <w:r>
        <w:rPr>
          <w:rFonts w:ascii="Arial" w:cs="Arial" w:eastAsia="Arial" w:hAnsi="Arial"/>
          <w:sz w:val="17"/>
          <w:szCs w:val="17"/>
          <w:u w:val="single" w:color="auto"/>
          <w:color w:val="3051F2"/>
        </w:rPr>
        <w:t xml:space="preserve"> </w:t>
      </w:r>
      <w:hyperlink r:id="rId147">
        <w:r>
          <w:rPr>
            <w:rFonts w:ascii="Arial" w:cs="Arial" w:eastAsia="Arial" w:hAnsi="Arial"/>
            <w:sz w:val="17"/>
            <w:szCs w:val="17"/>
            <w:u w:val="single" w:color="auto"/>
            <w:color w:val="3051F2"/>
          </w:rPr>
          <w:t>Americas, Inc.</w:t>
        </w:r>
      </w:hyperlink>
    </w:p>
    <w:p>
      <w:pPr>
        <w:spacing w:after="0" w:line="20" w:lineRule="exact"/>
        <w:rPr>
          <w:rFonts w:ascii="Arial" w:cs="Arial" w:eastAsia="Arial" w:hAnsi="Arial"/>
          <w:sz w:val="17"/>
          <w:szCs w:val="17"/>
          <w:u w:val="single" w:color="auto"/>
          <w:color w:val="3051F2"/>
        </w:rPr>
      </w:pPr>
      <w:r>
        <w:rPr>
          <w:rFonts w:ascii="Arial" w:cs="Arial" w:eastAsia="Arial" w:hAnsi="Arial"/>
          <w:sz w:val="17"/>
          <w:szCs w:val="17"/>
          <w:u w:val="single" w:color="auto"/>
          <w:color w:val="3051F2"/>
        </w:rPr>
        <w:br w:type="column"/>
      </w:r>
    </w:p>
    <w:p>
      <w:pPr>
        <w:spacing w:after="0" w:line="200" w:lineRule="exact"/>
        <w:rPr>
          <w:rFonts w:ascii="Arial" w:cs="Arial" w:eastAsia="Arial" w:hAnsi="Arial"/>
          <w:sz w:val="17"/>
          <w:szCs w:val="17"/>
          <w:u w:val="single" w:color="auto"/>
          <w:color w:val="3051F2"/>
        </w:rPr>
      </w:pPr>
    </w:p>
    <w:p>
      <w:pPr>
        <w:spacing w:after="0" w:line="200" w:lineRule="exact"/>
        <w:rPr>
          <w:rFonts w:ascii="Arial" w:cs="Arial" w:eastAsia="Arial" w:hAnsi="Arial"/>
          <w:sz w:val="17"/>
          <w:szCs w:val="17"/>
          <w:u w:val="single" w:color="auto"/>
          <w:color w:val="3051F2"/>
        </w:rPr>
      </w:pPr>
    </w:p>
    <w:p>
      <w:pPr>
        <w:spacing w:after="0" w:line="200" w:lineRule="exact"/>
        <w:rPr>
          <w:rFonts w:ascii="Arial" w:cs="Arial" w:eastAsia="Arial" w:hAnsi="Arial"/>
          <w:sz w:val="17"/>
          <w:szCs w:val="17"/>
          <w:u w:val="single" w:color="auto"/>
          <w:color w:val="3051F2"/>
        </w:rPr>
      </w:pPr>
    </w:p>
    <w:p>
      <w:pPr>
        <w:spacing w:after="0" w:line="210" w:lineRule="exact"/>
        <w:rPr>
          <w:rFonts w:ascii="Arial" w:cs="Arial" w:eastAsia="Arial" w:hAnsi="Arial"/>
          <w:sz w:val="17"/>
          <w:szCs w:val="17"/>
          <w:u w:val="single" w:color="auto"/>
          <w:color w:val="3051F2"/>
        </w:rPr>
      </w:pPr>
    </w:p>
    <w:p>
      <w:pPr>
        <w:jc w:val="center"/>
        <w:ind w:right="20"/>
        <w:spacing w:after="0"/>
        <w:rPr>
          <w:sz w:val="20"/>
          <w:szCs w:val="20"/>
          <w:color w:val="auto"/>
        </w:rPr>
      </w:pPr>
      <w:r>
        <w:rPr>
          <w:rFonts w:ascii="Arial" w:cs="Arial" w:eastAsia="Arial" w:hAnsi="Arial"/>
          <w:sz w:val="17"/>
          <w:szCs w:val="17"/>
          <w:b w:val="1"/>
          <w:bCs w:val="1"/>
          <w:color w:val="auto"/>
        </w:rPr>
        <w:t>Incorporated by Reference</w:t>
      </w:r>
    </w:p>
    <w:p>
      <w:pPr>
        <w:spacing w:after="0" w:line="20" w:lineRule="exact"/>
        <w:rPr>
          <w:rFonts w:ascii="Arial" w:cs="Arial" w:eastAsia="Arial" w:hAnsi="Arial"/>
          <w:sz w:val="17"/>
          <w:szCs w:val="17"/>
          <w:u w:val="single" w:color="auto"/>
          <w:color w:val="3051F2"/>
        </w:rPr>
      </w:pPr>
      <w:r>
        <w:rPr>
          <w:rFonts w:ascii="Arial" w:cs="Arial" w:eastAsia="Arial" w:hAnsi="Arial"/>
          <w:sz w:val="17"/>
          <w:szCs w:val="17"/>
          <w:u w:val="single" w:color="auto"/>
          <w:color w:val="3051F2"/>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78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242" w:lineRule="exact"/>
        <w:rPr>
          <w:rFonts w:ascii="Arial" w:cs="Arial" w:eastAsia="Arial" w:hAnsi="Arial"/>
          <w:sz w:val="17"/>
          <w:szCs w:val="17"/>
          <w:u w:val="single" w:color="auto"/>
          <w:color w:val="3051F2"/>
        </w:rPr>
      </w:pPr>
    </w:p>
    <w:tbl>
      <w:tblPr>
        <w:tblLayout w:type="fixed"/>
        <w:tblInd w:w="0" w:type="dxa"/>
        <w:tblCellMar>
          <w:top w:w="0" w:type="dxa"/>
          <w:left w:w="0" w:type="dxa"/>
          <w:bottom w:w="0" w:type="dxa"/>
          <w:right w:w="0" w:type="dxa"/>
        </w:tblCellMar>
      </w:tblPr>
      <w:tr>
        <w:trPr>
          <w:trHeight w:val="234"/>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File No.</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Filing 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Exhibit</w:t>
            </w:r>
          </w:p>
        </w:tc>
      </w:tr>
      <w:tr>
        <w:trPr>
          <w:trHeight w:val="483"/>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August 20, 2020</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91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9,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1320"/>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9,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r>
      <w:tr>
        <w:trPr>
          <w:trHeight w:val="1516"/>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9,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10.3</w:t>
            </w:r>
          </w:p>
        </w:tc>
      </w:tr>
      <w:tr>
        <w:trPr>
          <w:trHeight w:val="1320"/>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9,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10.4</w:t>
            </w:r>
          </w:p>
        </w:tc>
      </w:tr>
      <w:tr>
        <w:trPr>
          <w:trHeight w:val="91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September 23,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91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October 6,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r>
      <w:tr>
        <w:trPr>
          <w:trHeight w:val="1111"/>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December 7,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1555"/>
        </w:trPr>
        <w:tc>
          <w:tcPr>
            <w:tcW w:w="860" w:type="dxa"/>
            <w:vAlign w:val="bottom"/>
          </w:tcPr>
          <w:p>
            <w:pPr>
              <w:jc w:val="right"/>
              <w:ind w:right="33"/>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rFonts w:ascii="Arial" w:cs="Arial" w:eastAsia="Arial" w:hAnsi="Arial"/>
          <w:sz w:val="17"/>
          <w:szCs w:val="17"/>
          <w:u w:val="single" w:color="auto"/>
          <w:color w:val="3051F2"/>
        </w:rPr>
      </w:pPr>
      <w:r>
        <w:rPr>
          <w:rFonts w:ascii="Arial" w:cs="Arial" w:eastAsia="Arial" w:hAnsi="Arial"/>
          <w:sz w:val="17"/>
          <w:szCs w:val="17"/>
          <w:u w:val="single" w:color="auto"/>
          <w:color w:val="3051F2"/>
        </w:rPr>
        <w:drawing>
          <wp:anchor simplePos="0" relativeHeight="251657728" behindDoc="1" locked="0" layoutInCell="0" allowOverlap="1">
            <wp:simplePos x="0" y="0"/>
            <wp:positionH relativeFrom="column">
              <wp:posOffset>-3171190</wp:posOffset>
            </wp:positionH>
            <wp:positionV relativeFrom="paragraph">
              <wp:posOffset>53975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3051F2"/>
        </w:rPr>
      </w:pPr>
      <w:r>
        <w:rPr>
          <w:rFonts w:ascii="Arial" w:cs="Arial" w:eastAsia="Arial" w:hAnsi="Arial"/>
          <w:sz w:val="17"/>
          <w:szCs w:val="17"/>
          <w:u w:val="single" w:color="auto"/>
          <w:color w:val="3051F2"/>
        </w:rPr>
        <w:br w:type="column"/>
      </w:r>
    </w:p>
    <w:p>
      <w:pPr>
        <w:spacing w:after="0" w:line="200" w:lineRule="exact"/>
        <w:rPr>
          <w:rFonts w:ascii="Arial" w:cs="Arial" w:eastAsia="Arial" w:hAnsi="Arial"/>
          <w:sz w:val="17"/>
          <w:szCs w:val="17"/>
          <w:u w:val="single" w:color="auto"/>
          <w:color w:val="3051F2"/>
        </w:rPr>
      </w:pPr>
    </w:p>
    <w:p>
      <w:pPr>
        <w:spacing w:after="0" w:line="200" w:lineRule="exact"/>
        <w:rPr>
          <w:rFonts w:ascii="Arial" w:cs="Arial" w:eastAsia="Arial" w:hAnsi="Arial"/>
          <w:sz w:val="17"/>
          <w:szCs w:val="17"/>
          <w:u w:val="single" w:color="auto"/>
          <w:color w:val="3051F2"/>
        </w:rPr>
      </w:pPr>
    </w:p>
    <w:p>
      <w:pPr>
        <w:spacing w:after="0" w:line="200" w:lineRule="exact"/>
        <w:rPr>
          <w:rFonts w:ascii="Arial" w:cs="Arial" w:eastAsia="Arial" w:hAnsi="Arial"/>
          <w:sz w:val="17"/>
          <w:szCs w:val="17"/>
          <w:u w:val="single" w:color="auto"/>
          <w:color w:val="3051F2"/>
        </w:rPr>
      </w:pPr>
    </w:p>
    <w:p>
      <w:pPr>
        <w:spacing w:after="0" w:line="200" w:lineRule="exact"/>
        <w:rPr>
          <w:rFonts w:ascii="Arial" w:cs="Arial" w:eastAsia="Arial" w:hAnsi="Arial"/>
          <w:sz w:val="17"/>
          <w:szCs w:val="17"/>
          <w:u w:val="single" w:color="auto"/>
          <w:color w:val="3051F2"/>
        </w:rPr>
      </w:pPr>
    </w:p>
    <w:p>
      <w:pPr>
        <w:spacing w:after="0" w:line="259" w:lineRule="exact"/>
        <w:rPr>
          <w:rFonts w:ascii="Arial" w:cs="Arial" w:eastAsia="Arial" w:hAnsi="Arial"/>
          <w:sz w:val="17"/>
          <w:szCs w:val="17"/>
          <w:u w:val="single" w:color="auto"/>
          <w:color w:val="3051F2"/>
        </w:rPr>
      </w:pPr>
    </w:p>
    <w:p>
      <w:pPr>
        <w:jc w:val="center"/>
        <w:spacing w:after="0"/>
        <w:rPr>
          <w:sz w:val="20"/>
          <w:szCs w:val="20"/>
          <w:color w:val="auto"/>
        </w:rPr>
      </w:pPr>
      <w:r>
        <w:rPr>
          <w:rFonts w:ascii="Arial" w:cs="Arial" w:eastAsia="Arial" w:hAnsi="Arial"/>
          <w:sz w:val="17"/>
          <w:szCs w:val="17"/>
          <w:b w:val="1"/>
          <w:bCs w:val="1"/>
          <w:color w:val="auto"/>
        </w:rPr>
        <w:t>Filed</w:t>
      </w:r>
    </w:p>
    <w:p>
      <w:pPr>
        <w:spacing w:after="0" w:line="21" w:lineRule="exact"/>
        <w:rPr>
          <w:rFonts w:ascii="Arial" w:cs="Arial" w:eastAsia="Arial" w:hAnsi="Arial"/>
          <w:sz w:val="17"/>
          <w:szCs w:val="17"/>
          <w:u w:val="single" w:color="auto"/>
          <w:color w:val="3051F2"/>
        </w:rPr>
      </w:pP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rFonts w:ascii="Arial" w:cs="Arial" w:eastAsia="Arial" w:hAnsi="Arial"/>
          <w:sz w:val="17"/>
          <w:szCs w:val="17"/>
          <w:u w:val="single" w:color="auto"/>
          <w:color w:val="3051F2"/>
        </w:rPr>
      </w:pPr>
      <w:r>
        <w:rPr>
          <w:rFonts w:ascii="Arial" w:cs="Arial" w:eastAsia="Arial" w:hAnsi="Arial"/>
          <w:sz w:val="17"/>
          <w:szCs w:val="17"/>
          <w:u w:val="single" w:color="auto"/>
          <w:color w:val="3051F2"/>
        </w:rPr>
        <w:drawing>
          <wp:anchor simplePos="0" relativeHeight="251657728" behindDoc="1" locked="0" layoutInCell="0" allowOverlap="1">
            <wp:simplePos x="0" y="0"/>
            <wp:positionH relativeFrom="column">
              <wp:posOffset>-113665</wp:posOffset>
            </wp:positionH>
            <wp:positionV relativeFrom="paragraph">
              <wp:posOffset>31750</wp:posOffset>
            </wp:positionV>
            <wp:extent cx="680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ectPr>
          <w:pgSz w:w="11900" w:h="16838" w:orient="portrait"/>
          <w:cols w:equalWidth="0" w:num="3">
            <w:col w:w="4820" w:space="160"/>
            <w:col w:w="5000" w:space="280"/>
            <w:col w:w="700"/>
          </w:cols>
          <w:pgMar w:left="320" w:top="127" w:right="61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Exhibit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3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No.</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80" w:type="dxa"/>
            <w:vAlign w:val="bottom"/>
            <w:gridSpan w:val="23"/>
          </w:tcPr>
          <w:p>
            <w:pPr>
              <w:ind w:left="10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10.38</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20" w:type="dxa"/>
            <w:vAlign w:val="bottom"/>
            <w:tcBorders>
              <w:top w:val="single" w:sz="8" w:color="auto"/>
              <w:bottom w:val="single" w:sz="8" w:color="3051F2"/>
            </w:tcBorders>
            <w:gridSpan w:val="26"/>
          </w:tcPr>
          <w:p>
            <w:pPr>
              <w:spacing w:after="0"/>
              <w:rPr>
                <w:rFonts w:ascii="Arial" w:cs="Arial" w:eastAsia="Arial" w:hAnsi="Arial"/>
                <w:sz w:val="17"/>
                <w:szCs w:val="17"/>
                <w:color w:val="3051F2"/>
                <w:w w:val="95"/>
              </w:rPr>
            </w:pPr>
            <w:hyperlink r:id="rId151">
              <w:r>
                <w:rPr>
                  <w:rFonts w:ascii="Arial" w:cs="Arial" w:eastAsia="Arial" w:hAnsi="Arial"/>
                  <w:sz w:val="17"/>
                  <w:szCs w:val="17"/>
                  <w:color w:val="3051F2"/>
                  <w:w w:val="95"/>
                </w:rPr>
                <w:t>Bond Financing Agreement, dated as of April 1,</w:t>
              </w:r>
            </w:hyperlink>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gridSpan w:val="27"/>
          </w:tcPr>
          <w:p>
            <w:pPr>
              <w:spacing w:after="0" w:line="176" w:lineRule="exact"/>
              <w:rPr>
                <w:rFonts w:ascii="Arial" w:cs="Arial" w:eastAsia="Arial" w:hAnsi="Arial"/>
                <w:sz w:val="17"/>
                <w:szCs w:val="17"/>
                <w:color w:val="3051F2"/>
              </w:rPr>
            </w:pPr>
            <w:hyperlink r:id="rId151">
              <w:r>
                <w:rPr>
                  <w:rFonts w:ascii="Arial" w:cs="Arial" w:eastAsia="Arial" w:hAnsi="Arial"/>
                  <w:sz w:val="17"/>
                  <w:szCs w:val="17"/>
                  <w:color w:val="3051F2"/>
                </w:rPr>
                <w:t>2021, by and between Gevo NW Iowa RNG,</w:t>
              </w:r>
            </w:hyperlink>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tcBorders>
              <w:top w:val="single" w:sz="8" w:color="3051F2"/>
              <w:bottom w:val="single" w:sz="8" w:color="3051F2"/>
            </w:tcBorders>
            <w:gridSpan w:val="10"/>
          </w:tcPr>
          <w:p>
            <w:pPr>
              <w:spacing w:after="0" w:line="189" w:lineRule="exact"/>
              <w:rPr>
                <w:rFonts w:ascii="Arial" w:cs="Arial" w:eastAsia="Arial" w:hAnsi="Arial"/>
                <w:sz w:val="17"/>
                <w:szCs w:val="17"/>
                <w:color w:val="3051F2"/>
                <w:w w:val="94"/>
              </w:rPr>
            </w:pPr>
            <w:hyperlink r:id="rId151">
              <w:r>
                <w:rPr>
                  <w:rFonts w:ascii="Arial" w:cs="Arial" w:eastAsia="Arial" w:hAnsi="Arial"/>
                  <w:sz w:val="17"/>
                  <w:szCs w:val="17"/>
                  <w:color w:val="3051F2"/>
                  <w:w w:val="94"/>
                </w:rPr>
                <w:t>LLC and the Iowa Finance Authority.</w:t>
              </w:r>
            </w:hyperlink>
          </w:p>
        </w:tc>
        <w:tc>
          <w:tcPr>
            <w:tcW w:w="500" w:type="dxa"/>
            <w:vAlign w:val="bottom"/>
            <w:tcBorders>
              <w:top w:val="single" w:sz="8" w:color="3051F2"/>
            </w:tcBorders>
            <w:gridSpan w:val="6"/>
          </w:tcPr>
          <w:p>
            <w:pPr>
              <w:spacing w:after="0"/>
              <w:rPr>
                <w:sz w:val="16"/>
                <w:szCs w:val="16"/>
                <w:color w:val="auto"/>
              </w:rPr>
            </w:pPr>
          </w:p>
        </w:tc>
        <w:tc>
          <w:tcPr>
            <w:tcW w:w="38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490"/>
        </w:trPr>
        <w:tc>
          <w:tcPr>
            <w:tcW w:w="1240" w:type="dxa"/>
            <w:vAlign w:val="bottom"/>
          </w:tcPr>
          <w:p>
            <w:pPr>
              <w:jc w:val="center"/>
              <w:spacing w:after="0"/>
              <w:rPr>
                <w:sz w:val="20"/>
                <w:szCs w:val="20"/>
                <w:color w:val="auto"/>
              </w:rPr>
            </w:pPr>
            <w:r>
              <w:rPr>
                <w:rFonts w:ascii="Arial" w:cs="Arial" w:eastAsia="Arial" w:hAnsi="Arial"/>
                <w:sz w:val="17"/>
                <w:szCs w:val="17"/>
                <w:color w:val="auto"/>
                <w:w w:val="96"/>
              </w:rPr>
              <w:t>10.39++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3051F2"/>
            </w:tcBorders>
            <w:gridSpan w:val="15"/>
          </w:tcPr>
          <w:p>
            <w:pPr>
              <w:spacing w:after="0"/>
              <w:rPr>
                <w:rFonts w:ascii="Arial" w:cs="Arial" w:eastAsia="Arial" w:hAnsi="Arial"/>
                <w:sz w:val="17"/>
                <w:szCs w:val="17"/>
                <w:color w:val="3051F2"/>
                <w:w w:val="93"/>
              </w:rPr>
            </w:pPr>
            <w:hyperlink r:id="rId152">
              <w:r>
                <w:rPr>
                  <w:rFonts w:ascii="Arial" w:cs="Arial" w:eastAsia="Arial" w:hAnsi="Arial"/>
                  <w:sz w:val="17"/>
                  <w:szCs w:val="17"/>
                  <w:color w:val="3051F2"/>
                  <w:w w:val="93"/>
                </w:rPr>
                <w:t>Letter of Credit Reimbursement Agreement,</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tcBorders>
              <w:bottom w:val="single" w:sz="8" w:color="3051F2"/>
            </w:tcBorders>
            <w:gridSpan w:val="26"/>
          </w:tcPr>
          <w:p>
            <w:pPr>
              <w:spacing w:after="0" w:line="176" w:lineRule="exact"/>
              <w:rPr>
                <w:rFonts w:ascii="Arial" w:cs="Arial" w:eastAsia="Arial" w:hAnsi="Arial"/>
                <w:sz w:val="17"/>
                <w:szCs w:val="17"/>
                <w:color w:val="3051F2"/>
                <w:w w:val="93"/>
              </w:rPr>
            </w:pPr>
            <w:hyperlink r:id="rId152">
              <w:r>
                <w:rPr>
                  <w:rFonts w:ascii="Arial" w:cs="Arial" w:eastAsia="Arial" w:hAnsi="Arial"/>
                  <w:sz w:val="17"/>
                  <w:szCs w:val="17"/>
                  <w:color w:val="3051F2"/>
                  <w:w w:val="93"/>
                </w:rPr>
                <w:t>dated as of April 1, 2021, by and between Gevo,</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bottom w:val="single" w:sz="8" w:color="3051F2"/>
            </w:tcBorders>
            <w:gridSpan w:val="7"/>
          </w:tcPr>
          <w:p>
            <w:pPr>
              <w:spacing w:after="0" w:line="189" w:lineRule="exact"/>
              <w:rPr>
                <w:rFonts w:ascii="Arial" w:cs="Arial" w:eastAsia="Arial" w:hAnsi="Arial"/>
                <w:sz w:val="17"/>
                <w:szCs w:val="17"/>
                <w:color w:val="3051F2"/>
                <w:w w:val="95"/>
              </w:rPr>
            </w:pPr>
            <w:hyperlink r:id="rId152">
              <w:r>
                <w:rPr>
                  <w:rFonts w:ascii="Arial" w:cs="Arial" w:eastAsia="Arial" w:hAnsi="Arial"/>
                  <w:sz w:val="17"/>
                  <w:szCs w:val="17"/>
                  <w:color w:val="3051F2"/>
                  <w:w w:val="95"/>
                </w:rPr>
                <w:t>Inc. and Citibank, N.A.</w:t>
              </w:r>
            </w:hyperlink>
          </w:p>
        </w:tc>
        <w:tc>
          <w:tcPr>
            <w:tcW w:w="18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1240" w:type="dxa"/>
            <w:vAlign w:val="bottom"/>
          </w:tcPr>
          <w:p>
            <w:pPr>
              <w:jc w:val="center"/>
              <w:spacing w:after="0"/>
              <w:rPr>
                <w:sz w:val="20"/>
                <w:szCs w:val="20"/>
                <w:color w:val="auto"/>
              </w:rPr>
            </w:pPr>
            <w:r>
              <w:rPr>
                <w:rFonts w:ascii="Arial" w:cs="Arial" w:eastAsia="Arial" w:hAnsi="Arial"/>
                <w:sz w:val="17"/>
                <w:szCs w:val="17"/>
                <w:color w:val="auto"/>
                <w:w w:val="91"/>
              </w:rPr>
              <w:t>10.40+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7"/>
                <w:szCs w:val="17"/>
                <w:color w:val="3051F2"/>
                <w:w w:val="97"/>
              </w:rPr>
            </w:pPr>
            <w:hyperlink r:id="rId153">
              <w:r>
                <w:rPr>
                  <w:rFonts w:ascii="Arial" w:cs="Arial" w:eastAsia="Arial" w:hAnsi="Arial"/>
                  <w:sz w:val="17"/>
                  <w:szCs w:val="17"/>
                  <w:color w:val="3051F2"/>
                  <w:w w:val="97"/>
                </w:rPr>
                <w:t>Fuel Supply Agreement, dated March 16, 2022,</w:t>
              </w:r>
            </w:hyperlink>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3051F2"/>
              <w:bottom w:val="single" w:sz="8" w:color="3051F2"/>
            </w:tcBorders>
            <w:gridSpan w:val="23"/>
          </w:tcPr>
          <w:p>
            <w:pPr>
              <w:spacing w:after="0" w:line="150" w:lineRule="exact"/>
              <w:rPr>
                <w:rFonts w:ascii="Arial" w:cs="Arial" w:eastAsia="Arial" w:hAnsi="Arial"/>
                <w:sz w:val="17"/>
                <w:szCs w:val="17"/>
                <w:color w:val="3051F2"/>
                <w:w w:val="93"/>
              </w:rPr>
            </w:pPr>
            <w:hyperlink r:id="rId153">
              <w:r>
                <w:rPr>
                  <w:rFonts w:ascii="Arial" w:cs="Arial" w:eastAsia="Arial" w:hAnsi="Arial"/>
                  <w:sz w:val="17"/>
                  <w:szCs w:val="17"/>
                  <w:color w:val="3051F2"/>
                  <w:w w:val="93"/>
                </w:rPr>
                <w:t>by and between Gevo, Inc. and Delta Air Lines,</w:t>
              </w:r>
            </w:hyperlink>
          </w:p>
        </w:tc>
        <w:tc>
          <w:tcPr>
            <w:tcW w:w="20" w:type="dxa"/>
            <w:vAlign w:val="bottom"/>
            <w:tcBorders>
              <w:bottom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3051F2"/>
            </w:tcBorders>
            <w:gridSpan w:val="2"/>
          </w:tcPr>
          <w:p>
            <w:pPr>
              <w:spacing w:after="0" w:line="163" w:lineRule="exact"/>
              <w:rPr>
                <w:rFonts w:ascii="Arial" w:cs="Arial" w:eastAsia="Arial" w:hAnsi="Arial"/>
                <w:sz w:val="17"/>
                <w:szCs w:val="17"/>
                <w:color w:val="3051F2"/>
                <w:w w:val="94"/>
              </w:rPr>
            </w:pPr>
            <w:hyperlink r:id="rId153">
              <w:r>
                <w:rPr>
                  <w:rFonts w:ascii="Arial" w:cs="Arial" w:eastAsia="Arial" w:hAnsi="Arial"/>
                  <w:sz w:val="17"/>
                  <w:szCs w:val="17"/>
                  <w:color w:val="3051F2"/>
                  <w:w w:val="94"/>
                </w:rPr>
                <w:t>Inc.</w:t>
              </w:r>
            </w:hyperlink>
          </w:p>
        </w:tc>
        <w:tc>
          <w:tcPr>
            <w:tcW w:w="310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1240" w:type="dxa"/>
            <w:vAlign w:val="bottom"/>
          </w:tcPr>
          <w:p>
            <w:pPr>
              <w:jc w:val="center"/>
              <w:spacing w:after="0"/>
              <w:rPr>
                <w:sz w:val="20"/>
                <w:szCs w:val="20"/>
                <w:color w:val="auto"/>
              </w:rPr>
            </w:pPr>
            <w:r>
              <w:rPr>
                <w:rFonts w:ascii="Arial" w:cs="Arial" w:eastAsia="Arial" w:hAnsi="Arial"/>
                <w:sz w:val="17"/>
                <w:szCs w:val="17"/>
                <w:color w:val="auto"/>
                <w:w w:val="91"/>
              </w:rPr>
              <w:t>10.41+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7"/>
                <w:szCs w:val="17"/>
                <w:color w:val="0000FF"/>
                <w:w w:val="97"/>
              </w:rPr>
            </w:pPr>
            <w:hyperlink r:id="rId154">
              <w:r>
                <w:rPr>
                  <w:rFonts w:ascii="Arial" w:cs="Arial" w:eastAsia="Arial" w:hAnsi="Arial"/>
                  <w:sz w:val="17"/>
                  <w:szCs w:val="17"/>
                  <w:color w:val="0000FF"/>
                  <w:w w:val="97"/>
                </w:rPr>
                <w:t>Fuel Supply Agreement, dated March 18, 2022,</w:t>
              </w:r>
            </w:hyperlink>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22"/>
          </w:tcPr>
          <w:p>
            <w:pPr>
              <w:spacing w:after="0" w:line="150" w:lineRule="exact"/>
              <w:rPr>
                <w:rFonts w:ascii="Arial" w:cs="Arial" w:eastAsia="Arial" w:hAnsi="Arial"/>
                <w:sz w:val="17"/>
                <w:szCs w:val="17"/>
                <w:color w:val="0000FF"/>
                <w:w w:val="94"/>
              </w:rPr>
            </w:pPr>
            <w:hyperlink r:id="rId154">
              <w:r>
                <w:rPr>
                  <w:rFonts w:ascii="Arial" w:cs="Arial" w:eastAsia="Arial" w:hAnsi="Arial"/>
                  <w:sz w:val="17"/>
                  <w:szCs w:val="17"/>
                  <w:color w:val="0000FF"/>
                  <w:w w:val="94"/>
                </w:rPr>
                <w:t>by and between Gevo, Inc. and British Airways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90"/>
              </w:rPr>
            </w:pPr>
            <w:hyperlink r:id="rId154">
              <w:r>
                <w:rPr>
                  <w:rFonts w:ascii="Arial" w:cs="Arial" w:eastAsia="Arial" w:hAnsi="Arial"/>
                  <w:sz w:val="17"/>
                  <w:szCs w:val="17"/>
                  <w:color w:val="0000FF"/>
                  <w:w w:val="90"/>
                </w:rPr>
                <w:t>plc.</w:t>
              </w:r>
            </w:hyperlink>
          </w:p>
        </w:tc>
        <w:tc>
          <w:tcPr>
            <w:tcW w:w="304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1240" w:type="dxa"/>
            <w:vAlign w:val="bottom"/>
          </w:tcPr>
          <w:p>
            <w:pPr>
              <w:jc w:val="center"/>
              <w:spacing w:after="0"/>
              <w:rPr>
                <w:sz w:val="20"/>
                <w:szCs w:val="20"/>
                <w:color w:val="auto"/>
              </w:rPr>
            </w:pPr>
            <w:r>
              <w:rPr>
                <w:rFonts w:ascii="Arial" w:cs="Arial" w:eastAsia="Arial" w:hAnsi="Arial"/>
                <w:sz w:val="17"/>
                <w:szCs w:val="17"/>
                <w:color w:val="auto"/>
                <w:w w:val="91"/>
              </w:rPr>
              <w:t>10.42+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7"/>
                <w:szCs w:val="17"/>
                <w:color w:val="0000FF"/>
                <w:w w:val="95"/>
              </w:rPr>
            </w:pPr>
            <w:hyperlink r:id="rId155">
              <w:r>
                <w:rPr>
                  <w:rFonts w:ascii="Arial" w:cs="Arial" w:eastAsia="Arial" w:hAnsi="Arial"/>
                  <w:sz w:val="17"/>
                  <w:szCs w:val="17"/>
                  <w:color w:val="0000FF"/>
                  <w:w w:val="95"/>
                </w:rPr>
                <w:t>Fuel Supply Agreement, dated July 18, 2022, by</w:t>
              </w:r>
            </w:hyperlink>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26"/>
          </w:tcPr>
          <w:p>
            <w:pPr>
              <w:spacing w:after="0" w:line="150" w:lineRule="exact"/>
              <w:rPr>
                <w:rFonts w:ascii="Arial" w:cs="Arial" w:eastAsia="Arial" w:hAnsi="Arial"/>
                <w:sz w:val="17"/>
                <w:szCs w:val="17"/>
                <w:color w:val="0000FF"/>
                <w:w w:val="95"/>
              </w:rPr>
            </w:pPr>
            <w:hyperlink r:id="rId155">
              <w:r>
                <w:rPr>
                  <w:rFonts w:ascii="Arial" w:cs="Arial" w:eastAsia="Arial" w:hAnsi="Arial"/>
                  <w:sz w:val="17"/>
                  <w:szCs w:val="17"/>
                  <w:color w:val="0000FF"/>
                  <w:w w:val="95"/>
                </w:rPr>
                <w:t>and between Gevo, Inc. and American Airlines,</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w w:val="94"/>
              </w:rPr>
            </w:pPr>
            <w:hyperlink r:id="rId155">
              <w:r>
                <w:rPr>
                  <w:rFonts w:ascii="Arial" w:cs="Arial" w:eastAsia="Arial" w:hAnsi="Arial"/>
                  <w:sz w:val="17"/>
                  <w:szCs w:val="17"/>
                  <w:color w:val="0000FF"/>
                  <w:w w:val="94"/>
                </w:rPr>
                <w:t>Inc.</w:t>
              </w:r>
            </w:hyperlink>
          </w:p>
        </w:tc>
        <w:tc>
          <w:tcPr>
            <w:tcW w:w="3040" w:type="dxa"/>
            <w:vAlign w:val="bottom"/>
            <w:tcBorders>
              <w:top w:val="single" w:sz="8" w:color="0000FF"/>
            </w:tcBorders>
            <w:gridSpan w:val="19"/>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1240" w:type="dxa"/>
            <w:vAlign w:val="bottom"/>
          </w:tcPr>
          <w:p>
            <w:pPr>
              <w:jc w:val="center"/>
              <w:spacing w:after="0"/>
              <w:rPr>
                <w:sz w:val="20"/>
                <w:szCs w:val="20"/>
                <w:color w:val="auto"/>
              </w:rPr>
            </w:pPr>
            <w:r>
              <w:rPr>
                <w:rFonts w:ascii="Arial" w:cs="Arial" w:eastAsia="Arial" w:hAnsi="Arial"/>
                <w:sz w:val="17"/>
                <w:szCs w:val="17"/>
                <w:color w:val="auto"/>
                <w:w w:val="96"/>
              </w:rPr>
              <w:t>10.43++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rFonts w:ascii="Arial" w:cs="Arial" w:eastAsia="Arial" w:hAnsi="Arial"/>
                <w:sz w:val="17"/>
                <w:szCs w:val="17"/>
                <w:color w:val="0000FF"/>
              </w:rPr>
            </w:pPr>
            <w:hyperlink r:id="rId156">
              <w:r>
                <w:rPr>
                  <w:rFonts w:ascii="Arial" w:cs="Arial" w:eastAsia="Arial" w:hAnsi="Arial"/>
                  <w:sz w:val="17"/>
                  <w:szCs w:val="17"/>
                  <w:color w:val="0000FF"/>
                </w:rPr>
                <w:t>First Amended and Restated Transaction</w:t>
              </w:r>
            </w:hyperlink>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top w:val="single" w:sz="8" w:color="0000FF"/>
            </w:tcBorders>
            <w:gridSpan w:val="11"/>
          </w:tcPr>
          <w:p>
            <w:pPr>
              <w:spacing w:after="0" w:line="150" w:lineRule="exact"/>
              <w:rPr>
                <w:rFonts w:ascii="Arial" w:cs="Arial" w:eastAsia="Arial" w:hAnsi="Arial"/>
                <w:sz w:val="17"/>
                <w:szCs w:val="17"/>
                <w:color w:val="0000FF"/>
                <w:w w:val="92"/>
              </w:rPr>
            </w:pPr>
            <w:hyperlink r:id="rId156">
              <w:r>
                <w:rPr>
                  <w:rFonts w:ascii="Arial" w:cs="Arial" w:eastAsia="Arial" w:hAnsi="Arial"/>
                  <w:sz w:val="17"/>
                  <w:szCs w:val="17"/>
                  <w:color w:val="0000FF"/>
                  <w:w w:val="92"/>
                </w:rPr>
                <w:t>Confirmation, by and between Gevo NW</w:t>
              </w:r>
            </w:hyperlink>
          </w:p>
        </w:tc>
        <w:tc>
          <w:tcPr>
            <w:tcW w:w="20" w:type="dxa"/>
            <w:vAlign w:val="bottom"/>
          </w:tcPr>
          <w:p>
            <w:pPr>
              <w:spacing w:after="0"/>
              <w:rPr>
                <w:sz w:val="13"/>
                <w:szCs w:val="13"/>
                <w:color w:val="auto"/>
              </w:rPr>
            </w:pPr>
          </w:p>
        </w:tc>
        <w:tc>
          <w:tcPr>
            <w:tcW w:w="640" w:type="dxa"/>
            <w:vAlign w:val="bottom"/>
            <w:gridSpan w:val="15"/>
          </w:tcPr>
          <w:p>
            <w:pPr>
              <w:ind w:left="60"/>
              <w:spacing w:after="0" w:line="150" w:lineRule="exact"/>
              <w:rPr>
                <w:rFonts w:ascii="Arial" w:cs="Arial" w:eastAsia="Arial" w:hAnsi="Arial"/>
                <w:sz w:val="17"/>
                <w:szCs w:val="17"/>
                <w:color w:val="0000FF"/>
              </w:rPr>
            </w:pPr>
            <w:hyperlink r:id="rId156">
              <w:r>
                <w:rPr>
                  <w:rFonts w:ascii="Arial" w:cs="Arial" w:eastAsia="Arial" w:hAnsi="Arial"/>
                  <w:sz w:val="17"/>
                  <w:szCs w:val="17"/>
                  <w:color w:val="0000FF"/>
                </w:rPr>
                <w:t>Iowa</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19"/>
          </w:tcPr>
          <w:p>
            <w:pPr>
              <w:spacing w:after="0" w:line="163" w:lineRule="exact"/>
              <w:rPr>
                <w:rFonts w:ascii="Arial" w:cs="Arial" w:eastAsia="Arial" w:hAnsi="Arial"/>
                <w:sz w:val="17"/>
                <w:szCs w:val="17"/>
                <w:color w:val="0000FF"/>
                <w:w w:val="91"/>
              </w:rPr>
            </w:pPr>
            <w:hyperlink r:id="rId156">
              <w:r>
                <w:rPr>
                  <w:rFonts w:ascii="Arial" w:cs="Arial" w:eastAsia="Arial" w:hAnsi="Arial"/>
                  <w:sz w:val="17"/>
                  <w:szCs w:val="17"/>
                  <w:color w:val="0000FF"/>
                  <w:w w:val="91"/>
                </w:rPr>
                <w:t>RNG, LLC BP Canada Energy Marketing Corp,</w:t>
              </w:r>
            </w:hyperlink>
          </w:p>
        </w:tc>
        <w:tc>
          <w:tcPr>
            <w:tcW w:w="140" w:type="dxa"/>
            <w:vAlign w:val="bottom"/>
            <w:tcBorders>
              <w:bottom w:val="single" w:sz="8" w:color="0000FF"/>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bottom w:val="single" w:sz="8" w:color="0000FF"/>
            </w:tcBorders>
            <w:gridSpan w:val="9"/>
          </w:tcPr>
          <w:p>
            <w:pPr>
              <w:spacing w:after="0" w:line="150"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and BP Products North America Inc.</w:t>
              </w:r>
            </w:hyperlink>
          </w:p>
        </w:tc>
        <w:tc>
          <w:tcPr>
            <w:tcW w:w="840" w:type="dxa"/>
            <w:vAlign w:val="bottom"/>
            <w:gridSpan w:val="1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4"/>
        </w:trPr>
        <w:tc>
          <w:tcPr>
            <w:tcW w:w="1240" w:type="dxa"/>
            <w:vAlign w:val="bottom"/>
          </w:tcPr>
          <w:p>
            <w:pPr>
              <w:jc w:val="center"/>
              <w:spacing w:after="0"/>
              <w:rPr>
                <w:sz w:val="20"/>
                <w:szCs w:val="20"/>
                <w:color w:val="auto"/>
              </w:rPr>
            </w:pPr>
            <w:r>
              <w:rPr>
                <w:rFonts w:ascii="Arial" w:cs="Arial" w:eastAsia="Arial" w:hAnsi="Arial"/>
                <w:sz w:val="17"/>
                <w:szCs w:val="17"/>
                <w:color w:val="auto"/>
                <w:w w:val="92"/>
              </w:rPr>
              <w:t>10.44#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FF"/>
            </w:tcBorders>
            <w:gridSpan w:val="18"/>
          </w:tcPr>
          <w:p>
            <w:pPr>
              <w:spacing w:after="0"/>
              <w:rPr>
                <w:rFonts w:ascii="Arial" w:cs="Arial" w:eastAsia="Arial" w:hAnsi="Arial"/>
                <w:sz w:val="17"/>
                <w:szCs w:val="17"/>
                <w:color w:val="0000FF"/>
                <w:w w:val="91"/>
              </w:rPr>
            </w:pPr>
            <w:hyperlink r:id="rId157">
              <w:r>
                <w:rPr>
                  <w:rFonts w:ascii="Arial" w:cs="Arial" w:eastAsia="Arial" w:hAnsi="Arial"/>
                  <w:sz w:val="17"/>
                  <w:szCs w:val="17"/>
                  <w:color w:val="0000FF"/>
                  <w:w w:val="91"/>
                </w:rPr>
                <w:t>Gevo, Inc. Change in Control Severance Plan</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240" w:type="dxa"/>
            <w:vAlign w:val="bottom"/>
          </w:tcPr>
          <w:p>
            <w:pPr>
              <w:jc w:val="center"/>
              <w:spacing w:after="0"/>
              <w:rPr>
                <w:sz w:val="20"/>
                <w:szCs w:val="20"/>
                <w:color w:val="auto"/>
              </w:rPr>
            </w:pPr>
            <w:r>
              <w:rPr>
                <w:rFonts w:ascii="Arial" w:cs="Arial" w:eastAsia="Arial" w:hAnsi="Arial"/>
                <w:sz w:val="17"/>
                <w:szCs w:val="17"/>
                <w:color w:val="auto"/>
                <w:w w:val="84"/>
              </w:rPr>
              <w:t>18.1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0000FF"/>
              </w:rPr>
              <w:t>Preferability letter of independent registered</w:t>
            </w: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tcBorders>
            <w:gridSpan w:val="14"/>
          </w:tcPr>
          <w:p>
            <w:pPr>
              <w:spacing w:after="0" w:line="150" w:lineRule="exact"/>
              <w:rPr>
                <w:sz w:val="20"/>
                <w:szCs w:val="20"/>
                <w:color w:val="auto"/>
              </w:rPr>
            </w:pPr>
            <w:r>
              <w:rPr>
                <w:rFonts w:ascii="Arial" w:cs="Arial" w:eastAsia="Arial" w:hAnsi="Arial"/>
                <w:sz w:val="17"/>
                <w:szCs w:val="17"/>
                <w:color w:val="0000FF"/>
              </w:rPr>
              <w:t>public accounting firm.</w:t>
            </w:r>
          </w:p>
        </w:tc>
        <w:tc>
          <w:tcPr>
            <w:tcW w:w="60" w:type="dxa"/>
            <w:vAlign w:val="bottom"/>
            <w:gridSpan w:val="3"/>
          </w:tcPr>
          <w:p>
            <w:pPr>
              <w:spacing w:after="0"/>
              <w:rPr>
                <w:sz w:val="13"/>
                <w:szCs w:val="13"/>
                <w:color w:val="auto"/>
              </w:rPr>
            </w:pPr>
          </w:p>
        </w:tc>
        <w:tc>
          <w:tcPr>
            <w:tcW w:w="3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490"/>
        </w:trPr>
        <w:tc>
          <w:tcPr>
            <w:tcW w:w="1240" w:type="dxa"/>
            <w:vAlign w:val="bottom"/>
          </w:tcPr>
          <w:p>
            <w:pPr>
              <w:jc w:val="center"/>
              <w:spacing w:after="0"/>
              <w:rPr>
                <w:sz w:val="20"/>
                <w:szCs w:val="20"/>
                <w:color w:val="auto"/>
              </w:rPr>
            </w:pPr>
            <w:r>
              <w:rPr>
                <w:rFonts w:ascii="Arial" w:cs="Arial" w:eastAsia="Arial" w:hAnsi="Arial"/>
                <w:sz w:val="17"/>
                <w:szCs w:val="17"/>
                <w:color w:val="auto"/>
                <w:w w:val="84"/>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top w:val="single" w:sz="8" w:color="0000FF"/>
              <w:bottom w:val="single" w:sz="8" w:color="3051F2"/>
            </w:tcBorders>
            <w:gridSpan w:val="5"/>
          </w:tcPr>
          <w:p>
            <w:pPr>
              <w:spacing w:after="0"/>
              <w:rPr>
                <w:sz w:val="20"/>
                <w:szCs w:val="20"/>
                <w:color w:val="auto"/>
              </w:rPr>
            </w:pPr>
            <w:r>
              <w:rPr>
                <w:rFonts w:ascii="Arial" w:cs="Arial" w:eastAsia="Arial" w:hAnsi="Arial"/>
                <w:sz w:val="17"/>
                <w:szCs w:val="17"/>
                <w:color w:val="3051F2"/>
                <w:w w:val="93"/>
              </w:rPr>
              <w:t>List of Subsidiaries.</w:t>
            </w:r>
          </w:p>
        </w:tc>
        <w:tc>
          <w:tcPr>
            <w:tcW w:w="220" w:type="dxa"/>
            <w:vAlign w:val="bottom"/>
            <w:tcBorders>
              <w:top w:val="single" w:sz="8" w:color="0000FF"/>
            </w:tcBorders>
          </w:tcPr>
          <w:p>
            <w:pPr>
              <w:spacing w:after="0"/>
              <w:rPr>
                <w:sz w:val="24"/>
                <w:szCs w:val="24"/>
                <w:color w:val="auto"/>
              </w:rPr>
            </w:pPr>
          </w:p>
        </w:tc>
        <w:tc>
          <w:tcPr>
            <w:tcW w:w="18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240" w:type="dxa"/>
            <w:vAlign w:val="bottom"/>
          </w:tcPr>
          <w:p>
            <w:pPr>
              <w:jc w:val="center"/>
              <w:spacing w:after="0"/>
              <w:rPr>
                <w:sz w:val="20"/>
                <w:szCs w:val="20"/>
                <w:color w:val="auto"/>
              </w:rPr>
            </w:pPr>
            <w:r>
              <w:rPr>
                <w:rFonts w:ascii="Arial" w:cs="Arial" w:eastAsia="Arial" w:hAnsi="Arial"/>
                <w:sz w:val="17"/>
                <w:szCs w:val="17"/>
                <w:color w:val="auto"/>
                <w:w w:val="84"/>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3051F2"/>
              </w:rPr>
              <w:t>Consent of Grant Thornton LLP.</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7"/>
                <w:szCs w:val="17"/>
                <w:color w:val="auto"/>
                <w:w w:val="84"/>
              </w:rPr>
              <w:t>31.1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1040" w:type="dxa"/>
            <w:vAlign w:val="bottom"/>
            <w:tcBorders>
              <w:left w:val="single" w:sz="8" w:color="3051F2"/>
            </w:tcBorders>
            <w:gridSpan w:val="4"/>
            <w:shd w:val="clear" w:color="auto" w:fill="3051F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3051F2"/>
              </w:rPr>
              <w:t>Section 302 Certification of the Principal</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3051F2"/>
            </w:tcBorders>
            <w:gridSpan w:val="12"/>
          </w:tcPr>
          <w:p>
            <w:pPr>
              <w:spacing w:after="0" w:line="176" w:lineRule="exact"/>
              <w:rPr>
                <w:sz w:val="20"/>
                <w:szCs w:val="20"/>
                <w:color w:val="auto"/>
              </w:rPr>
            </w:pPr>
            <w:r>
              <w:rPr>
                <w:rFonts w:ascii="Arial" w:cs="Arial" w:eastAsia="Arial" w:hAnsi="Arial"/>
                <w:sz w:val="17"/>
                <w:szCs w:val="17"/>
                <w:color w:val="3051F2"/>
              </w:rPr>
              <w:t>Executive Officer.</w:t>
            </w:r>
          </w:p>
        </w:tc>
        <w:tc>
          <w:tcPr>
            <w:tcW w:w="6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7"/>
                <w:szCs w:val="17"/>
                <w:color w:val="auto"/>
                <w:w w:val="84"/>
              </w:rPr>
              <w:t>31.2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1720" w:type="dxa"/>
            <w:vAlign w:val="bottom"/>
            <w:tcBorders>
              <w:left w:val="single" w:sz="8" w:color="3051F2"/>
            </w:tcBorders>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3051F2"/>
              </w:rPr>
              <w:t>Section 302 Certification of the Principal</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3051F2"/>
            </w:tcBorders>
            <w:gridSpan w:val="12"/>
          </w:tcPr>
          <w:p>
            <w:pPr>
              <w:spacing w:after="0" w:line="176" w:lineRule="exact"/>
              <w:rPr>
                <w:sz w:val="20"/>
                <w:szCs w:val="20"/>
                <w:color w:val="auto"/>
              </w:rPr>
            </w:pPr>
            <w:r>
              <w:rPr>
                <w:rFonts w:ascii="Arial" w:cs="Arial" w:eastAsia="Arial" w:hAnsi="Arial"/>
                <w:sz w:val="17"/>
                <w:szCs w:val="17"/>
                <w:color w:val="3051F2"/>
              </w:rPr>
              <w:t>Financial Officer.</w:t>
            </w:r>
          </w:p>
        </w:tc>
        <w:tc>
          <w:tcPr>
            <w:tcW w:w="6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7"/>
                <w:szCs w:val="17"/>
                <w:color w:val="auto"/>
                <w:w w:val="98"/>
              </w:rPr>
              <w:t>32.1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Borders>
              <w:bottom w:val="single" w:sz="8" w:color="3051F2"/>
            </w:tcBorders>
            <w:gridSpan w:val="13"/>
          </w:tcPr>
          <w:p>
            <w:pPr>
              <w:spacing w:after="0"/>
              <w:rPr>
                <w:sz w:val="20"/>
                <w:szCs w:val="20"/>
                <w:color w:val="auto"/>
              </w:rPr>
            </w:pPr>
            <w:r>
              <w:rPr>
                <w:rFonts w:ascii="Arial" w:cs="Arial" w:eastAsia="Arial" w:hAnsi="Arial"/>
                <w:sz w:val="17"/>
                <w:szCs w:val="17"/>
                <w:color w:val="3051F2"/>
                <w:w w:val="94"/>
              </w:rPr>
              <w:t>Section 906 Certifications of the Principal</w:t>
            </w:r>
          </w:p>
        </w:tc>
        <w:tc>
          <w:tcPr>
            <w:tcW w:w="56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gridSpan w:val="27"/>
          </w:tcPr>
          <w:p>
            <w:pPr>
              <w:spacing w:after="0" w:line="176" w:lineRule="exact"/>
              <w:rPr>
                <w:sz w:val="20"/>
                <w:szCs w:val="20"/>
                <w:color w:val="auto"/>
              </w:rPr>
            </w:pPr>
            <w:r>
              <w:rPr>
                <w:rFonts w:ascii="Arial" w:cs="Arial" w:eastAsia="Arial" w:hAnsi="Arial"/>
                <w:sz w:val="17"/>
                <w:szCs w:val="17"/>
                <w:color w:val="3051F2"/>
              </w:rPr>
              <w:t>Executive Officer and the Principal Financial</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Borders>
              <w:top w:val="single" w:sz="8" w:color="3051F2"/>
            </w:tcBorders>
            <w:gridSpan w:val="17"/>
          </w:tcPr>
          <w:p>
            <w:pPr>
              <w:spacing w:after="0" w:line="189" w:lineRule="exact"/>
              <w:rPr>
                <w:sz w:val="20"/>
                <w:szCs w:val="20"/>
                <w:color w:val="auto"/>
              </w:rPr>
            </w:pPr>
            <w:r>
              <w:rPr>
                <w:rFonts w:ascii="Arial" w:cs="Arial" w:eastAsia="Arial" w:hAnsi="Arial"/>
                <w:sz w:val="17"/>
                <w:szCs w:val="17"/>
                <w:color w:val="3051F2"/>
              </w:rPr>
              <w:t>Officer.</w:t>
            </w:r>
          </w:p>
        </w:tc>
        <w:tc>
          <w:tcPr>
            <w:tcW w:w="3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1"/>
              </w:rPr>
              <w:t>101.INS</w:t>
            </w:r>
          </w:p>
        </w:tc>
        <w:tc>
          <w:tcPr>
            <w:tcW w:w="20" w:type="dxa"/>
            <w:vAlign w:val="bottom"/>
          </w:tcPr>
          <w:p>
            <w:pPr>
              <w:spacing w:after="0" w:line="20" w:lineRule="exact"/>
              <w:rPr>
                <w:sz w:val="1"/>
                <w:szCs w:val="1"/>
                <w:color w:val="auto"/>
              </w:rPr>
            </w:pPr>
          </w:p>
        </w:tc>
        <w:tc>
          <w:tcPr>
            <w:tcW w:w="520" w:type="dxa"/>
            <w:vAlign w:val="bottom"/>
            <w:gridSpan w:val="3"/>
            <w:shd w:val="clear" w:color="auto" w:fill="3051F2"/>
          </w:tcPr>
          <w:p>
            <w:pPr>
              <w:spacing w:after="0" w:line="20" w:lineRule="exact"/>
              <w:rPr>
                <w:sz w:val="1"/>
                <w:szCs w:val="1"/>
                <w:color w:val="auto"/>
              </w:rPr>
            </w:pPr>
          </w:p>
        </w:tc>
        <w:tc>
          <w:tcPr>
            <w:tcW w:w="29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auto"/>
              </w:rPr>
              <w:t>Inline XBRL Instance Document (the Instance</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auto"/>
                <w:w w:val="92"/>
              </w:rPr>
              <w:t>Document does not appear in the Interactive Data</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auto"/>
                <w:w w:val="94"/>
              </w:rPr>
              <w:t>File because its XBRL tags are embedded within</w:t>
            </w: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gridSpan w:val="27"/>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78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File No.</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Filing 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Exhibit</w:t>
            </w:r>
          </w:p>
        </w:tc>
      </w:tr>
      <w:tr>
        <w:trPr>
          <w:trHeight w:val="23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April 15,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91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April 15, 2021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r>
      <w:tr>
        <w:trPr>
          <w:trHeight w:val="915"/>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March 22,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836"/>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March 21,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836"/>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July 22,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r>
        <w:trPr>
          <w:trHeight w:val="836"/>
        </w:trPr>
        <w:tc>
          <w:tcPr>
            <w:tcW w:w="9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10-Q</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August 8,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r>
      <w:tr>
        <w:trPr>
          <w:trHeight w:val="1006"/>
        </w:trPr>
        <w:tc>
          <w:tcPr>
            <w:tcW w:w="9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001-35073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December 2, 2022</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70485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Filed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31750</wp:posOffset>
            </wp:positionV>
            <wp:extent cx="6807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X</w:t>
      </w:r>
    </w:p>
    <w:p>
      <w:pPr>
        <w:spacing w:after="0" w:line="262" w:lineRule="exact"/>
        <w:rPr>
          <w:sz w:val="20"/>
          <w:szCs w:val="20"/>
          <w:color w:val="auto"/>
        </w:rPr>
      </w:pPr>
    </w:p>
    <w:p>
      <w:pPr>
        <w:ind w:left="400" w:hanging="169"/>
        <w:spacing w:after="0"/>
        <w:tabs>
          <w:tab w:leader="none" w:pos="4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X</w:t>
      </w:r>
    </w:p>
    <w:p>
      <w:pPr>
        <w:sectPr>
          <w:pgSz w:w="11900" w:h="16838" w:orient="portrait"/>
          <w:cols w:equalWidth="0" w:num="3">
            <w:col w:w="4860" w:space="120"/>
            <w:col w:w="5000" w:space="280"/>
            <w:col w:w="700"/>
          </w:cols>
          <w:pgMar w:left="320" w:top="127" w:right="6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0000FF"/>
                <w:w w:val="92"/>
              </w:rPr>
              <w:t>Table of Contents</w:t>
            </w: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62"/>
        </w:trPr>
        <w:tc>
          <w:tcPr>
            <w:tcW w:w="1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520"/>
              <w:spacing w:after="0"/>
              <w:rPr>
                <w:sz w:val="20"/>
                <w:szCs w:val="20"/>
                <w:color w:val="auto"/>
              </w:rPr>
            </w:pPr>
            <w:r>
              <w:rPr>
                <w:rFonts w:ascii="Arial" w:cs="Arial" w:eastAsia="Arial" w:hAnsi="Arial"/>
                <w:sz w:val="17"/>
                <w:szCs w:val="17"/>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1"/>
        </w:trPr>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7"/>
                <w:szCs w:val="17"/>
                <w:b w:val="1"/>
                <w:bCs w:val="1"/>
                <w:color w:val="auto"/>
                <w:w w:val="98"/>
              </w:rPr>
              <w:t>Exhibit</w:t>
            </w: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5"/>
              </w:rPr>
              <w:t>Filed</w:t>
            </w:r>
          </w:p>
        </w:tc>
      </w:tr>
      <w:tr>
        <w:trPr>
          <w:trHeight w:val="247"/>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No.</w:t>
            </w:r>
          </w:p>
        </w:tc>
        <w:tc>
          <w:tcPr>
            <w:tcW w:w="100" w:type="dxa"/>
            <w:vAlign w:val="bottom"/>
            <w:gridSpan w:val="2"/>
          </w:tcPr>
          <w:p>
            <w:pPr>
              <w:spacing w:after="0"/>
              <w:rPr>
                <w:sz w:val="21"/>
                <w:szCs w:val="21"/>
                <w:color w:val="auto"/>
              </w:rPr>
            </w:pPr>
          </w:p>
        </w:tc>
        <w:tc>
          <w:tcPr>
            <w:tcW w:w="3520" w:type="dxa"/>
            <w:vAlign w:val="bottom"/>
            <w:tcBorders>
              <w:bottom w:val="single" w:sz="8" w:color="auto"/>
            </w:tcBorders>
          </w:tcPr>
          <w:p>
            <w:pPr>
              <w:ind w:left="1340"/>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Pr>
          <w:p>
            <w:pPr>
              <w:spacing w:after="0"/>
              <w:rPr>
                <w:sz w:val="21"/>
                <w:szCs w:val="21"/>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Form</w:t>
            </w:r>
          </w:p>
        </w:tc>
        <w:tc>
          <w:tcPr>
            <w:tcW w:w="120" w:type="dxa"/>
            <w:vAlign w:val="bottom"/>
          </w:tcPr>
          <w:p>
            <w:pPr>
              <w:spacing w:after="0"/>
              <w:rPr>
                <w:sz w:val="21"/>
                <w:szCs w:val="21"/>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File No.</w:t>
            </w:r>
          </w:p>
        </w:tc>
        <w:tc>
          <w:tcPr>
            <w:tcW w:w="100" w:type="dxa"/>
            <w:vAlign w:val="bottom"/>
          </w:tcPr>
          <w:p>
            <w:pPr>
              <w:spacing w:after="0"/>
              <w:rPr>
                <w:sz w:val="21"/>
                <w:szCs w:val="21"/>
                <w:color w:val="auto"/>
              </w:rPr>
            </w:pPr>
          </w:p>
        </w:tc>
        <w:tc>
          <w:tcPr>
            <w:tcW w:w="156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Filing Date</w:t>
            </w:r>
          </w:p>
        </w:tc>
        <w:tc>
          <w:tcPr>
            <w:tcW w:w="100" w:type="dxa"/>
            <w:vAlign w:val="bottom"/>
          </w:tcPr>
          <w:p>
            <w:pPr>
              <w:spacing w:after="0"/>
              <w:rPr>
                <w:sz w:val="21"/>
                <w:szCs w:val="21"/>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r>
      <w:tr>
        <w:trPr>
          <w:trHeight w:val="483"/>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101.SCH</w:t>
            </w: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Inline XBRL Taxonomy Extension Schema</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681"/>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96"/>
              </w:rPr>
              <w:t>101.CAL</w:t>
            </w: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Inline XBRL Taxonomy Extension Calculation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1"/>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Linkbase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84"/>
        </w:trPr>
        <w:tc>
          <w:tcPr>
            <w:tcW w:w="1340" w:type="dxa"/>
            <w:vAlign w:val="bottom"/>
            <w:gridSpan w:val="3"/>
          </w:tcPr>
          <w:p>
            <w:pPr>
              <w:jc w:val="center"/>
              <w:ind w:right="120"/>
              <w:spacing w:after="0"/>
              <w:rPr>
                <w:sz w:val="20"/>
                <w:szCs w:val="20"/>
                <w:color w:val="auto"/>
              </w:rPr>
            </w:pPr>
            <w:r>
              <w:rPr>
                <w:rFonts w:ascii="Arial" w:cs="Arial" w:eastAsia="Arial" w:hAnsi="Arial"/>
                <w:sz w:val="17"/>
                <w:szCs w:val="17"/>
                <w:color w:val="auto"/>
                <w:w w:val="92"/>
              </w:rPr>
              <w:t>101.DEF</w:t>
            </w: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Inline XBRL Taxonomy Extension Definition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1"/>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Linkbase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84"/>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rPr>
              <w:t>01.LAB</w:t>
            </w: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Inline XBRL Taxonomy Extension Label</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1"/>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Linkbase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84"/>
        </w:trPr>
        <w:tc>
          <w:tcPr>
            <w:tcW w:w="1340" w:type="dxa"/>
            <w:vAlign w:val="bottom"/>
            <w:gridSpan w:val="3"/>
          </w:tcPr>
          <w:p>
            <w:pPr>
              <w:jc w:val="center"/>
              <w:ind w:right="100"/>
              <w:spacing w:after="0"/>
              <w:rPr>
                <w:sz w:val="20"/>
                <w:szCs w:val="20"/>
                <w:color w:val="auto"/>
              </w:rPr>
            </w:pPr>
            <w:r>
              <w:rPr>
                <w:rFonts w:ascii="Arial" w:cs="Arial" w:eastAsia="Arial" w:hAnsi="Arial"/>
                <w:sz w:val="17"/>
                <w:szCs w:val="17"/>
                <w:color w:val="auto"/>
                <w:w w:val="88"/>
              </w:rPr>
              <w:t>101.PRE</w:t>
            </w: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Inline XBRL Taxonomy Extension Presentation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1"/>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7"/>
                <w:szCs w:val="17"/>
                <w:color w:val="auto"/>
              </w:rPr>
              <w:t>Linkbase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88" w:lineRule="exact"/>
        <w:rPr>
          <w:sz w:val="20"/>
          <w:szCs w:val="20"/>
          <w:color w:val="auto"/>
        </w:rPr>
      </w:pPr>
    </w:p>
    <w:p>
      <w:pPr>
        <w:ind w:left="1360" w:right="6400" w:hanging="869"/>
        <w:spacing w:after="0" w:line="256" w:lineRule="auto"/>
        <w:tabs>
          <w:tab w:leader="none" w:pos="13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and contained in Exhibit 101)</w:t>
      </w:r>
    </w:p>
    <w:p>
      <w:pPr>
        <w:spacing w:after="0" w:line="197" w:lineRule="exact"/>
        <w:rPr>
          <w:rFonts w:ascii="Arial" w:cs="Arial" w:eastAsia="Arial" w:hAnsi="Arial"/>
          <w:sz w:val="17"/>
          <w:szCs w:val="17"/>
          <w:color w:val="auto"/>
        </w:rPr>
      </w:pPr>
    </w:p>
    <w:p>
      <w:pPr>
        <w:ind w:left="620" w:hanging="615"/>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117" w:lineRule="exact"/>
        <w:rPr>
          <w:sz w:val="20"/>
          <w:szCs w:val="20"/>
          <w:color w:val="auto"/>
        </w:rPr>
      </w:pPr>
    </w:p>
    <w:p>
      <w:pPr>
        <w:ind w:left="640" w:right="80" w:hanging="635"/>
        <w:spacing w:after="0" w:line="272" w:lineRule="auto"/>
        <w:tabs>
          <w:tab w:leader="none" w:pos="2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portions of the exhibit have been omitted pursuant to Rule 601(b)(10) of Regulation S-K. The omitted information is (i) not material and (ii) would likely cause competitive harm to the Company if publicly disclosed.</w:t>
      </w:r>
    </w:p>
    <w:p>
      <w:pPr>
        <w:spacing w:after="0" w:line="6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Confidential portions of the exhibit have been redacted from the filed version of the exhibit and are marked with a ***</w:t>
      </w:r>
    </w:p>
    <w:p>
      <w:pPr>
        <w:spacing w:after="0" w:line="105" w:lineRule="exact"/>
        <w:rPr>
          <w:sz w:val="20"/>
          <w:szCs w:val="20"/>
          <w:color w:val="auto"/>
        </w:rPr>
      </w:pPr>
    </w:p>
    <w:p>
      <w:pPr>
        <w:ind w:left="640" w:right="380" w:hanging="635"/>
        <w:spacing w:after="0" w:line="272" w:lineRule="auto"/>
        <w:tabs>
          <w:tab w:leader="none" w:pos="3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Schedules have been omitted pursuant to Item 601(a)(5) of Regulation S-K. The Company hereby undertakes to supplementally furnish copies of any omitted schedules to the Securities and Exchange Commission upon request.</w:t>
      </w:r>
    </w:p>
    <w:p>
      <w:pPr>
        <w:spacing w:after="0" w:line="67" w:lineRule="exact"/>
        <w:rPr>
          <w:sz w:val="20"/>
          <w:szCs w:val="20"/>
          <w:color w:val="auto"/>
        </w:rPr>
      </w:pPr>
    </w:p>
    <w:p>
      <w:pPr>
        <w:ind w:right="5860" w:firstLine="5"/>
        <w:spacing w:after="0" w:line="400" w:lineRule="auto"/>
        <w:tabs>
          <w:tab w:leader="none" w:pos="3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Furnished herewith</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Exhibits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Item 15(a)(3)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Financial Statement Schedules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Item 15(a)(2) above.</w:t>
      </w:r>
    </w:p>
    <w:p>
      <w:pPr>
        <w:spacing w:after="0" w:line="16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SIGNATURES</w:t>
      </w:r>
    </w:p>
    <w:p>
      <w:pPr>
        <w:spacing w:after="0" w:line="190" w:lineRule="exact"/>
        <w:rPr>
          <w:sz w:val="20"/>
          <w:szCs w:val="20"/>
          <w:color w:val="auto"/>
        </w:rPr>
      </w:pPr>
    </w:p>
    <w:p>
      <w:pPr>
        <w:ind w:left="140" w:firstLine="470"/>
        <w:spacing w:after="0" w:line="27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Gevo, Inc.</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(REGISTRANT)</w:t>
      </w:r>
    </w:p>
    <w:p>
      <w:pPr>
        <w:spacing w:after="0" w:line="307"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Alisher Nurmat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24765</wp:posOffset>
            </wp:positionV>
            <wp:extent cx="24980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36" w:lineRule="exact"/>
        <w:rPr>
          <w:sz w:val="20"/>
          <w:szCs w:val="20"/>
          <w:color w:val="auto"/>
        </w:rPr>
      </w:pPr>
    </w:p>
    <w:p>
      <w:pPr>
        <w:jc w:val="center"/>
        <w:ind w:right="6000"/>
        <w:spacing w:after="0"/>
        <w:rPr>
          <w:sz w:val="20"/>
          <w:szCs w:val="20"/>
          <w:color w:val="auto"/>
        </w:rPr>
      </w:pPr>
      <w:r>
        <w:rPr>
          <w:rFonts w:ascii="Arial" w:cs="Arial" w:eastAsia="Arial" w:hAnsi="Arial"/>
          <w:sz w:val="14"/>
          <w:szCs w:val="14"/>
          <w:b w:val="1"/>
          <w:bCs w:val="1"/>
          <w:color w:val="auto"/>
        </w:rPr>
        <w:t>Alisher Nurmat, CPA</w:t>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4"/>
          <w:szCs w:val="14"/>
          <w:b w:val="1"/>
          <w:bCs w:val="1"/>
          <w:color w:val="auto"/>
        </w:rPr>
        <w:t>Vice President and Controller</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(Principal Accounting Officer)</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March 9, 2023</w:t>
      </w:r>
    </w:p>
    <w:p>
      <w:pPr>
        <w:spacing w:after="0" w:line="288" w:lineRule="exact"/>
        <w:rPr>
          <w:sz w:val="20"/>
          <w:szCs w:val="20"/>
          <w:color w:val="auto"/>
        </w:rPr>
      </w:pPr>
    </w:p>
    <w:p>
      <w:pPr>
        <w:ind w:left="140" w:right="260" w:firstLine="470"/>
        <w:spacing w:after="0" w:line="272"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Signatures</w:t>
            </w:r>
          </w:p>
        </w:tc>
        <w:tc>
          <w:tcPr>
            <w:tcW w:w="4800" w:type="dxa"/>
            <w:vAlign w:val="bottom"/>
            <w:gridSpan w:val="3"/>
          </w:tcPr>
          <w:p>
            <w:pPr>
              <w:ind w:left="2200"/>
              <w:spacing w:after="0"/>
              <w:rPr>
                <w:sz w:val="20"/>
                <w:szCs w:val="20"/>
                <w:color w:val="auto"/>
              </w:rPr>
            </w:pPr>
            <w:r>
              <w:rPr>
                <w:rFonts w:ascii="Arial" w:cs="Arial" w:eastAsia="Arial" w:hAnsi="Arial"/>
                <w:sz w:val="17"/>
                <w:szCs w:val="17"/>
                <w:b w:val="1"/>
                <w:bCs w:val="1"/>
                <w:color w:val="auto"/>
              </w:rPr>
              <w:t>Title</w:t>
            </w:r>
          </w:p>
        </w:tc>
        <w:tc>
          <w:tcPr>
            <w:tcW w:w="740" w:type="dxa"/>
            <w:vAlign w:val="bottom"/>
          </w:tcPr>
          <w:p>
            <w:pPr>
              <w:spacing w:after="0"/>
              <w:rPr>
                <w:sz w:val="16"/>
                <w:szCs w:val="16"/>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Date</w:t>
            </w:r>
          </w:p>
        </w:tc>
      </w:tr>
      <w:tr>
        <w:trPr>
          <w:trHeight w:val="20"/>
        </w:trPr>
        <w:tc>
          <w:tcPr>
            <w:tcW w:w="1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90"/>
        </w:trPr>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Chief Executive Officer (Principal Executive Officer) and</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8"/>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6"/>
              </w:rPr>
              <w:t>/s/ PATRICK R. GRUBER</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6"/>
              </w:rPr>
              <w:t>Patrick R. Gruber, Ph.D.</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L. LYNN SMULL</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Chief Financial Officer (Principal Financial Officer)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L. Lynn Smull</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ALISHER NURMAT</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Vice President and Controller (Principal Accounting Officer)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Alisher Nurmat, CPA</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WILLIAM H. BAUM</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Chairperson of the Board of Directors</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7"/>
              </w:rPr>
              <w:t>William H. Baum</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6"/>
              </w:rPr>
              <w:t>/s/ RUTH I. DREESSEN</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2"/>
              </w:rPr>
              <w:t>Ruth I. Dreessen</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8"/>
              </w:rPr>
              <w:t>/s/ GARY W. MIZE</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Gary W. Mize</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/s/ ANDREW J. MARSH</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Andrew J. Marsh</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JAIME GUILLEN</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Jaime Guillen</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16"/>
        </w:trPr>
        <w:tc>
          <w:tcPr>
            <w:tcW w:w="4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/s/ CAROL J. BATTERSHELL</w:t>
            </w:r>
          </w:p>
        </w:tc>
        <w:tc>
          <w:tcPr>
            <w:tcW w:w="480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420" w:type="dxa"/>
            <w:vAlign w:val="bottom"/>
            <w:gridSpan w:val="3"/>
          </w:tcPr>
          <w:p>
            <w:pPr>
              <w:jc w:val="center"/>
              <w:ind w:left="313"/>
              <w:spacing w:after="0"/>
              <w:rPr>
                <w:sz w:val="20"/>
                <w:szCs w:val="20"/>
                <w:color w:val="auto"/>
              </w:rPr>
            </w:pPr>
            <w:r>
              <w:rPr>
                <w:rFonts w:ascii="Arial" w:cs="Arial" w:eastAsia="Arial" w:hAnsi="Arial"/>
                <w:sz w:val="17"/>
                <w:szCs w:val="17"/>
                <w:color w:val="auto"/>
                <w:w w:val="93"/>
              </w:rPr>
              <w:t>March 9, 2023</w:t>
            </w:r>
          </w:p>
        </w:tc>
      </w:tr>
      <w:tr>
        <w:trPr>
          <w:trHeight w:val="235"/>
        </w:trPr>
        <w:tc>
          <w:tcPr>
            <w:tcW w:w="4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Carol J. Battershell</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889"/>
        </w:trPr>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0" w:type="dxa"/>
            <w:vAlign w:val="bottom"/>
          </w:tcPr>
          <w:p>
            <w:pPr>
              <w:ind w:left="1020"/>
              <w:spacing w:after="0"/>
              <w:rPr>
                <w:sz w:val="20"/>
                <w:szCs w:val="20"/>
                <w:color w:val="auto"/>
              </w:rPr>
            </w:pPr>
            <w:r>
              <w:rPr>
                <w:rFonts w:ascii="Arial" w:cs="Arial" w:eastAsia="Arial" w:hAnsi="Arial"/>
                <w:sz w:val="17"/>
                <w:szCs w:val="17"/>
                <w:color w:val="auto"/>
              </w:rPr>
              <w:t>88</w:t>
            </w: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020"/>
          </w:cols>
          <w:pgMar w:left="320" w:top="127" w:right="559" w:bottom="1440" w:gutter="0" w:footer="0" w:header="0"/>
        </w:sectPr>
      </w:pPr>
    </w:p>
    <w:bookmarkStart w:id="89" w:name="page90"/>
    <w:bookmarkEnd w:id="89"/>
    <w:p>
      <w:pPr>
        <w:ind w:left="10220"/>
        <w:spacing w:after="0"/>
        <w:rPr>
          <w:sz w:val="20"/>
          <w:szCs w:val="20"/>
          <w:color w:val="auto"/>
        </w:rPr>
      </w:pPr>
      <w:r>
        <w:rPr>
          <w:rFonts w:ascii="Arial" w:cs="Arial" w:eastAsia="Arial" w:hAnsi="Arial"/>
          <w:sz w:val="17"/>
          <w:szCs w:val="17"/>
          <w:b w:val="1"/>
          <w:bCs w:val="1"/>
          <w:color w:val="auto"/>
        </w:rPr>
        <w:t>Exhibit 18.1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March 9, 2023</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Gevo,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345 Inverness Drive South, Building C, Suite 310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Englewood, Colorado 80012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Dear Directors: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We are providing this letter solely for inclusion as an exhibit to Gevo, Inc. (the “Company”) Form 10-K filing pursuant to Item 601 of Regulation S-K.</w:t>
      </w:r>
    </w:p>
    <w:p>
      <w:pPr>
        <w:spacing w:after="0" w:line="2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audited the consolidated financial statements included in the Company’s Annual Report on Form 10-K for the year ended December 31, 2022, as set forth in our report dated March 9, 2023. As stated in Note 9 to those financial statements, the Company changed its accounting policy covering the application of the practical expedient to not separate the lease and non-lease components of lease agreements under ASC 842, Leases. Under the new accounting policy, the Company will not elect the practical expedient and will account for lease components separately from non-lease components for the Company’s dairy lease asset class. Note 9 also states management’s belief that the newly adopted accounting principle is preferable in the circumstances because it provides the most useful and transparent financial</w:t>
      </w:r>
    </w:p>
    <w:p>
      <w:pPr>
        <w:ind w:right="600"/>
        <w:spacing w:after="0" w:line="288" w:lineRule="auto"/>
        <w:rPr>
          <w:sz w:val="20"/>
          <w:szCs w:val="20"/>
          <w:color w:val="auto"/>
        </w:rPr>
      </w:pPr>
      <w:r>
        <w:rPr>
          <w:rFonts w:ascii="Arial" w:cs="Arial" w:eastAsia="Arial" w:hAnsi="Arial"/>
          <w:sz w:val="17"/>
          <w:szCs w:val="17"/>
          <w:color w:val="auto"/>
        </w:rPr>
        <w:t>information and improves comparability and consistency of financial information, resulting in improved financial reporting and alignment with financial information used internally by management.</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w:t>
      </w:r>
    </w:p>
    <w:p>
      <w:pPr>
        <w:spacing w:after="0" w:line="198" w:lineRule="exact"/>
        <w:rPr>
          <w:sz w:val="20"/>
          <w:szCs w:val="20"/>
          <w:color w:val="auto"/>
        </w:rPr>
      </w:pPr>
    </w:p>
    <w:p>
      <w:pPr>
        <w:jc w:val="both"/>
        <w:ind w:right="540"/>
        <w:spacing w:after="0" w:line="288" w:lineRule="auto"/>
        <w:rPr>
          <w:sz w:val="20"/>
          <w:szCs w:val="20"/>
          <w:color w:val="auto"/>
        </w:rPr>
      </w:pPr>
      <w:r>
        <w:rPr>
          <w:rFonts w:ascii="Arial" w:cs="Arial" w:eastAsia="Arial" w:hAnsi="Arial"/>
          <w:sz w:val="17"/>
          <w:szCs w:val="17"/>
          <w:color w:val="auto"/>
        </w:rPr>
        <w:t>Based on our reading of management’s stated reasons and justification for this change in accounting principle in the Form 10-K, and our discussions with management as to their judgment about the relevant business planning factors relating to the change, we concur with management that the newly adopted method of accounting is preferable in the Company’s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ectPr>
          <w:pgSz w:w="11900" w:h="16838" w:orient="portrait"/>
          <w:cols w:equalWidth="0" w:num="1">
            <w:col w:w="11240"/>
          </w:cols>
          <w:pgMar w:left="320" w:top="90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21.1</w:t>
      </w: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6840" w:type="dxa"/>
            <w:vAlign w:val="bottom"/>
            <w:gridSpan w:val="5"/>
          </w:tcPr>
          <w:p>
            <w:pPr>
              <w:ind w:left="560"/>
              <w:spacing w:after="0" w:line="189" w:lineRule="exact"/>
              <w:rPr>
                <w:sz w:val="20"/>
                <w:szCs w:val="20"/>
                <w:color w:val="auto"/>
              </w:rPr>
            </w:pPr>
            <w:r>
              <w:rPr>
                <w:rFonts w:ascii="Arial" w:cs="Arial" w:eastAsia="Arial" w:hAnsi="Arial"/>
                <w:sz w:val="17"/>
                <w:szCs w:val="17"/>
                <w:b w:val="1"/>
                <w:bCs w:val="1"/>
                <w:color w:val="auto"/>
              </w:rPr>
              <w:t>Subsidiaries of Gevo, Inc.</w:t>
            </w:r>
          </w:p>
        </w:tc>
      </w:tr>
      <w:tr>
        <w:trPr>
          <w:trHeight w:val="26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Subsidiary</w:t>
            </w:r>
          </w:p>
        </w:tc>
        <w:tc>
          <w:tcPr>
            <w:tcW w:w="560" w:type="dxa"/>
            <w:vAlign w:val="bottom"/>
            <w:tcBorders>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97"/>
              </w:rPr>
              <w:t>Jurisdiction</w:t>
            </w:r>
          </w:p>
        </w:tc>
        <w:tc>
          <w:tcPr>
            <w:tcW w:w="4380" w:type="dxa"/>
            <w:vAlign w:val="bottom"/>
            <w:tcBorders>
              <w:bottom w:val="single" w:sz="8" w:color="auto"/>
            </w:tcBorders>
          </w:tcPr>
          <w:p>
            <w:pPr>
              <w:spacing w:after="0"/>
              <w:rPr>
                <w:sz w:val="23"/>
                <w:szCs w:val="23"/>
                <w:color w:val="auto"/>
              </w:rPr>
            </w:pPr>
          </w:p>
        </w:tc>
      </w:tr>
      <w:tr>
        <w:trPr>
          <w:trHeight w:val="463"/>
        </w:trPr>
        <w:tc>
          <w:tcPr>
            <w:tcW w:w="3980" w:type="dxa"/>
            <w:vAlign w:val="bottom"/>
          </w:tcPr>
          <w:p>
            <w:pPr>
              <w:spacing w:after="0"/>
              <w:rPr>
                <w:sz w:val="20"/>
                <w:szCs w:val="20"/>
                <w:color w:val="auto"/>
              </w:rPr>
            </w:pPr>
            <w:r>
              <w:rPr>
                <w:rFonts w:ascii="Arial" w:cs="Arial" w:eastAsia="Arial" w:hAnsi="Arial"/>
                <w:sz w:val="17"/>
                <w:szCs w:val="17"/>
                <w:color w:val="auto"/>
              </w:rPr>
              <w:t>Gevo Asset, LLC (fka Gevo Development, LLC)</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484"/>
        </w:trPr>
        <w:tc>
          <w:tcPr>
            <w:tcW w:w="3980" w:type="dxa"/>
            <w:vAlign w:val="bottom"/>
          </w:tcPr>
          <w:p>
            <w:pPr>
              <w:spacing w:after="0"/>
              <w:rPr>
                <w:sz w:val="20"/>
                <w:szCs w:val="20"/>
                <w:color w:val="auto"/>
              </w:rPr>
            </w:pPr>
            <w:r>
              <w:rPr>
                <w:rFonts w:ascii="Arial" w:cs="Arial" w:eastAsia="Arial" w:hAnsi="Arial"/>
                <w:sz w:val="17"/>
                <w:szCs w:val="17"/>
                <w:color w:val="auto"/>
              </w:rPr>
              <w:t>Gevo RNG Holdco, LLC</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484"/>
        </w:trPr>
        <w:tc>
          <w:tcPr>
            <w:tcW w:w="3980" w:type="dxa"/>
            <w:vAlign w:val="bottom"/>
          </w:tcPr>
          <w:p>
            <w:pPr>
              <w:spacing w:after="0"/>
              <w:rPr>
                <w:sz w:val="20"/>
                <w:szCs w:val="20"/>
                <w:color w:val="auto"/>
              </w:rPr>
            </w:pPr>
            <w:r>
              <w:rPr>
                <w:rFonts w:ascii="Arial" w:cs="Arial" w:eastAsia="Arial" w:hAnsi="Arial"/>
                <w:sz w:val="17"/>
                <w:szCs w:val="17"/>
                <w:color w:val="auto"/>
              </w:rPr>
              <w:t>Gevo NW Iowa RNG, LLC</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484"/>
        </w:trPr>
        <w:tc>
          <w:tcPr>
            <w:tcW w:w="3980" w:type="dxa"/>
            <w:vAlign w:val="bottom"/>
          </w:tcPr>
          <w:p>
            <w:pPr>
              <w:spacing w:after="0"/>
              <w:rPr>
                <w:sz w:val="20"/>
                <w:szCs w:val="20"/>
                <w:color w:val="auto"/>
              </w:rPr>
            </w:pPr>
            <w:r>
              <w:rPr>
                <w:rFonts w:ascii="Arial" w:cs="Arial" w:eastAsia="Arial" w:hAnsi="Arial"/>
                <w:sz w:val="17"/>
                <w:szCs w:val="17"/>
                <w:color w:val="auto"/>
              </w:rPr>
              <w:t>Agri-Energy, LLC</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Minnesota</w:t>
            </w:r>
          </w:p>
        </w:tc>
      </w:tr>
      <w:tr>
        <w:trPr>
          <w:trHeight w:val="484"/>
        </w:trPr>
        <w:tc>
          <w:tcPr>
            <w:tcW w:w="3980" w:type="dxa"/>
            <w:vAlign w:val="bottom"/>
          </w:tcPr>
          <w:p>
            <w:pPr>
              <w:spacing w:after="0"/>
              <w:rPr>
                <w:sz w:val="20"/>
                <w:szCs w:val="20"/>
                <w:color w:val="auto"/>
              </w:rPr>
            </w:pPr>
            <w:r>
              <w:rPr>
                <w:rFonts w:ascii="Arial" w:cs="Arial" w:eastAsia="Arial" w:hAnsi="Arial"/>
                <w:sz w:val="17"/>
                <w:szCs w:val="17"/>
                <w:color w:val="auto"/>
              </w:rPr>
              <w:t>Gevo Net-Zero Holdco, LLC</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484"/>
        </w:trPr>
        <w:tc>
          <w:tcPr>
            <w:tcW w:w="3980" w:type="dxa"/>
            <w:vAlign w:val="bottom"/>
          </w:tcPr>
          <w:p>
            <w:pPr>
              <w:spacing w:after="0"/>
              <w:rPr>
                <w:sz w:val="20"/>
                <w:szCs w:val="20"/>
                <w:color w:val="auto"/>
              </w:rPr>
            </w:pPr>
            <w:r>
              <w:rPr>
                <w:rFonts w:ascii="Arial" w:cs="Arial" w:eastAsia="Arial" w:hAnsi="Arial"/>
                <w:sz w:val="17"/>
                <w:szCs w:val="17"/>
                <w:color w:val="auto"/>
              </w:rPr>
              <w:t>Gevo Net-Zero 1, LLC</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0980"/>
          </w:cols>
          <w:pgMar w:left="460" w:top="905" w:right="45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23.1</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CONSENT OF INDEPENDENT CERTIFIED PUBLIC ACCOUNTANTS</w:t>
      </w:r>
    </w:p>
    <w:p>
      <w:pPr>
        <w:spacing w:after="0" w:line="200" w:lineRule="exact"/>
        <w:rPr>
          <w:sz w:val="20"/>
          <w:szCs w:val="20"/>
          <w:color w:val="auto"/>
        </w:rPr>
      </w:pPr>
    </w:p>
    <w:p>
      <w:pPr>
        <w:spacing w:after="0" w:line="29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have issued our report dated March 9, 2023, with respect to the consolidated financial statements included in the Annual Report of Gevo, Inc. on Form 10-K for the year ended December 31, 2022. We consent to the incorporation by reference of said report in the Registration Statements of Gevo, Inc. on Forms S-8 (File No. 333-172771, 333-195264, 333-207172, 333-212391, 333-226689, 333-232267, and 333-239275, 333-257971) and on Forms S-3 (File No. 333-252229 and File No. 333-226686).</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March 9, 2023</w:t>
      </w:r>
    </w:p>
    <w:p>
      <w:pPr>
        <w:sectPr>
          <w:pgSz w:w="11900" w:h="16838" w:orient="portrait"/>
          <w:cols w:equalWidth="0" w:num="1">
            <w:col w:w="11120"/>
          </w:cols>
          <w:pgMar w:left="320" w:top="905" w:right="459" w:bottom="1440" w:gutter="0" w:footer="0" w:header="0"/>
        </w:sectPr>
      </w:pPr>
    </w:p>
    <w:bookmarkStart w:id="92" w:name="page93"/>
    <w:bookmarkEnd w:id="92"/>
    <w:p>
      <w:pPr>
        <w:ind w:left="10220"/>
        <w:spacing w:after="0"/>
        <w:rPr>
          <w:sz w:val="20"/>
          <w:szCs w:val="20"/>
          <w:color w:val="auto"/>
        </w:rPr>
      </w:pPr>
      <w:r>
        <w:rPr>
          <w:rFonts w:ascii="Arial" w:cs="Arial" w:eastAsia="Arial" w:hAnsi="Arial"/>
          <w:sz w:val="17"/>
          <w:szCs w:val="17"/>
          <w:b w:val="1"/>
          <w:bCs w:val="1"/>
          <w:color w:val="auto"/>
        </w:rPr>
        <w:t>Exhibit 31.1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Patrick R. Gruber, certify that:</w:t>
      </w:r>
    </w:p>
    <w:p>
      <w:pPr>
        <w:spacing w:after="0" w:line="2" w:lineRule="exact"/>
        <w:rPr>
          <w:sz w:val="20"/>
          <w:szCs w:val="20"/>
          <w:color w:val="auto"/>
        </w:rPr>
      </w:pPr>
    </w:p>
    <w:p>
      <w:pPr>
        <w:ind w:left="320" w:hanging="315"/>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Gevo, Inc.;</w:t>
      </w:r>
    </w:p>
    <w:p>
      <w:pPr>
        <w:spacing w:after="0" w:line="221" w:lineRule="exact"/>
        <w:rPr>
          <w:rFonts w:ascii="Arial" w:cs="Arial" w:eastAsia="Arial" w:hAnsi="Arial"/>
          <w:sz w:val="17"/>
          <w:szCs w:val="17"/>
          <w:color w:val="auto"/>
        </w:rPr>
      </w:pPr>
    </w:p>
    <w:p>
      <w:pPr>
        <w:ind w:left="320" w:hanging="315"/>
        <w:spacing w:after="0" w:line="321"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ind w:left="320" w:right="80" w:hanging="315"/>
        <w:spacing w:after="0" w:line="272"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320" w:right="220" w:hanging="315"/>
        <w:spacing w:after="0" w:line="256"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7"/>
          <w:szCs w:val="17"/>
          <w:color w:val="auto"/>
        </w:rPr>
      </w:pPr>
    </w:p>
    <w:p>
      <w:pPr>
        <w:ind w:left="640" w:right="220" w:hanging="322"/>
        <w:spacing w:after="0" w:line="256" w:lineRule="auto"/>
        <w:tabs>
          <w:tab w:leader="none" w:pos="63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7"/>
          <w:szCs w:val="17"/>
          <w:color w:val="auto"/>
        </w:rPr>
      </w:pPr>
    </w:p>
    <w:p>
      <w:pPr>
        <w:ind w:left="640" w:right="40" w:hanging="322"/>
        <w:spacing w:after="0" w:line="256" w:lineRule="auto"/>
        <w:tabs>
          <w:tab w:leader="none" w:pos="628"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7"/>
          <w:szCs w:val="17"/>
          <w:color w:val="auto"/>
        </w:rPr>
      </w:pPr>
    </w:p>
    <w:p>
      <w:pPr>
        <w:ind w:left="640" w:right="60" w:hanging="322"/>
        <w:spacing w:after="0" w:line="272" w:lineRule="auto"/>
        <w:tabs>
          <w:tab w:leader="none" w:pos="631"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640" w:right="100" w:hanging="322"/>
        <w:spacing w:after="0" w:line="264" w:lineRule="auto"/>
        <w:tabs>
          <w:tab w:leader="none" w:pos="628"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320" w:right="660" w:hanging="315"/>
        <w:spacing w:after="0" w:line="321"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6"/>
          <w:szCs w:val="16"/>
          <w:color w:val="auto"/>
        </w:rPr>
      </w:pPr>
    </w:p>
    <w:p>
      <w:pPr>
        <w:ind w:left="640" w:hanging="322"/>
        <w:spacing w:after="0" w:line="272" w:lineRule="auto"/>
        <w:tabs>
          <w:tab w:leader="none" w:pos="63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620" w:hanging="302"/>
        <w:spacing w:after="0"/>
        <w:tabs>
          <w:tab w:leader="none" w:pos="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financial reporting.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 March 9, 2023</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4979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4979035" cy="8255"/>
                    </a:xfrm>
                    <a:prstGeom prst="rect">
                      <a:avLst/>
                    </a:prstGeom>
                    <a:noFill/>
                  </pic:spPr>
                </pic:pic>
              </a:graphicData>
            </a:graphic>
          </wp:anchor>
        </w:drawing>
      </w:r>
    </w:p>
    <w:p>
      <w:pPr>
        <w:spacing w:after="0" w:line="40"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Patrick R. Gruber</w:t>
      </w:r>
    </w:p>
    <w:p>
      <w:pPr>
        <w:spacing w:after="0" w:line="21"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Chief Executive Officer</w:t>
      </w:r>
    </w:p>
    <w:p>
      <w:pPr>
        <w:spacing w:after="0" w:line="1"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20"/>
          </w:cols>
          <w:pgMar w:left="320" w:top="905" w:right="359" w:bottom="1440" w:gutter="0" w:footer="0" w:header="0"/>
        </w:sectPr>
      </w:pPr>
    </w:p>
    <w:bookmarkStart w:id="93" w:name="page94"/>
    <w:bookmarkEnd w:id="93"/>
    <w:p>
      <w:pPr>
        <w:ind w:left="10220"/>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L. Lynn Smull, certify that:</w:t>
      </w:r>
    </w:p>
    <w:p>
      <w:pPr>
        <w:spacing w:after="0" w:line="2"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Gevo, Inc.;</w:t>
      </w:r>
    </w:p>
    <w:p>
      <w:pPr>
        <w:spacing w:after="0" w:line="221" w:lineRule="exact"/>
        <w:rPr>
          <w:rFonts w:ascii="Arial" w:cs="Arial" w:eastAsia="Arial" w:hAnsi="Arial"/>
          <w:sz w:val="17"/>
          <w:szCs w:val="17"/>
          <w:color w:val="auto"/>
        </w:rPr>
      </w:pPr>
    </w:p>
    <w:p>
      <w:pPr>
        <w:ind w:left="320" w:hanging="315"/>
        <w:spacing w:after="0" w:line="321"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ind w:left="320" w:right="80" w:hanging="315"/>
        <w:spacing w:after="0" w:line="272"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320" w:right="220" w:hanging="315"/>
        <w:spacing w:after="0" w:line="256"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7"/>
          <w:szCs w:val="17"/>
          <w:color w:val="auto"/>
        </w:rPr>
      </w:pPr>
    </w:p>
    <w:p>
      <w:pPr>
        <w:ind w:left="640" w:right="220" w:hanging="322"/>
        <w:spacing w:after="0" w:line="256" w:lineRule="auto"/>
        <w:tabs>
          <w:tab w:leader="none" w:pos="631"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7"/>
          <w:szCs w:val="17"/>
          <w:color w:val="auto"/>
        </w:rPr>
      </w:pPr>
    </w:p>
    <w:p>
      <w:pPr>
        <w:ind w:left="640" w:right="40" w:hanging="322"/>
        <w:spacing w:after="0" w:line="256" w:lineRule="auto"/>
        <w:tabs>
          <w:tab w:leader="none" w:pos="628"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7"/>
          <w:szCs w:val="17"/>
          <w:color w:val="auto"/>
        </w:rPr>
      </w:pPr>
    </w:p>
    <w:p>
      <w:pPr>
        <w:ind w:left="640" w:right="60" w:hanging="322"/>
        <w:spacing w:after="0" w:line="272" w:lineRule="auto"/>
        <w:tabs>
          <w:tab w:leader="none" w:pos="631"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640" w:right="100" w:hanging="322"/>
        <w:spacing w:after="0" w:line="264" w:lineRule="auto"/>
        <w:tabs>
          <w:tab w:leader="none" w:pos="628"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320" w:right="660" w:hanging="315"/>
        <w:spacing w:after="0" w:line="321"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6"/>
          <w:szCs w:val="16"/>
          <w:color w:val="auto"/>
        </w:rPr>
      </w:pPr>
    </w:p>
    <w:p>
      <w:pPr>
        <w:ind w:left="640" w:hanging="322"/>
        <w:spacing w:after="0" w:line="272" w:lineRule="auto"/>
        <w:tabs>
          <w:tab w:leader="none" w:pos="631"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620" w:hanging="302"/>
        <w:spacing w:after="0"/>
        <w:tabs>
          <w:tab w:leader="none" w:pos="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financial reporting.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 March 9, 2023</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5194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40" w:lineRule="exact"/>
        <w:rPr>
          <w:sz w:val="20"/>
          <w:szCs w:val="20"/>
          <w:color w:val="auto"/>
        </w:rPr>
      </w:pPr>
    </w:p>
    <w:p>
      <w:pPr>
        <w:jc w:val="center"/>
        <w:ind w:right="3040"/>
        <w:spacing w:after="0"/>
        <w:rPr>
          <w:sz w:val="20"/>
          <w:szCs w:val="20"/>
          <w:color w:val="auto"/>
        </w:rPr>
      </w:pPr>
      <w:r>
        <w:rPr>
          <w:rFonts w:ascii="Arial" w:cs="Arial" w:eastAsia="Arial" w:hAnsi="Arial"/>
          <w:sz w:val="17"/>
          <w:szCs w:val="17"/>
          <w:b w:val="1"/>
          <w:bCs w:val="1"/>
          <w:color w:val="auto"/>
        </w:rPr>
        <w:t>L. Lynn Smull</w:t>
      </w:r>
    </w:p>
    <w:p>
      <w:pPr>
        <w:spacing w:after="0" w:line="21" w:lineRule="exact"/>
        <w:rPr>
          <w:sz w:val="20"/>
          <w:szCs w:val="20"/>
          <w:color w:val="auto"/>
        </w:rPr>
      </w:pPr>
    </w:p>
    <w:p>
      <w:pPr>
        <w:jc w:val="center"/>
        <w:ind w:right="3040"/>
        <w:spacing w:after="0"/>
        <w:rPr>
          <w:sz w:val="20"/>
          <w:szCs w:val="20"/>
          <w:color w:val="auto"/>
        </w:rPr>
      </w:pPr>
      <w:r>
        <w:rPr>
          <w:rFonts w:ascii="Arial" w:cs="Arial" w:eastAsia="Arial" w:hAnsi="Arial"/>
          <w:sz w:val="17"/>
          <w:szCs w:val="17"/>
          <w:b w:val="1"/>
          <w:bCs w:val="1"/>
          <w:color w:val="auto"/>
        </w:rPr>
        <w:t>Chief Financial Officer</w:t>
      </w:r>
    </w:p>
    <w:p>
      <w:pPr>
        <w:spacing w:after="0" w:line="1" w:lineRule="exact"/>
        <w:rPr>
          <w:sz w:val="20"/>
          <w:szCs w:val="20"/>
          <w:color w:val="auto"/>
        </w:rPr>
      </w:pPr>
    </w:p>
    <w:p>
      <w:pPr>
        <w:jc w:val="center"/>
        <w:ind w:right="3040"/>
        <w:spacing w:after="0"/>
        <w:rPr>
          <w:sz w:val="20"/>
          <w:szCs w:val="20"/>
          <w:color w:val="auto"/>
        </w:rPr>
      </w:pPr>
      <w:r>
        <w:rPr>
          <w:rFonts w:ascii="Arial" w:cs="Arial" w:eastAsia="Arial" w:hAnsi="Arial"/>
          <w:sz w:val="17"/>
          <w:szCs w:val="17"/>
          <w:b w:val="1"/>
          <w:bCs w:val="1"/>
          <w:color w:val="auto"/>
        </w:rPr>
        <w:t>(Principal Financial Officer)</w:t>
      </w:r>
    </w:p>
    <w:p>
      <w:pPr>
        <w:sectPr>
          <w:pgSz w:w="11900" w:h="16838" w:orient="portrait"/>
          <w:cols w:equalWidth="0" w:num="1">
            <w:col w:w="11220"/>
          </w:cols>
          <w:pgMar w:left="320" w:top="905" w:right="35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32.1</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CERTIFICATIONS PURSUANT TO SECTION 906 OF THE SARBANES-OXLEY ACT OF 2002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12" w:lineRule="exact"/>
        <w:rPr>
          <w:sz w:val="20"/>
          <w:szCs w:val="20"/>
          <w:color w:val="auto"/>
        </w:rPr>
      </w:pPr>
    </w:p>
    <w:p>
      <w:pPr>
        <w:ind w:left="120" w:right="400" w:firstLine="470"/>
        <w:spacing w:after="0" w:line="249" w:lineRule="auto"/>
        <w:rPr>
          <w:sz w:val="20"/>
          <w:szCs w:val="20"/>
          <w:color w:val="auto"/>
        </w:rPr>
      </w:pPr>
      <w:r>
        <w:rPr>
          <w:rFonts w:ascii="Arial" w:cs="Arial" w:eastAsia="Arial" w:hAnsi="Arial"/>
          <w:sz w:val="17"/>
          <w:szCs w:val="17"/>
          <w:color w:val="auto"/>
        </w:rPr>
        <w:t>I, Patrick R. Gruber, Chief Executive Officer of Gevo, Inc. (the “Company”), and I, Lynn Smull, Chief Financial Officer of the Company, certify, pursuant to 18 U.S.C. Section 1350, as adopted pursuant to Section 906 of the Sarbanes-Oxley Act of 2002, that:</w:t>
      </w:r>
    </w:p>
    <w:p>
      <w:pPr>
        <w:spacing w:after="0" w:line="1" w:lineRule="exact"/>
        <w:rPr>
          <w:sz w:val="20"/>
          <w:szCs w:val="20"/>
          <w:color w:val="auto"/>
        </w:rPr>
      </w:pPr>
    </w:p>
    <w:p>
      <w:pPr>
        <w:ind w:left="120" w:right="120" w:firstLine="460"/>
        <w:spacing w:after="0"/>
        <w:tabs>
          <w:tab w:leader="none" w:pos="8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2021, (the “Report”) fully complies with the requirements of Section 13(a) or 15(d) of the Securities Exchange Act of 1934, as amended; and</w:t>
      </w:r>
    </w:p>
    <w:p>
      <w:pPr>
        <w:spacing w:after="0" w:line="1" w:lineRule="exact"/>
        <w:rPr>
          <w:rFonts w:ascii="Arial" w:cs="Arial" w:eastAsia="Arial" w:hAnsi="Arial"/>
          <w:sz w:val="17"/>
          <w:szCs w:val="17"/>
          <w:color w:val="auto"/>
        </w:rPr>
      </w:pPr>
    </w:p>
    <w:p>
      <w:pPr>
        <w:ind w:left="120" w:right="200" w:firstLine="460"/>
        <w:spacing w:after="0" w:line="271" w:lineRule="auto"/>
        <w:tabs>
          <w:tab w:leader="none" w:pos="8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 covered by the Report.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21990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2199005" cy="8255"/>
                    </a:xfrm>
                    <a:prstGeom prst="rect">
                      <a:avLst/>
                    </a:prstGeom>
                    <a:noFill/>
                  </pic:spPr>
                </pic:pic>
              </a:graphicData>
            </a:graphic>
          </wp:anchor>
        </w:drawing>
      </w:r>
    </w:p>
    <w:p>
      <w:pPr>
        <w:spacing w:after="0" w:line="40"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Patrick R. Gruber</w:t>
      </w:r>
    </w:p>
    <w:p>
      <w:pPr>
        <w:spacing w:after="0" w:line="21" w:lineRule="exact"/>
        <w:rPr>
          <w:sz w:val="20"/>
          <w:szCs w:val="20"/>
          <w:color w:val="auto"/>
        </w:rPr>
      </w:pPr>
    </w:p>
    <w:p>
      <w:pPr>
        <w:jc w:val="center"/>
        <w:ind w:right="7660"/>
        <w:spacing w:after="0"/>
        <w:rPr>
          <w:sz w:val="20"/>
          <w:szCs w:val="20"/>
          <w:color w:val="auto"/>
        </w:rPr>
      </w:pPr>
      <w:r>
        <w:rPr>
          <w:rFonts w:ascii="Arial" w:cs="Arial" w:eastAsia="Arial" w:hAnsi="Arial"/>
          <w:sz w:val="17"/>
          <w:szCs w:val="17"/>
          <w:b w:val="1"/>
          <w:bCs w:val="1"/>
          <w:color w:val="auto"/>
        </w:rPr>
        <w:t>Chief Executive Officer</w:t>
      </w:r>
    </w:p>
    <w:p>
      <w:pPr>
        <w:spacing w:after="0" w:line="12" w:lineRule="exact"/>
        <w:rPr>
          <w:sz w:val="20"/>
          <w:szCs w:val="20"/>
          <w:color w:val="auto"/>
        </w:rPr>
      </w:pPr>
    </w:p>
    <w:p>
      <w:pPr>
        <w:jc w:val="center"/>
        <w:ind w:right="7660"/>
        <w:spacing w:after="0"/>
        <w:rPr>
          <w:sz w:val="20"/>
          <w:szCs w:val="20"/>
          <w:color w:val="auto"/>
        </w:rPr>
      </w:pPr>
      <w:r>
        <w:rPr>
          <w:rFonts w:ascii="Arial" w:cs="Arial" w:eastAsia="Arial" w:hAnsi="Arial"/>
          <w:sz w:val="17"/>
          <w:szCs w:val="17"/>
          <w:b w:val="1"/>
          <w:bCs w:val="1"/>
          <w:color w:val="auto"/>
        </w:rPr>
        <w:t>(Principal Executive Officer)</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Date: March 9,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21990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2199005" cy="8255"/>
                    </a:xfrm>
                    <a:prstGeom prst="rect">
                      <a:avLst/>
                    </a:prstGeom>
                    <a:noFill/>
                  </pic:spPr>
                </pic:pic>
              </a:graphicData>
            </a:graphic>
          </wp:anchor>
        </w:drawing>
      </w:r>
    </w:p>
    <w:p>
      <w:pPr>
        <w:spacing w:after="0" w:line="4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 Lynn Smull</w:t>
      </w:r>
    </w:p>
    <w:p>
      <w:pPr>
        <w:spacing w:after="0" w:line="21" w:lineRule="exact"/>
        <w:rPr>
          <w:sz w:val="20"/>
          <w:szCs w:val="20"/>
          <w:color w:val="auto"/>
        </w:rPr>
      </w:pPr>
    </w:p>
    <w:p>
      <w:pPr>
        <w:jc w:val="center"/>
        <w:ind w:right="7660"/>
        <w:spacing w:after="0"/>
        <w:rPr>
          <w:sz w:val="20"/>
          <w:szCs w:val="20"/>
          <w:color w:val="auto"/>
        </w:rPr>
      </w:pPr>
      <w:r>
        <w:rPr>
          <w:rFonts w:ascii="Arial" w:cs="Arial" w:eastAsia="Arial" w:hAnsi="Arial"/>
          <w:sz w:val="17"/>
          <w:szCs w:val="17"/>
          <w:b w:val="1"/>
          <w:bCs w:val="1"/>
          <w:color w:val="auto"/>
        </w:rPr>
        <w:t>Chief Financial Officer</w:t>
      </w:r>
    </w:p>
    <w:p>
      <w:pPr>
        <w:spacing w:after="0" w:line="12" w:lineRule="exact"/>
        <w:rPr>
          <w:sz w:val="20"/>
          <w:szCs w:val="20"/>
          <w:color w:val="auto"/>
        </w:rPr>
      </w:pPr>
    </w:p>
    <w:p>
      <w:pPr>
        <w:jc w:val="center"/>
        <w:ind w:right="7660"/>
        <w:spacing w:after="0"/>
        <w:rPr>
          <w:sz w:val="20"/>
          <w:szCs w:val="20"/>
          <w:color w:val="auto"/>
        </w:rPr>
      </w:pPr>
      <w:r>
        <w:rPr>
          <w:rFonts w:ascii="Arial" w:cs="Arial" w:eastAsia="Arial" w:hAnsi="Arial"/>
          <w:sz w:val="17"/>
          <w:szCs w:val="17"/>
          <w:b w:val="1"/>
          <w:bCs w:val="1"/>
          <w:color w:val="auto"/>
        </w:rPr>
        <w:t>(Principal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Date: March 9, 2023</w:t>
      </w:r>
    </w:p>
    <w:sectPr>
      <w:pgSz w:w="11900" w:h="16838" w:orient="portrait"/>
      <w:cols w:equalWidth="0" w:num="1">
        <w:col w:w="11100"/>
      </w:cols>
      <w:pgMar w:left="340" w:top="90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Roman"/>
      <w:start w:val="6"/>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lowerRoman"/>
      <w:start w:val="5"/>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upperLetter"/>
      <w:start w:val="68"/>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21"/>
    </w:lvl>
  </w:abstractNum>
  <w:abstractNum w:abstractNumId="26">
    <w:nsid w:val="1E7FF521"/>
    <w:multiLevelType w:val="hybridMultilevel"/>
    <w:lvl w:ilvl="0">
      <w:lvlJc w:val="left"/>
      <w:lvlText w:val="X"/>
      <w:numFmt w:val="bullet"/>
      <w:start w:val="1"/>
    </w:lvl>
  </w:abstractNum>
  <w:abstractNum w:abstractNumId="27">
    <w:nsid w:val="7C3DBD3D"/>
    <w:multiLevelType w:val="hybridMultilevel"/>
    <w:lvl w:ilvl="0">
      <w:lvlJc w:val="left"/>
      <w:lvlText w:val="†"/>
      <w:numFmt w:val="bullet"/>
      <w:start w:val="1"/>
    </w:lvl>
    <w:lvl w:ilvl="1">
      <w:lvlJc w:val="left"/>
      <w:lvlText w:val="%2"/>
      <w:numFmt w:val="decimal"/>
      <w:start w:val="104"/>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97" Type="http://schemas.openxmlformats.org/officeDocument/2006/relationships/hyperlink" Target="https://www.sec.gov/Archives/edgar/data/1392380/000143774922004346/ex_337695.htm" TargetMode="External"/><Relationship Id="rId98" Type="http://schemas.openxmlformats.org/officeDocument/2006/relationships/hyperlink" Target="http://www.sec.gov/Archives/edgar/data/1392380/000143774921027382/ex_310252.htm" TargetMode="External"/><Relationship Id="rId99" Type="http://schemas.openxmlformats.org/officeDocument/2006/relationships/hyperlink" Target="http://www.sec.gov/Archives/edgar/data/1392380/000119312511009935/dex41.htm" TargetMode="External"/><Relationship Id="rId100" Type="http://schemas.openxmlformats.org/officeDocument/2006/relationships/hyperlink" Target="http://www.sec.gov/Archives/edgar/data/1392380/000143774920014844/ex_193415.htm" TargetMode="External"/><Relationship Id="rId101" Type="http://schemas.openxmlformats.org/officeDocument/2006/relationships/hyperlink" Target="https://www.sec.gov/Archives/edgar/data/1392380/000143774922014599/ex_384616.htm" TargetMode="External"/><Relationship Id="rId102" Type="http://schemas.openxmlformats.org/officeDocument/2006/relationships/hyperlink" Target="https://www.sec.gov/Archives/edgar/data/1392380/000143774922004346/ex_337696.htm" TargetMode="External"/><Relationship Id="rId103" Type="http://schemas.openxmlformats.org/officeDocument/2006/relationships/hyperlink" Target="http://www.sec.gov/Archives/edgar/data/1392380/000119312510248318/dex106.htm" TargetMode="External"/><Relationship Id="rId104" Type="http://schemas.openxmlformats.org/officeDocument/2006/relationships/hyperlink" Target="http://www.sec.gov/Archives/edgar/data/1392380/000119312510233643/dex1010.htm" TargetMode="External"/><Relationship Id="rId105" Type="http://schemas.openxmlformats.org/officeDocument/2006/relationships/hyperlink" Target="http://www.sec.gov/Archives/edgar/data/1392380/000143774921014595/ex_256682.htm" TargetMode="External"/><Relationship Id="rId106" Type="http://schemas.openxmlformats.org/officeDocument/2006/relationships/hyperlink" Target="http://www.sec.gov/Archives/edgar/data/1392380/000119312511009935/dex1015.htm" TargetMode="External"/><Relationship Id="rId107" Type="http://schemas.openxmlformats.org/officeDocument/2006/relationships/hyperlink" Target="http://www.sec.gov/Archives/edgar/data/1392380/000143774918014943/ex_120807.htm" TargetMode="External"/><Relationship Id="rId108" Type="http://schemas.openxmlformats.org/officeDocument/2006/relationships/hyperlink" Target="http://www.sec.gov/Archives/edgar/data/1392380/000143774918014943/ex_120806.htm" TargetMode="External"/><Relationship Id="rId109" Type="http://schemas.openxmlformats.org/officeDocument/2006/relationships/hyperlink" Target="http://www.sec.gov/Archives/edgar/data/1392380/000143774918014943/ex_120808.htm" TargetMode="External"/><Relationship Id="rId112" Type="http://schemas.openxmlformats.org/officeDocument/2006/relationships/hyperlink" Target="http://www.sec.gov/Archives/edgar/data/1392380/000119312511063821/dex47.htm" TargetMode="External"/><Relationship Id="rId113" Type="http://schemas.openxmlformats.org/officeDocument/2006/relationships/hyperlink" Target="http://www.sec.gov/Archives/edgar/data/1392380/000119312511291482/d227403dex101.htm" TargetMode="External"/><Relationship Id="rId114" Type="http://schemas.openxmlformats.org/officeDocument/2006/relationships/hyperlink" Target="http://www.sec.gov/Archives/edgar/data/1392380/000119312511009935/dex1033.htm" TargetMode="External"/><Relationship Id="rId115" Type="http://schemas.openxmlformats.org/officeDocument/2006/relationships/hyperlink" Target="http://www.sec.gov/Archives/edgar/data/1392380/000119312510248318/dex1014.htm" TargetMode="External"/><Relationship Id="rId116" Type="http://schemas.openxmlformats.org/officeDocument/2006/relationships/hyperlink" Target="http://www.sec.gov/Archives/edgar/data/1392380/000119312511352601/d273135dex101.htm" TargetMode="External"/><Relationship Id="rId117" Type="http://schemas.openxmlformats.org/officeDocument/2006/relationships/hyperlink" Target="http://www.sec.gov/Archives/edgar/data/1392380/000119312515050801/d876075dex101.htm" TargetMode="External"/><Relationship Id="rId118" Type="http://schemas.openxmlformats.org/officeDocument/2006/relationships/hyperlink" Target="http://www.sec.gov/Archives/edgar/data/1392380/000119312510248318/dex1016.htm" TargetMode="External"/><Relationship Id="rId119" Type="http://schemas.openxmlformats.org/officeDocument/2006/relationships/hyperlink" Target="http://www.sec.gov/Archives/edgar/data/1392380/000156459017009895/gevo-ex101_182.htm" TargetMode="External"/><Relationship Id="rId120" Type="http://schemas.openxmlformats.org/officeDocument/2006/relationships/hyperlink" Target="http://www.sec.gov/Archives/edgar/data/1392380/000156459017009895/gevo-ex102_183.htm" TargetMode="External"/><Relationship Id="rId121" Type="http://schemas.openxmlformats.org/officeDocument/2006/relationships/hyperlink" Target="http://www.sec.gov/Archives/edgar/data/1392380/000143774919023000/ex_164878.htm" TargetMode="External"/><Relationship Id="rId122" Type="http://schemas.openxmlformats.org/officeDocument/2006/relationships/hyperlink" Target="http://www.sec.gov/Archives/edgar/data/1392380/000143774920010455/ex_182396.htm" TargetMode="External"/><Relationship Id="rId123" Type="http://schemas.openxmlformats.org/officeDocument/2006/relationships/hyperlink" Target="http://www.sec.gov/Archives/edgar/data/1392380/000143774921012120/ex_248694.htm" TargetMode="External"/><Relationship Id="rId127" Type="http://schemas.openxmlformats.org/officeDocument/2006/relationships/hyperlink" Target="https://www.sec.gov/Archives/edgar/data/1392380/000143774921003544/ex_227958.htm" TargetMode="External"/><Relationship Id="rId128" Type="http://schemas.openxmlformats.org/officeDocument/2006/relationships/hyperlink" Target="http://www.sec.gov/Archives/edgar/data/1392380/000143774921003544/ex_227959.htm" TargetMode="External"/><Relationship Id="rId129" Type="http://schemas.openxmlformats.org/officeDocument/2006/relationships/hyperlink" Target="http://www.sec.gov/Archives/edgar/data/1392380/000119312518042816/d540950dex11.htm" TargetMode="External"/><Relationship Id="rId130" Type="http://schemas.openxmlformats.org/officeDocument/2006/relationships/hyperlink" Target="http://www.sec.gov/Archives/edgar/data/1392380/000143774918012162/ex_116678.htm" TargetMode="External"/><Relationship Id="rId131" Type="http://schemas.openxmlformats.org/officeDocument/2006/relationships/hyperlink" Target="http://www.sec.gov/Archives/edgar/data/1392380/000143774918012353/ex_116855.htm" TargetMode="External"/><Relationship Id="rId132" Type="http://schemas.openxmlformats.org/officeDocument/2006/relationships/hyperlink" Target="http://www.sec.gov/Archives/edgar/data/1392380/000143774918012641/ex_117005.htm" TargetMode="External"/><Relationship Id="rId133" Type="http://schemas.openxmlformats.org/officeDocument/2006/relationships/hyperlink" Target="http://www.sec.gov/Archives/edgar/data/1392380/000143774919016937/ex_155465.htm" TargetMode="External"/><Relationship Id="rId134" Type="http://schemas.openxmlformats.org/officeDocument/2006/relationships/hyperlink" Target="https://www.sec.gov/Archives/edgar/data/1392380/000143774920026088/ex_219395.htm" TargetMode="External"/><Relationship Id="rId135" Type="http://schemas.openxmlformats.org/officeDocument/2006/relationships/hyperlink" Target="http://www.sec.gov/Archives/edgar/data/1392380/000143774921021740/ex_282516.htm" TargetMode="External"/><Relationship Id="rId136" Type="http://schemas.openxmlformats.org/officeDocument/2006/relationships/hyperlink" Target="http://www.sec.gov/Archives/edgar/data/1392380/000143774920018219/ex_200328.htm" TargetMode="External"/><Relationship Id="rId140" Type="http://schemas.openxmlformats.org/officeDocument/2006/relationships/hyperlink" Target="http://www.sec.gov/Archives/edgar/data/1392380/000143774920018416/ex_200743.htm" TargetMode="External"/><Relationship Id="rId141" Type="http://schemas.openxmlformats.org/officeDocument/2006/relationships/hyperlink" Target="http://www.sec.gov/Archives/edgar/data/1392380/000143774921019010/ex_267898.htm" TargetMode="External"/><Relationship Id="rId142" Type="http://schemas.openxmlformats.org/officeDocument/2006/relationships/hyperlink" Target="http://www.sec.gov/Archives/edgar/data/1392380/000143774921019010/ex_267899.htm" TargetMode="External"/><Relationship Id="rId143" Type="http://schemas.openxmlformats.org/officeDocument/2006/relationships/hyperlink" Target="http://www.sec.gov/Archives/edgar/data/1392380/000143774921019010/ex_267900.htm" TargetMode="External"/><Relationship Id="rId144" Type="http://schemas.openxmlformats.org/officeDocument/2006/relationships/hyperlink" Target="http://www.sec.gov/Archives/edgar/data/1392380/000143774921019010/ex_267901.htm" TargetMode="External"/><Relationship Id="rId145" Type="http://schemas.openxmlformats.org/officeDocument/2006/relationships/hyperlink" Target="http://www.sec.gov/Archives/edgar/data/1392380/000143774921022543/ex_285973.htm" TargetMode="External"/><Relationship Id="rId146" Type="http://schemas.openxmlformats.org/officeDocument/2006/relationships/hyperlink" Target="https://www.sec.gov/Archives/edgar/data/1392380/000143774921023363/ex_289219.htm" TargetMode="External"/><Relationship Id="rId147" Type="http://schemas.openxmlformats.org/officeDocument/2006/relationships/hyperlink" Target="http://www.sec.gov/Archives/edgar/data/1392380/000143774921027981/ex_313510.htm" TargetMode="External"/><Relationship Id="rId151" Type="http://schemas.openxmlformats.org/officeDocument/2006/relationships/hyperlink" Target="http://www.sec.gov/Archives/edgar/data/1392380/000143774921009027/ex_240957.htm" TargetMode="External"/><Relationship Id="rId152" Type="http://schemas.openxmlformats.org/officeDocument/2006/relationships/hyperlink" Target="http://www.sec.gov/Archives/edgar/data/1392380/000143774921009027/ex_240958.htm" TargetMode="External"/><Relationship Id="rId153" Type="http://schemas.openxmlformats.org/officeDocument/2006/relationships/hyperlink" Target="https://www.sec.gov/Archives/edgar/data/1392380/000143774922006878/ex_347921.htm" TargetMode="External"/><Relationship Id="rId154" Type="http://schemas.openxmlformats.org/officeDocument/2006/relationships/hyperlink" Target="https://www.sec.gov/Archives/edgar/data/1392380/000143774922006828/ex_349244.htm" TargetMode="External"/><Relationship Id="rId155" Type="http://schemas.openxmlformats.org/officeDocument/2006/relationships/hyperlink" Target="https://www.sec.gov/Archives/edgar/data/1392380/000143774922017606/ex_398328.htm" TargetMode="External"/><Relationship Id="rId156" Type="http://schemas.openxmlformats.org/officeDocument/2006/relationships/hyperlink" Target="https://www.sec.gov/Archives/edgar/data/1392380/000139238022000024/bp-gevorngx1strtransaction.htm" TargetMode="External"/><Relationship Id="rId157" Type="http://schemas.openxmlformats.org/officeDocument/2006/relationships/hyperlink" Target="https://www.sec.gov/Archives/edgar/data/1392380/000139238022000040/gevo-cicseveranceplan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2023-03-09T18:59:17Z</dcterms:created>
  <dcterms:modified xsi:type="dcterms:W3CDTF">2023-03-09T18:59:17Z</dcterms:modified>
</cp:coreProperties>
</file>