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Bloom Paul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294" w:lineRule="auto"/>
        <w:rPr>
          <w:sz w:val="20"/>
          <w:szCs w:val="20"/>
          <w:color w:val="auto"/>
        </w:rPr>
      </w:pPr>
      <w:r>
        <w:rPr>
          <w:rFonts w:ascii="Times New Roman" w:cs="Times New Roman" w:eastAsia="Times New Roman" w:hAnsi="Times New Roman"/>
          <w:sz w:val="17"/>
          <w:szCs w:val="17"/>
          <w:color w:val="0000FF"/>
        </w:rPr>
        <w:t>C/O GEVO, INC. 345 INVERNESS DRIVE SOUTH</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C,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8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800" w:type="dxa"/>
            <w:vAlign w:val="bottom"/>
            <w:vMerge w:val="restart"/>
          </w:tcPr>
          <w:p>
            <w:pPr>
              <w:ind w:left="12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35,189</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1.4252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1,483,399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28,123.51</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withholding obligations upon vesting of a restricted stock award. The reported sales were effected pursuant to a 10b5-1 trading plan adopted by the Reporting Person on December 22, 2025.</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$1.390 to $1.475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 Cabell Massey,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4032"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2026-06-15T16:20:39Z</dcterms:created>
  <dcterms:modified xsi:type="dcterms:W3CDTF">2026-06-15T16:20:39Z</dcterms:modified>
</cp:coreProperties>
</file>